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Layer 3 - Business case and financials development-20260423_143236-Meeting Recording</w:t>
      </w:r>
    </w:p>
    <w:p>
      <w:pPr>
        <w:spacing w:after="100"/>
      </w:pPr>
      <w:r>
        <w:rPr>
          <w:color w:val="616161"/>
          <w:sz w:val="3mm"/>
          <w:szCs w:val="3mm"/>
          <w:rFonts w:ascii="Segoe UI" w:cs="Segoe UI" w:eastAsia="Segoe UI" w:hAnsi="Segoe UI"/>
        </w:rPr>
        <w:t xml:space="preserve">April 23, 2026, 7:32PM</w:t>
      </w:r>
    </w:p>
    <w:p>
      <w:pPr>
        <w:spacing w:after="100"/>
      </w:pPr>
      <w:r>
        <w:rPr>
          <w:color w:val="616161"/>
          <w:sz w:val="3mm"/>
          <w:szCs w:val="3mm"/>
          <w:rFonts w:ascii="Segoe UI" w:cs="Segoe UI" w:eastAsia="Segoe UI" w:hAnsi="Segoe UI"/>
        </w:rPr>
        <w:t xml:space="preserve">38m 20s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Ozzie Diaz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Ozzie Diaz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Okay, this is the last layer and the most difficult one. This is where we build upon layer one and layer two. And then now are building the business case and the financials for the scenarios. So</w:t>
      </w:r>
      <w:r>
        <w:rPr>
          <w:color w:val="242424"/>
          <w:sz w:val="4.3mm"/>
          <w:szCs w:val="4.3mm"/>
          <w:rFonts w:ascii="Segoe UI" w:cs="Segoe UI" w:eastAsia="Segoe UI" w:hAnsi="Segoe UI"/>
        </w:rPr>
        <w:br/>
        <w:t xml:space="preserve">So we've calculated Azure consumption for the in-scope or the powered on virtual machines, and they've been least cost matched to Azure VMs.</w:t>
      </w:r>
      <w:r>
        <w:rPr>
          <w:color w:val="242424"/>
          <w:sz w:val="4.3mm"/>
          <w:szCs w:val="4.3mm"/>
          <w:rFonts w:ascii="Segoe UI" w:cs="Segoe UI" w:eastAsia="Segoe UI" w:hAnsi="Segoe UI"/>
        </w:rPr>
        <w:br/>
        <w:t xml:space="preserve">So we have that. And now this is what the human business analyst does. This is where I need significant refactoring to be considered for the current code base for</w:t>
      </w:r>
      <w:r>
        <w:rPr>
          <w:color w:val="242424"/>
          <w:sz w:val="4.3mm"/>
          <w:szCs w:val="4.3mm"/>
          <w:rFonts w:ascii="Segoe UI" w:cs="Segoe UI" w:eastAsia="Segoe UI" w:hAnsi="Segoe UI"/>
        </w:rPr>
        <w:br/>
        <w:t xml:space="preserve">A project in question.</w:t>
      </w:r>
      <w:r>
        <w:rPr>
          <w:color w:val="242424"/>
          <w:sz w:val="4.3mm"/>
          <w:szCs w:val="4.3mm"/>
          <w:rFonts w:ascii="Segoe UI" w:cs="Segoe UI" w:eastAsia="Segoe UI" w:hAnsi="Segoe UI"/>
        </w:rPr>
        <w:br/>
        <w:t xml:space="preserve">On GitHub.</w:t>
      </w:r>
      <w:r>
        <w:rPr>
          <w:color w:val="242424"/>
          <w:sz w:val="4.3mm"/>
          <w:szCs w:val="4.3mm"/>
          <w:rFonts w:ascii="Segoe UI" w:cs="Segoe UI" w:eastAsia="Segoe UI" w:hAnsi="Segoe UI"/>
        </w:rPr>
        <w:br/>
        <w:t xml:space="preserve">So the way the human starts about it is we have this benchmark business case template that we fill in. And there are.</w:t>
      </w:r>
      <w:r>
        <w:rPr>
          <w:color w:val="242424"/>
          <w:sz w:val="4.3mm"/>
          <w:szCs w:val="4.3mm"/>
          <w:rFonts w:ascii="Segoe UI" w:cs="Segoe UI" w:eastAsia="Segoe UI" w:hAnsi="Segoe UI"/>
        </w:rPr>
        <w:br/>
        <w:t xml:space="preserve">There are a variety of, it's a very complicated template where it was reverse engineered to some extent, so we might need to do that again in the refactoring. But some of the key tabs that the business analyst does take a look at.</w:t>
      </w:r>
      <w:r>
        <w:rPr>
          <w:color w:val="242424"/>
          <w:sz w:val="4.3mm"/>
          <w:szCs w:val="4.3mm"/>
          <w:rFonts w:ascii="Segoe UI" w:cs="Segoe UI" w:eastAsia="Segoe UI" w:hAnsi="Segoe UI"/>
        </w:rPr>
        <w:br/>
        <w:t xml:space="preserve">are the following. The client variables, that's where we input the current on-premise inventory, because that is what develops the current state scenario for the business case and the total cost of ownership.</w:t>
      </w:r>
      <w:r>
        <w:rPr>
          <w:color w:val="242424"/>
          <w:sz w:val="4.3mm"/>
          <w:szCs w:val="4.3mm"/>
          <w:rFonts w:ascii="Segoe UI" w:cs="Segoe UI" w:eastAsia="Segoe UI" w:hAnsi="Segoe UI"/>
        </w:rPr>
        <w:br/>
        <w:t xml:space="preserve">Of what is in place now, if and if they did nothing, this is their financial outlook. Now, there are an awful lot of assumptions that are built into this template here, and this assumptions.</w:t>
      </w:r>
      <w:r>
        <w:rPr>
          <w:color w:val="242424"/>
          <w:sz w:val="4.3mm"/>
          <w:szCs w:val="4.3mm"/>
          <w:rFonts w:ascii="Segoe UI" w:cs="Segoe UI" w:eastAsia="Segoe UI" w:hAnsi="Segoe UI"/>
        </w:rPr>
        <w:br/>
        <w:t xml:space="preserve">Tab is what we use. For the most part, we leave this alone, but you see a whole variety of assumptions across categories, such as servers and storage. Well, starting from the top, we have the WAC, which is the weighted average cost of capital.</w:t>
      </w:r>
      <w:r>
        <w:rPr>
          <w:color w:val="242424"/>
          <w:sz w:val="4.3mm"/>
          <w:szCs w:val="4.3mm"/>
          <w:rFonts w:ascii="Segoe UI" w:cs="Segoe UI" w:eastAsia="Segoe UI" w:hAnsi="Segoe UI"/>
        </w:rPr>
        <w:br/>
        <w:t xml:space="preserve">We have that set at 7%. Hours in one year are the assumption there, 8,760. And then energy assumptions, you know, we do make, but those can be derived from the internet if need be by the application. But then we have a variety of assumptions.</w:t>
      </w:r>
      <w:r>
        <w:rPr>
          <w:color w:val="242424"/>
          <w:sz w:val="4.3mm"/>
          <w:szCs w:val="4.3mm"/>
          <w:rFonts w:ascii="Segoe UI" w:cs="Segoe UI" w:eastAsia="Segoe UI" w:hAnsi="Segoe UI"/>
        </w:rPr>
        <w:br/>
        <w:t xml:space="preserve">across categories of servers and storage. So this is ratios of VCPUs to servers, ratios of VCPU or VMs to physical server ratios, VCPU to physical core ratios, virtual memory of physical memory ratios,</w:t>
      </w:r>
      <w:r>
        <w:rPr>
          <w:color w:val="242424"/>
          <w:sz w:val="4.3mm"/>
          <w:szCs w:val="4.3mm"/>
          <w:rFonts w:ascii="Segoe UI" w:cs="Segoe UI" w:eastAsia="Segoe UI" w:hAnsi="Segoe UI"/>
        </w:rPr>
        <w:br/>
        <w:t xml:space="preserve">etc. And things like acquisition costs down to a unit economic measure of a cost per core, a cost per GB of memory, a cost per GB of storage. So those are the sorts of assumptions that go into</w:t>
      </w:r>
      <w:r>
        <w:rPr>
          <w:color w:val="242424"/>
          <w:sz w:val="4.3mm"/>
          <w:szCs w:val="4.3mm"/>
          <w:rFonts w:ascii="Segoe UI" w:cs="Segoe UI" w:eastAsia="Segoe UI" w:hAnsi="Segoe UI"/>
        </w:rPr>
        <w:br/>
        <w:t xml:space="preserve">calculating what the current state, or we call status quo sometimes, for the on-premise financials for a customer scenario. And those assumptions will also go into even the future state, Azure migration,</w:t>
      </w:r>
      <w:r>
        <w:rPr>
          <w:color w:val="242424"/>
          <w:sz w:val="4.3mm"/>
          <w:szCs w:val="4.3mm"/>
          <w:rFonts w:ascii="Segoe UI" w:cs="Segoe UI" w:eastAsia="Segoe UI" w:hAnsi="Segoe UI"/>
        </w:rPr>
        <w:br/>
        <w:t xml:space="preserve">scenario for accounting for retained costs. So whatever's left behind in their data center in the event that it is not a full data center exit. A full data center exit will effectively remove all of those on-premise cost assumptions.</w:t>
      </w:r>
      <w:r>
        <w:rPr>
          <w:color w:val="242424"/>
          <w:sz w:val="4.3mm"/>
          <w:szCs w:val="4.3mm"/>
          <w:rFonts w:ascii="Segoe UI" w:cs="Segoe UI" w:eastAsia="Segoe UI" w:hAnsi="Segoe UI"/>
        </w:rPr>
        <w:br/>
        <w:t xml:space="preserve">over time as the migration plan occurs. And we have a couple of different high order migration plan assumptions. One is 12 months, so basically ramping down from on-premise execution of their workloads.</w:t>
      </w:r>
      <w:r>
        <w:rPr>
          <w:color w:val="242424"/>
          <w:sz w:val="4.3mm"/>
          <w:szCs w:val="4.3mm"/>
          <w:rFonts w:ascii="Segoe UI" w:cs="Segoe UI" w:eastAsia="Segoe UI" w:hAnsi="Segoe UI"/>
        </w:rPr>
        <w:br/>
        <w:t xml:space="preserve">over the course of 12 months as simultaneously they are ramping up on their Azure footprint. So during those 12 months, there is this notion of dual run costs. Not only are there still some costs on premise that are ramping down, but there are</w:t>
      </w:r>
      <w:r>
        <w:rPr>
          <w:color w:val="242424"/>
          <w:sz w:val="4.3mm"/>
          <w:szCs w:val="4.3mm"/>
          <w:rFonts w:ascii="Segoe UI" w:cs="Segoe UI" w:eastAsia="Segoe UI" w:hAnsi="Segoe UI"/>
        </w:rPr>
        <w:br/>
        <w:t xml:space="preserve">new costs, monthly costs in the form of Azure consumption that are ramping up as they migrate virtual machines over to Azure. So that's dual run costs. And we have to account for that as well in the financials. Other categories, network and fit out, licenses and support. So</w:t>
      </w:r>
      <w:r>
        <w:rPr>
          <w:color w:val="242424"/>
          <w:sz w:val="4.3mm"/>
          <w:szCs w:val="4.3mm"/>
          <w:rFonts w:ascii="Segoe UI" w:cs="Segoe UI" w:eastAsia="Segoe UI" w:hAnsi="Segoe UI"/>
        </w:rPr>
        <w:br/>
        <w:t xml:space="preserve">Support and maintenance for hardware, for software licenses. Here, we account for Windows Server, SQL Server licenses, all editions, as well as a virtualization license.</w:t>
      </w:r>
      <w:r>
        <w:rPr>
          <w:color w:val="242424"/>
          <w:sz w:val="4.3mm"/>
          <w:szCs w:val="4.3mm"/>
          <w:rFonts w:ascii="Segoe UI" w:cs="Segoe UI" w:eastAsia="Segoe UI" w:hAnsi="Segoe UI"/>
        </w:rPr>
        <w:br/>
        <w:t xml:space="preserve">And VMware is a classic.</w:t>
      </w:r>
      <w:r>
        <w:rPr>
          <w:color w:val="242424"/>
          <w:sz w:val="4.3mm"/>
          <w:szCs w:val="4.3mm"/>
          <w:rFonts w:ascii="Segoe UI" w:cs="Segoe UI" w:eastAsia="Segoe UI" w:hAnsi="Segoe UI"/>
        </w:rPr>
        <w:br/>
        <w:t xml:space="preserve">benchmark that we'll use for on-premise virtualization software, a cost per year per core. And you see what's built in there right now is $208 per year per core for virtualization license. And if it is in scope for this</w:t>
      </w:r>
      <w:r>
        <w:rPr>
          <w:color w:val="242424"/>
          <w:sz w:val="4.3mm"/>
          <w:szCs w:val="4.3mm"/>
          <w:rFonts w:ascii="Segoe UI" w:cs="Segoe UI" w:eastAsia="Segoe UI" w:hAnsi="Segoe UI"/>
        </w:rPr>
        <w:br/>
        <w:t xml:space="preserve">Business case analysis, things like backup software licenses and disaster recovery software licenses are accounted for here as well. In addition, we see lease and power because it takes money for the space.</w:t>
      </w:r>
      <w:r>
        <w:rPr>
          <w:color w:val="242424"/>
          <w:sz w:val="4.3mm"/>
          <w:szCs w:val="4.3mm"/>
          <w:rFonts w:ascii="Segoe UI" w:cs="Segoe UI" w:eastAsia="Segoe UI" w:hAnsi="Segoe UI"/>
        </w:rPr>
        <w:br/>
        <w:t xml:space="preserve">to operate a data center, and it also takes energy to run the data center as well. There are also bandwidth and telecom chargers because the telecom charges because the data center has to be connected to the internet. And then there's also the people costs, right? And here it's IT, admin, various assumptions here.</w:t>
      </w:r>
      <w:r>
        <w:rPr>
          <w:color w:val="242424"/>
          <w:sz w:val="4.3mm"/>
          <w:szCs w:val="4.3mm"/>
          <w:rFonts w:ascii="Segoe UI" w:cs="Segoe UI" w:eastAsia="Segoe UI" w:hAnsi="Segoe UI"/>
        </w:rPr>
        <w:br/>
        <w:t xml:space="preserve">A high level one that we have is number of virtual machines per physical servers managed per a system administrator set to 1200. So these assumptions can also be fed back into the</w:t>
      </w:r>
      <w:r>
        <w:rPr>
          <w:color w:val="242424"/>
          <w:sz w:val="4.3mm"/>
          <w:szCs w:val="4.3mm"/>
          <w:rFonts w:ascii="Segoe UI" w:cs="Segoe UI" w:eastAsia="Segoe UI" w:hAnsi="Segoe UI"/>
        </w:rPr>
        <w:br/>
        <w:t xml:space="preserve">the agent for refactoring also. But let's get started on starting to enter in some numbers here. So again, this is the business analyst that is doing the number entry. So some of the assumptions here, US dollar,</w:t>
      </w:r>
      <w:r>
        <w:rPr>
          <w:color w:val="242424"/>
          <w:sz w:val="4.3mm"/>
          <w:szCs w:val="4.3mm"/>
          <w:rFonts w:ascii="Segoe UI" w:cs="Segoe UI" w:eastAsia="Segoe UI" w:hAnsi="Segoe UI"/>
        </w:rPr>
        <w:br/>
        <w:t xml:space="preserve">Local currency, but we want to be able to support multiple currencies, at least we'll say the major country currencies, customer price levels for Windows Server, SQL Server licenses, the most aggressive being...</w:t>
      </w:r>
      <w:r>
        <w:rPr>
          <w:color w:val="242424"/>
          <w:sz w:val="4.3mm"/>
          <w:szCs w:val="4.3mm"/>
          <w:rFonts w:ascii="Segoe UI" w:cs="Segoe UI" w:eastAsia="Segoe UI" w:hAnsi="Segoe UI"/>
        </w:rPr>
        <w:br/>
        <w:t xml:space="preserve">D as in David for the biggest discount, even though the default is B in the model. Are we exiting the entire data center or not? And is the data center exit proportional or not?</w:t>
      </w:r>
      <w:r>
        <w:rPr>
          <w:color w:val="242424"/>
          <w:sz w:val="4.3mm"/>
          <w:szCs w:val="4.3mm"/>
          <w:rFonts w:ascii="Segoe UI" w:cs="Segoe UI" w:eastAsia="Segoe UI" w:hAnsi="Segoe UI"/>
        </w:rPr>
        <w:br/>
        <w:t xml:space="preserve">or static, meaning proportional that during the ramp down of removing workloads from the data center, we will show benefits of cost reductions over the course proportionally of that ramp down period, or static,</w:t>
      </w:r>
      <w:r>
        <w:rPr>
          <w:color w:val="242424"/>
          <w:sz w:val="4.3mm"/>
          <w:szCs w:val="4.3mm"/>
          <w:rFonts w:ascii="Segoe UI" w:cs="Segoe UI" w:eastAsia="Segoe UI" w:hAnsi="Segoe UI"/>
        </w:rPr>
        <w:br/>
        <w:t xml:space="preserve">basically leave it all the same until the end of the migration period and then fall off the cliff on the data center cost. Hardware depreciation life, five years is a typical standard or benchmark. Hardware actual usage life, five years. Again, another typical benchmark.</w:t>
      </w:r>
      <w:r>
        <w:rPr>
          <w:color w:val="242424"/>
          <w:sz w:val="4.3mm"/>
          <w:szCs w:val="4.3mm"/>
          <w:rFonts w:ascii="Segoe UI" w:cs="Segoe UI" w:eastAsia="Segoe UI" w:hAnsi="Segoe UI"/>
        </w:rPr>
        <w:br/>
        <w:t xml:space="preserve">expected future growth for on-premise, again, for modeling purposes, 2% per year, hardware renewal during migration ramp up. We just have that as a 10% kind of rule of thumb as a percentage of hardware left on-premise. And yes, we also do want to include the IT admin productivity benefit.</w:t>
      </w:r>
      <w:r>
        <w:rPr>
          <w:color w:val="242424"/>
          <w:sz w:val="4.3mm"/>
          <w:szCs w:val="4.3mm"/>
          <w:rFonts w:ascii="Segoe UI" w:cs="Segoe UI" w:eastAsia="Segoe UI" w:hAnsi="Segoe UI"/>
        </w:rPr>
        <w:br/>
        <w:t xml:space="preserve">in the business case. So here is where the manual work happens for the business analyst, and we start plugging in numbers here. Now this into the client variables. Now this is, it's time consuming sometimes, and we have to go searching for it.</w:t>
      </w:r>
      <w:r>
        <w:rPr>
          <w:color w:val="242424"/>
          <w:sz w:val="4.3mm"/>
          <w:szCs w:val="4.3mm"/>
          <w:rFonts w:ascii="Segoe UI" w:cs="Segoe UI" w:eastAsia="Segoe UI" w:hAnsi="Segoe UI"/>
        </w:rPr>
        <w:br/>
        <w:t xml:space="preserve">in the RV tools file that is the basis for these counts. In the business case application, these numbers would have been garnered already in the layer one data ingest and analysis. But we're doing it manually here.</w:t>
      </w:r>
      <w:r>
        <w:rPr>
          <w:color w:val="242424"/>
          <w:sz w:val="4.3mm"/>
          <w:szCs w:val="4.3mm"/>
          <w:rFonts w:ascii="Segoe UI" w:cs="Segoe UI" w:eastAsia="Segoe UI" w:hAnsi="Segoe UI"/>
        </w:rPr>
        <w:br/>
        <w:t xml:space="preserve">So, I'm going to narrate the various notes that we use as guidance for the business analyst for how to find and enter those numbers. So, in this example here, for the number of VMs, we go to the VM info tab and we count.</w:t>
      </w:r>
      <w:r>
        <w:rPr>
          <w:color w:val="242424"/>
          <w:sz w:val="4.3mm"/>
          <w:szCs w:val="4.3mm"/>
          <w:rFonts w:ascii="Segoe UI" w:cs="Segoe UI" w:eastAsia="Segoe UI" w:hAnsi="Segoe UI"/>
        </w:rPr>
        <w:br/>
        <w:t xml:space="preserve">the number of all the VMs, and we don't know if it's column A or not. It's wherever it might sit. So here, and because this is the on-premise count, we're including all the hardware, not just</w:t>
      </w:r>
      <w:r>
        <w:rPr>
          <w:color w:val="242424"/>
          <w:sz w:val="4.3mm"/>
          <w:szCs w:val="4.3mm"/>
          <w:rFonts w:ascii="Segoe UI" w:cs="Segoe UI" w:eastAsia="Segoe UI" w:hAnsi="Segoe UI"/>
        </w:rPr>
        <w:br/>
        <w:t xml:space="preserve">the powered on VMs, so powered on and powered off. So right now, I count 2,831, not including the header, so I'll plug in 2,831.</w:t>
      </w:r>
      <w:r>
        <w:rPr>
          <w:color w:val="242424"/>
          <w:sz w:val="4.3mm"/>
          <w:szCs w:val="4.3mm"/>
          <w:rFonts w:ascii="Segoe UI" w:cs="Segoe UI" w:eastAsia="Segoe UI" w:hAnsi="Segoe UI"/>
        </w:rPr>
        <w:br/>
        <w:t xml:space="preserve">And then for the number of physical servers, excluding the VM hosts, in this example, we're just going to say 0 because all we have is the RV Tools file. There might be examples where there are physical servers.</w:t>
      </w:r>
      <w:r>
        <w:rPr>
          <w:color w:val="242424"/>
          <w:sz w:val="4.3mm"/>
          <w:szCs w:val="4.3mm"/>
          <w:rFonts w:ascii="Segoe UI" w:cs="Segoe UI" w:eastAsia="Segoe UI" w:hAnsi="Segoe UI"/>
        </w:rPr>
        <w:br/>
        <w:t xml:space="preserve">that are not part of the virtualized environment. They could be bare metal servers for high performance computing or running SAP databases or other reasons to have physical bare metal servers there.</w:t>
      </w:r>
      <w:r>
        <w:rPr>
          <w:color w:val="242424"/>
          <w:sz w:val="4.3mm"/>
          <w:szCs w:val="4.3mm"/>
          <w:rFonts w:ascii="Segoe UI" w:cs="Segoe UI" w:eastAsia="Segoe UI" w:hAnsi="Segoe UI"/>
        </w:rPr>
        <w:br/>
        <w:t xml:space="preserve">And okay, now another calculation that we'll do here, even though this Excel spreadsheet does an automated calculation, we actually want to do an actual count because we have, in this example, we do have a vHost tab.</w:t>
      </w:r>
      <w:r>
        <w:rPr>
          <w:color w:val="242424"/>
          <w:sz w:val="4.3mm"/>
          <w:szCs w:val="4.3mm"/>
          <w:rFonts w:ascii="Segoe UI" w:cs="Segoe UI" w:eastAsia="Segoe UI" w:hAnsi="Segoe UI"/>
        </w:rPr>
        <w:br/>
        <w:t xml:space="preserve">Now, otherwise, the number of physical servers, which include the VM host, have an assumption here, which goes back to basically a calculation where it's...</w:t>
      </w:r>
      <w:r>
        <w:rPr>
          <w:color w:val="242424"/>
          <w:sz w:val="4.3mm"/>
          <w:szCs w:val="4.3mm"/>
          <w:rFonts w:ascii="Segoe UI" w:cs="Segoe UI" w:eastAsia="Segoe UI" w:hAnsi="Segoe UI"/>
        </w:rPr>
        <w:br/>
        <w:t xml:space="preserve">the number of VMs divided by the benchmark assumptions K11 field and this and it is using it is using the benchmark assumption of VM to physical server ratio.</w:t>
      </w:r>
      <w:r>
        <w:rPr>
          <w:color w:val="242424"/>
          <w:sz w:val="4.3mm"/>
          <w:szCs w:val="4.3mm"/>
          <w:rFonts w:ascii="Segoe UI" w:cs="Segoe UI" w:eastAsia="Segoe UI" w:hAnsi="Segoe UI"/>
        </w:rPr>
        <w:br/>
        <w:t xml:space="preserve">Of 12, now that's just a benchmark assumption, but that's why, because we have the so that would be a fallback and and and it and it's so it's it's that it's the number of VMs divided by 12, which is the VM to physical server benchmark assumption ratio.</w:t>
      </w:r>
      <w:r>
        <w:rPr>
          <w:color w:val="242424"/>
          <w:sz w:val="4.3mm"/>
          <w:szCs w:val="4.3mm"/>
          <w:rFonts w:ascii="Segoe UI" w:cs="Segoe UI" w:eastAsia="Segoe UI" w:hAnsi="Segoe UI"/>
        </w:rPr>
        <w:br/>
        <w:t xml:space="preserve">Plus, if we had physical servers that are not VM hosts, in this case, we don't here, but we have the VHost tab. So, if we go over here to the VHost tab and we say, "Well, what are the number of physical hosts?" and we see 280.</w:t>
      </w:r>
      <w:r>
        <w:rPr>
          <w:color w:val="242424"/>
          <w:sz w:val="4.3mm"/>
          <w:szCs w:val="4.3mm"/>
          <w:rFonts w:ascii="Segoe UI" w:cs="Segoe UI" w:eastAsia="Segoe UI" w:hAnsi="Segoe UI"/>
        </w:rPr>
        <w:br/>
        <w:t xml:space="preserve">not including the header. So you see it's a little higher than what the benchmark assumption calculation would have yielded.</w:t>
      </w:r>
      <w:r>
        <w:rPr>
          <w:color w:val="242424"/>
          <w:sz w:val="4.3mm"/>
          <w:szCs w:val="4.3mm"/>
          <w:rFonts w:ascii="Segoe UI" w:cs="Segoe UI" w:eastAsia="Segoe UI" w:hAnsi="Segoe UI"/>
        </w:rPr>
        <w:br/>
        <w:t xml:space="preserve">So, okay, so then next, we're calculating allocated virtual CPUs. And then here, the guidance is to the business analyst is go to the V-info tab and sum up the number of CPUs in the V-info tab. So</w:t>
      </w:r>
      <w:r>
        <w:rPr>
          <w:color w:val="242424"/>
          <w:sz w:val="4.3mm"/>
          <w:szCs w:val="4.3mm"/>
          <w:rFonts w:ascii="Segoe UI" w:cs="Segoe UI" w:eastAsia="Segoe UI" w:hAnsi="Segoe UI"/>
        </w:rPr>
        <w:br/>
        <w:t xml:space="preserve">So, we'll go over here, so number of number of CPUs.</w:t>
      </w:r>
      <w:r>
        <w:rPr>
          <w:color w:val="242424"/>
          <w:sz w:val="4.3mm"/>
          <w:szCs w:val="4.3mm"/>
          <w:rFonts w:ascii="Segoe UI" w:cs="Segoe UI" w:eastAsia="Segoe UI" w:hAnsi="Segoe UI"/>
        </w:rPr>
        <w:br/>
        <w:t xml:space="preserve">And that shows a sum of 548.</w:t>
      </w:r>
      <w:r>
        <w:rPr>
          <w:color w:val="242424"/>
          <w:sz w:val="4.3mm"/>
          <w:szCs w:val="4.3mm"/>
          <w:rFonts w:ascii="Segoe UI" w:cs="Segoe UI" w:eastAsia="Segoe UI" w:hAnsi="Segoe UI"/>
        </w:rPr>
        <w:br/>
        <w:t xml:space="preserve">Oh no, no, no, no, the V info tab. I was in the wrong tab. So we got to go to the V info tab, number of CPUs. Yes, there we go. That's the right. So the sum of 15,330. We're going to plug that in.</w:t>
      </w:r>
      <w:r>
        <w:rPr>
          <w:color w:val="242424"/>
          <w:sz w:val="4.3mm"/>
          <w:szCs w:val="4.3mm"/>
          <w:rFonts w:ascii="Segoe UI" w:cs="Segoe UI" w:eastAsia="Segoe UI" w:hAnsi="Segoe UI"/>
        </w:rPr>
        <w:br/>
        <w:t xml:space="preserve">And same as the number of physical servers, what are the number of physical cores that are not the VM hosts machine? In this example, we don't have any, but if we had physical bare metal servers that were not part of the virtualization environment,</w:t>
      </w:r>
      <w:r>
        <w:rPr>
          <w:color w:val="242424"/>
          <w:sz w:val="4.3mm"/>
          <w:szCs w:val="4.3mm"/>
          <w:rFonts w:ascii="Segoe UI" w:cs="Segoe UI" w:eastAsia="Segoe UI" w:hAnsi="Segoe UI"/>
        </w:rPr>
        <w:br/>
        <w:t xml:space="preserve">we would want to account for that as well. So then we continue going. So now we have the estimated allocated physical cores, including the VM hosts this time, very similar to the number of physical servers above that included the VM hosts.</w:t>
      </w:r>
      <w:r>
        <w:rPr>
          <w:color w:val="242424"/>
          <w:sz w:val="4.3mm"/>
          <w:szCs w:val="4.3mm"/>
          <w:rFonts w:ascii="Segoe UI" w:cs="Segoe UI" w:eastAsia="Segoe UI" w:hAnsi="Segoe UI"/>
        </w:rPr>
        <w:br/>
        <w:t xml:space="preserve">And that guidance note to the business analyst is go to the vHost tab and sum up the number of cores. So now we go to the vHost tab, and then we sum up the number of cores, and it looks like 11,040.</w:t>
      </w:r>
      <w:r>
        <w:rPr>
          <w:color w:val="242424"/>
          <w:sz w:val="4.3mm"/>
          <w:szCs w:val="4.3mm"/>
          <w:rFonts w:ascii="Segoe UI" w:cs="Segoe UI" w:eastAsia="Segoe UI" w:hAnsi="Segoe UI"/>
        </w:rPr>
        <w:br/>
        <w:t xml:space="preserve">Otherwise, there seems to be also a benchmark assumption formula in there to estimate if we did not have the V host tab. We have to be able to adapt to a situation where if we don't have the V host tab, then we just have to make the best possible and ideally as accurate as possible of estimation</w:t>
      </w:r>
      <w:r>
        <w:rPr>
          <w:color w:val="242424"/>
          <w:sz w:val="4.3mm"/>
          <w:szCs w:val="4.3mm"/>
          <w:rFonts w:ascii="Segoe UI" w:cs="Segoe UI" w:eastAsia="Segoe UI" w:hAnsi="Segoe UI"/>
        </w:rPr>
        <w:br/>
        <w:t xml:space="preserve">for values that we can't easily just count in a tab. So here, allocated virtual memory in gigabytes. So this is the guidance is we're going to the V info tab again and sum up the memory column. Now remember, the memory is an MIB, and then we're going to</w:t>
      </w:r>
      <w:r>
        <w:rPr>
          <w:color w:val="242424"/>
          <w:sz w:val="4.3mm"/>
          <w:szCs w:val="4.3mm"/>
          <w:rFonts w:ascii="Segoe UI" w:cs="Segoe UI" w:eastAsia="Segoe UI" w:hAnsi="Segoe UI"/>
        </w:rPr>
        <w:br/>
        <w:t xml:space="preserve">We're going to then divide that by 1,024 to achieve gigabytes. So we go to the V Infra tab, and then we go here to memory.</w:t>
      </w:r>
      <w:r>
        <w:rPr>
          <w:color w:val="242424"/>
          <w:sz w:val="4.3mm"/>
          <w:szCs w:val="4.3mm"/>
          <w:rFonts w:ascii="Segoe UI" w:cs="Segoe UI" w:eastAsia="Segoe UI" w:hAnsi="Segoe UI"/>
        </w:rPr>
        <w:br/>
        <w:t xml:space="preserve">And I take that, take that number, and...</w:t>
      </w:r>
      <w:r>
        <w:rPr>
          <w:color w:val="242424"/>
          <w:sz w:val="4.3mm"/>
          <w:szCs w:val="4.3mm"/>
          <w:rFonts w:ascii="Segoe UI" w:cs="Segoe UI" w:eastAsia="Segoe UI" w:hAnsi="Segoe UI"/>
        </w:rPr>
        <w:br/>
        <w:t xml:space="preserve">And enter it in.</w:t>
      </w:r>
      <w:r>
        <w:rPr>
          <w:color w:val="242424"/>
          <w:sz w:val="4.3mm"/>
          <w:szCs w:val="4.3mm"/>
          <w:rFonts w:ascii="Segoe UI" w:cs="Segoe UI" w:eastAsia="Segoe UI" w:hAnsi="Segoe UI"/>
        </w:rPr>
        <w:br/>
        <w:t xml:space="preserve">then divided by 1024.</w:t>
      </w:r>
      <w:r>
        <w:rPr>
          <w:color w:val="242424"/>
          <w:sz w:val="4.3mm"/>
          <w:szCs w:val="4.3mm"/>
          <w:rFonts w:ascii="Segoe UI" w:cs="Segoe UI" w:eastAsia="Segoe UI" w:hAnsi="Segoe UI"/>
        </w:rPr>
        <w:br/>
        <w:t xml:space="preserve">And I have the amount of memory there. Then allocated physical memory in gigabytes, excluding the VM host, very similar to what we saw before, because we don't have any bare metal servers. In this scenario, it's zero. But now we want to include the physical memory in gigabytes of the VM host itself. So we go over to the V-host tab.</w:t>
      </w:r>
      <w:r>
        <w:rPr>
          <w:color w:val="242424"/>
          <w:sz w:val="4.3mm"/>
          <w:szCs w:val="4.3mm"/>
          <w:rFonts w:ascii="Segoe UI" w:cs="Segoe UI" w:eastAsia="Segoe UI" w:hAnsi="Segoe UI"/>
        </w:rPr>
        <w:br/>
        <w:t xml:space="preserve">If we have it.</w:t>
      </w:r>
      <w:r>
        <w:rPr>
          <w:color w:val="242424"/>
          <w:sz w:val="4.3mm"/>
          <w:szCs w:val="4.3mm"/>
          <w:rFonts w:ascii="Segoe UI" w:cs="Segoe UI" w:eastAsia="Segoe UI" w:hAnsi="Segoe UI"/>
        </w:rPr>
        <w:br/>
        <w:t xml:space="preserve">And we go to the memory column, then the number memory column.</w:t>
      </w:r>
      <w:r>
        <w:rPr>
          <w:color w:val="242424"/>
          <w:sz w:val="4.3mm"/>
          <w:szCs w:val="4.3mm"/>
          <w:rFonts w:ascii="Segoe UI" w:cs="Segoe UI" w:eastAsia="Segoe UI" w:hAnsi="Segoe UI"/>
        </w:rPr>
        <w:br/>
        <w:t xml:space="preserve">In V. Host.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we see, we see the number here. Now, remember, that's an MIB, so...</w:t>
      </w:r>
      <w:r>
        <w:rPr>
          <w:color w:val="242424"/>
          <w:sz w:val="4.3mm"/>
          <w:szCs w:val="4.3mm"/>
          <w:rFonts w:ascii="Segoe UI" w:cs="Segoe UI" w:eastAsia="Segoe UI" w:hAnsi="Segoe UI"/>
        </w:rPr>
        <w:br/>
        <w:t xml:space="preserve">I plug that in, divided by 1024 for the guidance we provide to the analyst, and then we have that.</w:t>
      </w:r>
      <w:r>
        <w:rPr>
          <w:color w:val="242424"/>
          <w:sz w:val="4.3mm"/>
          <w:szCs w:val="4.3mm"/>
          <w:rFonts w:ascii="Segoe UI" w:cs="Segoe UI" w:eastAsia="Segoe UI" w:hAnsi="Segoe UI"/>
        </w:rPr>
        <w:br/>
        <w:t xml:space="preserve">Oh, they got entered into the wrong place.</w:t>
      </w:r>
      <w:r>
        <w:rPr>
          <w:color w:val="242424"/>
          <w:sz w:val="4.3mm"/>
          <w:szCs w:val="4.3mm"/>
          <w:rFonts w:ascii="Segoe UI" w:cs="Segoe UI" w:eastAsia="Segoe UI" w:hAnsi="Segoe UI"/>
        </w:rPr>
        <w:br/>
        <w:t xml:space="preserve">Okay, so and then now we are counting up the total storage. Now, here, there are so different people have different have different philosophies on which storage amount they're going to use here.</w:t>
      </w:r>
      <w:r>
        <w:rPr>
          <w:color w:val="242424"/>
          <w:sz w:val="4.3mm"/>
          <w:szCs w:val="4.3mm"/>
          <w:rFonts w:ascii="Segoe UI" w:cs="Segoe UI" w:eastAsia="Segoe UI" w:hAnsi="Segoe UI"/>
        </w:rPr>
        <w:br/>
        <w:t xml:space="preserve">Even though the guidance the guidance says V info V info tab sum up the in use MIB, so it's the utilize, and that's not a bad idea because at least that gives us a better, a more, well, it does it does it gives us gives us a it's cost effective, even though we're building a business, we're building this part of the this portion of the business case.</w:t>
      </w:r>
      <w:r>
        <w:rPr>
          <w:color w:val="242424"/>
          <w:sz w:val="4.3mm"/>
          <w:szCs w:val="4.3mm"/>
          <w:rFonts w:ascii="Segoe UI" w:cs="Segoe UI" w:eastAsia="Segoe UI" w:hAnsi="Segoe UI"/>
        </w:rPr>
        <w:br/>
        <w:t xml:space="preserve">is the on-premise portion.</w:t>
      </w:r>
      <w:r>
        <w:rPr>
          <w:color w:val="242424"/>
          <w:sz w:val="4.3mm"/>
          <w:szCs w:val="4.3mm"/>
          <w:rFonts w:ascii="Segoe UI" w:cs="Segoe UI" w:eastAsia="Segoe UI" w:hAnsi="Segoe UI"/>
        </w:rPr>
        <w:br/>
        <w:t xml:space="preserve">But it doesn't overly inflate the storage amounts. But let's look at both values. So if we go to vinfo and then we're looking for the storage amounts.</w:t>
      </w:r>
      <w:r>
        <w:rPr>
          <w:color w:val="242424"/>
          <w:sz w:val="4.3mm"/>
          <w:szCs w:val="4.3mm"/>
          <w:rFonts w:ascii="Segoe UI" w:cs="Segoe UI" w:eastAsia="Segoe UI" w:hAnsi="Segoe UI"/>
        </w:rPr>
        <w:br/>
        <w:t xml:space="preserve">It looks like this.</w:t>
      </w:r>
      <w:r>
        <w:rPr>
          <w:color w:val="242424"/>
          <w:sz w:val="4.3mm"/>
          <w:szCs w:val="4.3mm"/>
          <w:rFonts w:ascii="Segoe UI" w:cs="Segoe UI" w:eastAsia="Segoe UI" w:hAnsi="Segoe UI"/>
        </w:rPr>
        <w:br/>
        <w:t xml:space="preserve">This RV tools export does not, ohh, because I'm looking in the wrong in the wrong tab again, sorry, so I was on I was on the V host tab, that's the wrong tab, so I'm looking at the V info tab for the the in use, OK, but we're gonna we're gonna get we're gonna get both the numbers, so...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we have in this example here, we have provisioned MIB, which is basically the disk capacity itself, and then in use MIB, well, provisioned MIB at least provisioned by the vCenter, by the VMware hypervisor.</w:t>
      </w:r>
      <w:r>
        <w:rPr>
          <w:color w:val="242424"/>
          <w:sz w:val="4.3mm"/>
          <w:szCs w:val="4.3mm"/>
          <w:rFonts w:ascii="Segoe UI" w:cs="Segoe UI" w:eastAsia="Segoe UI" w:hAnsi="Segoe UI"/>
        </w:rPr>
        <w:br/>
        <w:t xml:space="preserve">And then in use MIB being what it's actually using. So we sometimes will look at both of these figures and then decide, do we want to stick with using the in use MIB if there's a significant discrepancy to provision MIB because they pay for that.</w:t>
      </w:r>
      <w:r>
        <w:rPr>
          <w:color w:val="242424"/>
          <w:sz w:val="4.3mm"/>
          <w:szCs w:val="4.3mm"/>
          <w:rFonts w:ascii="Segoe UI" w:cs="Segoe UI" w:eastAsia="Segoe UI" w:hAnsi="Segoe UI"/>
        </w:rPr>
        <w:br/>
        <w:t xml:space="preserve">that storage hardware. So we'll just look here and then take the provision MIB or capacity MIB, depending on what it might be called.</w:t>
      </w:r>
      <w:r>
        <w:rPr>
          <w:color w:val="242424"/>
          <w:sz w:val="4.3mm"/>
          <w:szCs w:val="4.3mm"/>
          <w:rFonts w:ascii="Segoe UI" w:cs="Segoe UI" w:eastAsia="Segoe UI" w:hAnsi="Segoe UI"/>
        </w:rPr>
        <w:br/>
        <w:t xml:space="preserve">And we'll just, you know, stash that away, stash right away right now for comparison's sake. Again, this is the business analyst that's doing this exercise. And then we'll use the in use MIB.</w:t>
      </w:r>
      <w:r>
        <w:rPr>
          <w:color w:val="242424"/>
          <w:sz w:val="4.3mm"/>
          <w:szCs w:val="4.3mm"/>
          <w:rFonts w:ascii="Segoe UI" w:cs="Segoe UI" w:eastAsia="Segoe UI" w:hAnsi="Segoe UI"/>
        </w:rPr>
        <w:br/>
        <w:t xml:space="preserve">And then we'll then we'll put that, let's just let's just, you know, put it put it down here, or just for comparison's sake, they're very close, so they're very close, so you know, in this in this example, because because the variance is so tight, is so narrow, I don't think it really matters.</w:t>
      </w:r>
      <w:r>
        <w:rPr>
          <w:color w:val="242424"/>
          <w:sz w:val="4.3mm"/>
          <w:szCs w:val="4.3mm"/>
          <w:rFonts w:ascii="Segoe UI" w:cs="Segoe UI" w:eastAsia="Segoe UI" w:hAnsi="Segoe UI"/>
        </w:rPr>
        <w:br/>
        <w:t xml:space="preserve">Which one we use, so let's just use the in the in use MIB value, and then and then we're and then we're going to.</w:t>
      </w:r>
      <w:r>
        <w:rPr>
          <w:color w:val="242424"/>
          <w:sz w:val="4.3mm"/>
          <w:szCs w:val="4.3mm"/>
          <w:rFonts w:ascii="Segoe UI" w:cs="Segoe UI" w:eastAsia="Segoe UI" w:hAnsi="Segoe UI"/>
        </w:rPr>
        <w:br/>
        <w:t xml:space="preserve">convert, because it's MIB, we're going to convert that to gigabytes. So 953.67 is at least the guidance conversion that we have for the analysts here. And there we now have in gigabytes, the amount of storage. So in this example, we don't have</w:t>
      </w:r>
      <w:r>
        <w:rPr>
          <w:color w:val="242424"/>
          <w:sz w:val="4.3mm"/>
          <w:szCs w:val="4.3mm"/>
          <w:rFonts w:ascii="Segoe UI" w:cs="Segoe UI" w:eastAsia="Segoe UI" w:hAnsi="Segoe UI"/>
        </w:rPr>
        <w:br/>
        <w:t xml:space="preserve">any backup or disaster recovery spelled out, but we want to account for that. So just be aware of that. So now, so here.</w:t>
      </w:r>
      <w:r>
        <w:rPr>
          <w:color w:val="242424"/>
          <w:sz w:val="4.3mm"/>
          <w:szCs w:val="4.3mm"/>
          <w:rFonts w:ascii="Segoe UI" w:cs="Segoe UI" w:eastAsia="Segoe UI" w:hAnsi="Segoe UI"/>
        </w:rPr>
        <w:br/>
        <w:t xml:space="preserve">So in this example here, so it looks like, well, that's a calculator field, forget it. So, okay, the next manual entry that we're making is the average ratio of VCPU to cores. The benchmark.</w:t>
      </w:r>
      <w:r>
        <w:rPr>
          <w:color w:val="242424"/>
          <w:sz w:val="4.3mm"/>
          <w:szCs w:val="4.3mm"/>
          <w:rFonts w:ascii="Segoe UI" w:cs="Segoe UI" w:eastAsia="Segoe UI" w:hAnsi="Segoe UI"/>
        </w:rPr>
        <w:br/>
        <w:t xml:space="preserve">that is built into the model is 1.97.</w:t>
      </w:r>
      <w:r>
        <w:rPr>
          <w:color w:val="242424"/>
          <w:sz w:val="4.3mm"/>
          <w:szCs w:val="4.3mm"/>
          <w:rFonts w:ascii="Segoe UI" w:cs="Segoe UI" w:eastAsia="Segoe UI" w:hAnsi="Segoe UI"/>
        </w:rPr>
        <w:br/>
        <w:t xml:space="preserve">That's a good rule of thumb. Here, the guidance for the business analyst, we say, go to the vHost tab and grab the average vCPUs per core from that column there. Now, that's if we have a vHost tab.</w:t>
      </w:r>
      <w:r>
        <w:rPr>
          <w:color w:val="242424"/>
          <w:sz w:val="4.3mm"/>
          <w:szCs w:val="4.3mm"/>
          <w:rFonts w:ascii="Segoe UI" w:cs="Segoe UI" w:eastAsia="Segoe UI" w:hAnsi="Segoe UI"/>
        </w:rPr>
        <w:br/>
        <w:t xml:space="preserve">If we don't have a vhost tab, then 1.97 is a good enough benchmark to use. So we'll go to vhost and then we'll average the vCPUs per core.</w:t>
      </w:r>
      <w:r>
        <w:rPr>
          <w:color w:val="242424"/>
          <w:sz w:val="4.3mm"/>
          <w:szCs w:val="4.3mm"/>
          <w:rFonts w:ascii="Segoe UI" w:cs="Segoe UI" w:eastAsia="Segoe UI" w:hAnsi="Segoe UI"/>
        </w:rPr>
        <w:br/>
        <w:t xml:space="preserve">Column, so...</w:t>
      </w:r>
      <w:r>
        <w:rPr>
          <w:color w:val="242424"/>
          <w:sz w:val="4.3mm"/>
          <w:szCs w:val="4.3mm"/>
          <w:rFonts w:ascii="Segoe UI" w:cs="Segoe UI" w:eastAsia="Segoe UI" w:hAnsi="Segoe UI"/>
        </w:rPr>
        <w:br/>
        <w:t xml:space="preserve">So we look for the...</w:t>
      </w:r>
      <w:r>
        <w:rPr>
          <w:color w:val="242424"/>
          <w:sz w:val="4.3mm"/>
          <w:szCs w:val="4.3mm"/>
          <w:rFonts w:ascii="Segoe UI" w:cs="Segoe UI" w:eastAsia="Segoe UI" w:hAnsi="Segoe UI"/>
        </w:rPr>
        <w:br/>
        <w:t xml:space="preserve">Here we go. So, here's the VCPUs per core, and the average shows 1.48. So, in this example, then 1.48 is what the customer is running under now. Now, the next one is we want to we want to get...</w:t>
      </w:r>
      <w:r>
        <w:rPr>
          <w:color w:val="242424"/>
          <w:sz w:val="4.3mm"/>
          <w:szCs w:val="4.3mm"/>
          <w:rFonts w:ascii="Segoe UI" w:cs="Segoe UI" w:eastAsia="Segoe UI" w:hAnsi="Segoe UI"/>
        </w:rPr>
        <w:br/>
        <w:t xml:space="preserve">to be able to calculate ESUs, sometimes we'll get the operating system being a part of the metadata in the RV tools file. So here, so we're looking for physical cores with</w:t>
      </w:r>
      <w:r>
        <w:rPr>
          <w:color w:val="242424"/>
          <w:sz w:val="4.3mm"/>
          <w:szCs w:val="4.3mm"/>
          <w:rFonts w:ascii="Segoe UI" w:cs="Segoe UI" w:eastAsia="Segoe UI" w:hAnsi="Segoe UI"/>
        </w:rPr>
        <w:br/>
        <w:t xml:space="preserve">Windows Server operating system, any addition. So the guidance we have here is go to the V info tab and then filter the operating system to Windows Server and then take the total number of CPUs and divide it by the value in, divide it by the average ratio of ECPU.</w:t>
      </w:r>
      <w:r>
        <w:rPr>
          <w:color w:val="242424"/>
          <w:sz w:val="4.3mm"/>
          <w:szCs w:val="4.3mm"/>
          <w:rFonts w:ascii="Segoe UI" w:cs="Segoe UI" w:eastAsia="Segoe UI" w:hAnsi="Segoe UI"/>
        </w:rPr>
        <w:br/>
        <w:t xml:space="preserve">per core, which we had calculated here as 1.48. Otherwise, the benchmark would be 1.97. So let's go to vInfo tab and then look for operating system Windows Server. So now the...</w:t>
      </w:r>
      <w:r>
        <w:rPr>
          <w:color w:val="242424"/>
          <w:sz w:val="4.3mm"/>
          <w:szCs w:val="4.3mm"/>
          <w:rFonts w:ascii="Segoe UI" w:cs="Segoe UI" w:eastAsia="Segoe UI" w:hAnsi="Segoe UI"/>
        </w:rPr>
        <w:br/>
        <w:t xml:space="preserve">We usually have a couple of places to find operating system.</w:t>
      </w:r>
      <w:r>
        <w:rPr>
          <w:color w:val="242424"/>
          <w:sz w:val="4.3mm"/>
          <w:szCs w:val="4.3mm"/>
          <w:rFonts w:ascii="Segoe UI" w:cs="Segoe UI" w:eastAsia="Segoe UI" w:hAnsi="Segoe UI"/>
        </w:rPr>
        <w:br/>
        <w:t xml:space="preserve">So, in the V-info tab, so we're looking for the operating system Windows specifically, and usually there are two columns, hopefully. Sometimes one column is not built out.</w:t>
      </w:r>
      <w:r>
        <w:rPr>
          <w:color w:val="242424"/>
          <w:sz w:val="4.3mm"/>
          <w:szCs w:val="4.3mm"/>
          <w:rFonts w:ascii="Segoe UI" w:cs="Segoe UI" w:eastAsia="Segoe UI" w:hAnsi="Segoe UI"/>
        </w:rPr>
        <w:br/>
        <w:t xml:space="preserve">or filled in with metadata as well as the other one. So I usually will default to, if I have a column that says OS according to the configuration file, I will choose that one. So sometimes we have OS according to the VMware tools.</w:t>
      </w:r>
      <w:r>
        <w:rPr>
          <w:color w:val="242424"/>
          <w:sz w:val="4.3mm"/>
          <w:szCs w:val="4.3mm"/>
          <w:rFonts w:ascii="Segoe UI" w:cs="Segoe UI" w:eastAsia="Segoe UI" w:hAnsi="Segoe UI"/>
        </w:rPr>
        <w:br/>
        <w:t xml:space="preserve">Sometimes that one is not, or similarly named one, is not built out as much and may have blanks in there. So we'll filter to all of the Windows. And now it's Windows Server.</w:t>
      </w:r>
      <w:r>
        <w:rPr>
          <w:color w:val="242424"/>
          <w:sz w:val="4.3mm"/>
          <w:szCs w:val="4.3mm"/>
          <w:rFonts w:ascii="Segoe UI" w:cs="Segoe UI" w:eastAsia="Segoe UI" w:hAnsi="Segoe UI"/>
        </w:rPr>
        <w:br/>
        <w:t xml:space="preserve">Sometimes we'll show Windows 10, Windows 7, which are client devices, and that one may throw a little bit of a confusion or ambiguity to the ESU picture.</w:t>
      </w:r>
      <w:r>
        <w:rPr>
          <w:color w:val="242424"/>
          <w:sz w:val="4.3mm"/>
          <w:szCs w:val="4.3mm"/>
          <w:rFonts w:ascii="Segoe UI" w:cs="Segoe UI" w:eastAsia="Segoe UI" w:hAnsi="Segoe UI"/>
        </w:rPr>
        <w:br/>
        <w:t xml:space="preserve">In in the in the business case, so.</w:t>
      </w:r>
      <w:r>
        <w:rPr>
          <w:color w:val="242424"/>
          <w:sz w:val="4.3mm"/>
          <w:szCs w:val="4.3mm"/>
          <w:rFonts w:ascii="Segoe UI" w:cs="Segoe UI" w:eastAsia="Segoe UI" w:hAnsi="Segoe UI"/>
        </w:rPr>
        <w:br/>
        <w:t xml:space="preserve">So I like to just pick just the Windows Server, so you know, and it'll actually say Microsoft Windows Server, hopefully, you know, it has to at least say Windows Server, whether it has Microsoft in it or not, but all the additions. If there are additions missing, you know, then that's okay. You know, sometimes we'll need to.</w:t>
      </w:r>
      <w:r>
        <w:rPr>
          <w:color w:val="242424"/>
          <w:sz w:val="4.3mm"/>
          <w:szCs w:val="4.3mm"/>
          <w:rFonts w:ascii="Segoe UI" w:cs="Segoe UI" w:eastAsia="Segoe UI" w:hAnsi="Segoe UI"/>
        </w:rPr>
        <w:br/>
        <w:t xml:space="preserve">make assumptions, but here, so I've selected all the Windows Server and then it says go to the CPU column and get that sum. So we'll go to the CPU column.</w:t>
      </w:r>
      <w:r>
        <w:rPr>
          <w:color w:val="242424"/>
          <w:sz w:val="4.3mm"/>
          <w:szCs w:val="4.3mm"/>
          <w:rFonts w:ascii="Segoe UI" w:cs="Segoe UI" w:eastAsia="Segoe UI" w:hAnsi="Segoe UI"/>
        </w:rPr>
        <w:br/>
        <w:t xml:space="preserve">number of CPUs and I have a sum of 12,405.</w:t>
      </w:r>
      <w:r>
        <w:rPr>
          <w:color w:val="242424"/>
          <w:sz w:val="4.3mm"/>
          <w:szCs w:val="4.3mm"/>
          <w:rFonts w:ascii="Segoe UI" w:cs="Segoe UI" w:eastAsia="Segoe UI" w:hAnsi="Segoe UI"/>
        </w:rPr>
        <w:br/>
        <w:t xml:space="preserve">And then so, so it's basically that divided by the average ratio of eCPU per core value, and here I'm just doing that cell reference, and then there it gives us the number of physical cores with Windows Server.</w:t>
      </w:r>
      <w:r>
        <w:rPr>
          <w:color w:val="242424"/>
          <w:sz w:val="4.3mm"/>
          <w:szCs w:val="4.3mm"/>
          <w:rFonts w:ascii="Segoe UI" w:cs="Segoe UI" w:eastAsia="Segoe UI" w:hAnsi="Segoe UI"/>
        </w:rPr>
        <w:br/>
        <w:t xml:space="preserve">The next one is physical, so that calculation we just made there is for demonstrating Azure hybrid use benefits. Bring your Windows Server license to Azure and you can enjoy Azure hybrid use benefits.</w:t>
      </w:r>
      <w:r>
        <w:rPr>
          <w:color w:val="242424"/>
          <w:sz w:val="4.3mm"/>
          <w:szCs w:val="4.3mm"/>
          <w:rFonts w:ascii="Segoe UI" w:cs="Segoe UI" w:eastAsia="Segoe UI" w:hAnsi="Segoe UI"/>
        </w:rPr>
        <w:br/>
        <w:t xml:space="preserve">and cost reduction on those licenses that you that you own, bringing them over. So the next one is ESUs for supported versions of the Windows Server editions. So if we go if we go back over here to the Windows Server.</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you'll have to make the right adaptations in the code for the refactoring in terms of what are the Windows Server editions that are under ESU. As far as I know, it's only Windows 2012.</w:t>
      </w:r>
      <w:r>
        <w:rPr>
          <w:color w:val="242424"/>
          <w:sz w:val="4.3mm"/>
          <w:szCs w:val="4.3mm"/>
          <w:rFonts w:ascii="Segoe UI" w:cs="Segoe UI" w:eastAsia="Segoe UI" w:hAnsi="Segoe UI"/>
        </w:rPr>
        <w:br/>
        <w:t xml:space="preserve">At this time. So this is not intended to be prescriptive. At this time, I'm only aware of Windows 2012 being under ESU support. So you'll have to know this when the calculations are being done and codify that in the refactoring.</w:t>
      </w:r>
      <w:r>
        <w:rPr>
          <w:color w:val="242424"/>
          <w:sz w:val="4.3mm"/>
          <w:szCs w:val="4.3mm"/>
          <w:rFonts w:ascii="Segoe UI" w:cs="Segoe UI" w:eastAsia="Segoe UI" w:hAnsi="Segoe UI"/>
        </w:rPr>
        <w:br/>
        <w:t xml:space="preserve">So I have in this example, Windows Server 2012 selected, and then we go back over here to number of CPUs, and then we enter that.</w:t>
      </w:r>
      <w:r>
        <w:rPr>
          <w:color w:val="242424"/>
          <w:sz w:val="4.3mm"/>
          <w:szCs w:val="4.3mm"/>
          <w:rFonts w:ascii="Segoe UI" w:cs="Segoe UI" w:eastAsia="Segoe UI" w:hAnsi="Segoe UI"/>
        </w:rPr>
        <w:br/>
        <w:t xml:space="preserve">Enter that and again divide by the average ratio of ECPU to core value.</w:t>
      </w:r>
      <w:r>
        <w:rPr>
          <w:color w:val="242424"/>
          <w:sz w:val="4.3mm"/>
          <w:szCs w:val="4.3mm"/>
          <w:rFonts w:ascii="Segoe UI" w:cs="Segoe UI" w:eastAsia="Segoe UI" w:hAnsi="Segoe UI"/>
        </w:rPr>
        <w:br/>
        <w:t xml:space="preserve">And we have the number of physical cores with versions supported under ESU still. And now we make certain assumptions on SQL Server licenses. We don't always see</w:t>
      </w:r>
      <w:r>
        <w:rPr>
          <w:color w:val="242424"/>
          <w:sz w:val="4.3mm"/>
          <w:szCs w:val="4.3mm"/>
          <w:rFonts w:ascii="Segoe UI" w:cs="Segoe UI" w:eastAsia="Segoe UI" w:hAnsi="Segoe UI"/>
        </w:rPr>
        <w:br/>
        <w:t xml:space="preserve">the SQL Server metadata in the RV tools. In fact, we rarely see it. So we just make an assumption here that, hey, let's assume that 10% of the number of physical cores with any Windows Server version</w:t>
      </w:r>
      <w:r>
        <w:rPr>
          <w:color w:val="242424"/>
          <w:sz w:val="4.3mm"/>
          <w:szCs w:val="4.3mm"/>
          <w:rFonts w:ascii="Segoe UI" w:cs="Segoe UI" w:eastAsia="Segoe UI" w:hAnsi="Segoe UI"/>
        </w:rPr>
        <w:br/>
        <w:t xml:space="preserve">on it also is running SQL Server licenses. And then for the ESU supported one, same thing, 10% of the physical cores with ESU supported versions of Windows Server, we assume are running SQL as well.</w:t>
      </w:r>
      <w:r>
        <w:rPr>
          <w:color w:val="242424"/>
          <w:sz w:val="4.3mm"/>
          <w:szCs w:val="4.3mm"/>
          <w:rFonts w:ascii="Segoe UI" w:cs="Segoe UI" w:eastAsia="Segoe UI" w:hAnsi="Segoe UI"/>
        </w:rPr>
        <w:br/>
        <w:t xml:space="preserve">So that's it in terms of the client variable entries. And then now we go into to start filling in the future state Azure scenario. And so I'll basically take the ACR numbers</w:t>
      </w:r>
      <w:r>
        <w:rPr>
          <w:color w:val="242424"/>
          <w:sz w:val="4.3mm"/>
          <w:szCs w:val="4.3mm"/>
          <w:rFonts w:ascii="Segoe UI" w:cs="Segoe UI" w:eastAsia="Segoe UI" w:hAnsi="Segoe UI"/>
        </w:rPr>
        <w:br/>
        <w:t xml:space="preserve">That I that I calculated annual to to create a basically a ten-year annual ACR view, and so so here we have for the for the compute for the virtual machines, and it's and I'm just using the example.</w:t>
      </w:r>
      <w:r>
        <w:rPr>
          <w:color w:val="242424"/>
          <w:sz w:val="4.3mm"/>
          <w:szCs w:val="4.3mm"/>
          <w:rFonts w:ascii="Segoe UI" w:cs="Segoe UI" w:eastAsia="Segoe UI" w:hAnsi="Segoe UI"/>
        </w:rPr>
        <w:br/>
        <w:t xml:space="preserve">pay go right now. You should be able to illustrate and render all of the different pricing offers and then show that on a dashboard. So I'm just going to use the pay go right now and then plug that in here.</w:t>
      </w:r>
      <w:r>
        <w:rPr>
          <w:color w:val="242424"/>
          <w:sz w:val="4.3mm"/>
          <w:szCs w:val="4.3mm"/>
          <w:rFonts w:ascii="Segoe UI" w:cs="Segoe UI" w:eastAsia="Segoe UI" w:hAnsi="Segoe UI"/>
        </w:rPr>
        <w:br/>
        <w:t xml:space="preserve">Look that value in here as an annual.</w:t>
      </w:r>
      <w:r>
        <w:rPr>
          <w:color w:val="242424"/>
          <w:sz w:val="4.3mm"/>
          <w:szCs w:val="4.3mm"/>
          <w:rFonts w:ascii="Segoe UI" w:cs="Segoe UI" w:eastAsia="Segoe UI" w:hAnsi="Segoe UI"/>
        </w:rPr>
        <w:br/>
        <w:t xml:space="preserve">As an annual value.</w:t>
      </w:r>
      <w:r>
        <w:rPr>
          <w:color w:val="242424"/>
          <w:sz w:val="4.3mm"/>
          <w:szCs w:val="4.3mm"/>
          <w:rFonts w:ascii="Segoe UI" w:cs="Segoe UI" w:eastAsia="Segoe UI" w:hAnsi="Segoe UI"/>
        </w:rPr>
        <w:br/>
        <w:t xml:space="preserve">So, we, we, we, we count for the the compute ACR and then also for the storage ACR.</w:t>
      </w:r>
      <w:r>
        <w:rPr>
          <w:color w:val="242424"/>
          <w:sz w:val="4.3mm"/>
          <w:szCs w:val="4.3mm"/>
          <w:rFonts w:ascii="Segoe UI" w:cs="Segoe UI" w:eastAsia="Segoe UI" w:hAnsi="Segoe UI"/>
        </w:rPr>
        <w:br/>
        <w:t xml:space="preserve">Annual.</w:t>
      </w:r>
      <w:r>
        <w:rPr>
          <w:color w:val="242424"/>
          <w:sz w:val="4.3mm"/>
          <w:szCs w:val="4.3mm"/>
          <w:rFonts w:ascii="Segoe UI" w:cs="Segoe UI" w:eastAsia="Segoe UI" w:hAnsi="Segoe UI"/>
        </w:rPr>
        <w:br/>
        <w:t xml:space="preserve">So both of these numbers here are the pay-as-you-go versions, pricing offers. If we had a backup software, then we would want to include backup as well. That should be an option. That should be an optional flag.</w:t>
      </w:r>
      <w:r>
        <w:rPr>
          <w:color w:val="242424"/>
          <w:sz w:val="4.3mm"/>
          <w:szCs w:val="4.3mm"/>
          <w:rFonts w:ascii="Segoe UI" w:cs="Segoe UI" w:eastAsia="Segoe UI" w:hAnsi="Segoe UI"/>
        </w:rPr>
        <w:br/>
        <w:t xml:space="preserve">You know, HADR, same thing. That should be an option. So, so then basically now this is this is the end for the human business analyst. This is the end of the data input steps. So, so you see here these these these summary graphs here.</w:t>
      </w:r>
      <w:r>
        <w:rPr>
          <w:color w:val="242424"/>
          <w:sz w:val="4.3mm"/>
          <w:szCs w:val="4.3mm"/>
          <w:rFonts w:ascii="Segoe UI" w:cs="Segoe UI" w:eastAsia="Segoe UI" w:hAnsi="Segoe UI"/>
        </w:rPr>
        <w:br/>
        <w:t xml:space="preserve">And the summary tables. Now, one thing, one thing also to show is, is we we put in, so this is Azure virtual machines going to base going, so on-premise virtual machines going to Azure.</w:t>
      </w:r>
      <w:r>
        <w:rPr>
          <w:color w:val="242424"/>
          <w:sz w:val="4.3mm"/>
          <w:szCs w:val="4.3mm"/>
          <w:rFonts w:ascii="Segoe UI" w:cs="Segoe UI" w:eastAsia="Segoe UI" w:hAnsi="Segoe UI"/>
        </w:rPr>
        <w:br/>
        <w:t xml:space="preserve">virtual machines or infrastructure as a service. So we make an assumption of a migration cost, because we do want to account for a migration cost, because that could end up requiring ESIF and other Microsoft incentives to subsidize, you know, for the customer. And the assumption that we have</w:t>
      </w:r>
      <w:r>
        <w:rPr>
          <w:color w:val="242424"/>
          <w:sz w:val="4.3mm"/>
          <w:szCs w:val="4.3mm"/>
          <w:rFonts w:ascii="Segoe UI" w:cs="Segoe UI" w:eastAsia="Segoe UI" w:hAnsi="Segoe UI"/>
        </w:rPr>
        <w:br/>
        <w:t xml:space="preserve">as a reference benchmark is 1500 US dollars per VM. So you see that, so you see that that's entered here in this field here, and then that goes into calculating the overall migration cost for the scope of VMs that we saw here, 2831.</w:t>
      </w:r>
      <w:r>
        <w:rPr>
          <w:color w:val="242424"/>
          <w:sz w:val="4.3mm"/>
          <w:szCs w:val="4.3mm"/>
          <w:rFonts w:ascii="Segoe UI" w:cs="Segoe UI" w:eastAsia="Segoe UI" w:hAnsi="Segoe UI"/>
        </w:rPr>
        <w:br/>
        <w:t xml:space="preserve">And then the it looks like the ramp that that is currently configured in here is roughly A 24 month ramp to a two year ramp. That's why that's why you see migration costs here over multiple years. Now you know we can we can we can change.</w:t>
      </w:r>
      <w:r>
        <w:rPr>
          <w:color w:val="242424"/>
          <w:sz w:val="4.3mm"/>
          <w:szCs w:val="4.3mm"/>
          <w:rFonts w:ascii="Segoe UI" w:cs="Segoe UI" w:eastAsia="Segoe UI" w:hAnsi="Segoe UI"/>
        </w:rPr>
        <w:br/>
        <w:t xml:space="preserve">We can change that just for illustration purposes, that we want to see all the VMs migrated within one year, and then, you know, then the migration cost is just spread out over, you know, this period of time here, so...</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The graphics basically show a 10-year or five-year, and we want to be able to have both, cash flow analysis. So these graphs are related to the cash flow, and we want to show.</w:t>
      </w:r>
      <w:r>
        <w:rPr>
          <w:color w:val="242424"/>
          <w:sz w:val="4.3mm"/>
          <w:szCs w:val="4.3mm"/>
          <w:rFonts w:ascii="Segoe UI" w:cs="Segoe UI" w:eastAsia="Segoe UI" w:hAnsi="Segoe UI"/>
        </w:rPr>
        <w:br/>
        <w:t xml:space="preserve">the ROI. We want to show the net savings to be very explicit what the savings are. In this example here, we see that over a 10-year period, it's negative 4%. So that's actually</w:t>
      </w:r>
      <w:r>
        <w:rPr>
          <w:color w:val="242424"/>
          <w:sz w:val="4.3mm"/>
          <w:szCs w:val="4.3mm"/>
          <w:rFonts w:ascii="Segoe UI" w:cs="Segoe UI" w:eastAsia="Segoe UI" w:hAnsi="Segoe UI"/>
        </w:rPr>
        <w:br/>
        <w:t xml:space="preserve">a savings over the 10 years, but probably because of the migration cost over just a five-year time horizon, it's a positive 3%. So it's not a savings. It's not an ROI in this example.</w:t>
      </w:r>
      <w:r>
        <w:rPr>
          <w:color w:val="242424"/>
          <w:sz w:val="4.3mm"/>
          <w:szCs w:val="4.3mm"/>
          <w:rFonts w:ascii="Segoe UI" w:cs="Segoe UI" w:eastAsia="Segoe UI" w:hAnsi="Segoe UI"/>
        </w:rPr>
        <w:br/>
        <w:t xml:space="preserve">And, and, and then we also we also need to calculate.</w:t>
      </w:r>
      <w:r>
        <w:rPr>
          <w:color w:val="242424"/>
          <w:sz w:val="4.3mm"/>
          <w:szCs w:val="4.3mm"/>
          <w:rFonts w:ascii="Segoe UI" w:cs="Segoe UI" w:eastAsia="Segoe UI" w:hAnsi="Segoe UI"/>
        </w:rPr>
        <w:br/>
        <w:t xml:space="preserve">other summary financials as well. So net present value, we need to have that. The payback period, the payback period is basically how many years will it take to pay back dual run costs, migration costs,</w:t>
      </w:r>
      <w:r>
        <w:rPr>
          <w:color w:val="242424"/>
          <w:sz w:val="4.3mm"/>
          <w:szCs w:val="4.3mm"/>
          <w:rFonts w:ascii="Segoe UI" w:cs="Segoe UI" w:eastAsia="Segoe UI" w:hAnsi="Segoe UI"/>
        </w:rPr>
        <w:br/>
        <w:t xml:space="preserve">And of course, once they start realizing savings, how long will it take to accumulate those savings to make up for the dual run costs and the migration costs that are built into the business case here? Again, this is retail. We're not assuming any ESIF at this point.</w:t>
      </w:r>
      <w:r>
        <w:rPr>
          <w:color w:val="242424"/>
          <w:sz w:val="4.3mm"/>
          <w:szCs w:val="4.3mm"/>
          <w:rFonts w:ascii="Segoe UI" w:cs="Segoe UI" w:eastAsia="Segoe UI" w:hAnsi="Segoe UI"/>
        </w:rPr>
        <w:br/>
        <w:t xml:space="preserve">So, so then, you know, we want to also calculate the ROI, the net present value over both the five-year and the 10-year, and we want a total cost of ownership. We want the total cost of ownership shown as</w:t>
      </w:r>
      <w:r>
        <w:rPr>
          <w:color w:val="242424"/>
          <w:sz w:val="4.3mm"/>
          <w:szCs w:val="4.3mm"/>
          <w:rFonts w:ascii="Segoe UI" w:cs="Segoe UI" w:eastAsia="Segoe UI" w:hAnsi="Segoe UI"/>
        </w:rPr>
        <w:br/>
        <w:t xml:space="preserve">cash flow. And that's what that's what this these graphs tell us here. And that's basically, you know, what these what these, you know, tables do here as well over the 10 year, or I could just take the first five years as well. But across all the major categories,</w:t>
      </w:r>
      <w:r>
        <w:rPr>
          <w:color w:val="242424"/>
          <w:sz w:val="4.3mm"/>
          <w:szCs w:val="4.3mm"/>
          <w:rFonts w:ascii="Segoe UI" w:cs="Segoe UI" w:eastAsia="Segoe UI" w:hAnsi="Segoe UI"/>
        </w:rPr>
        <w:br/>
        <w:t xml:space="preserve">of CAPEX and OPEX, right? We see server acquisition, major category, storage and network acquisition, and that includes depreciation, hardware maintenance, backup and DR, which we don't have that in this example case, data center facilities, virtualization software,</w:t>
      </w:r>
      <w:r>
        <w:rPr>
          <w:color w:val="242424"/>
          <w:sz w:val="4.3mm"/>
          <w:szCs w:val="4.3mm"/>
          <w:rFonts w:ascii="Segoe UI" w:cs="Segoe UI" w:eastAsia="Segoe UI" w:hAnsi="Segoe UI"/>
        </w:rPr>
        <w:br/>
        <w:t xml:space="preserve">Windows and SQL Server licenses, Windows and SQL Server ESU, IT operations costs, basically admins, and because this is the this is the before state or the on-premise state, there is no migration services cost that shows up down here in the future states.</w:t>
      </w:r>
      <w:r>
        <w:rPr>
          <w:color w:val="242424"/>
          <w:sz w:val="4.3mm"/>
          <w:szCs w:val="4.3mm"/>
          <w:rFonts w:ascii="Segoe UI" w:cs="Segoe UI" w:eastAsia="Segoe UI" w:hAnsi="Segoe UI"/>
        </w:rPr>
        <w:br/>
        <w:t xml:space="preserve">proposed Azure migration. So we also classify CapEx and OpEx as well.</w:t>
      </w:r>
      <w:r>
        <w:rPr>
          <w:color w:val="242424"/>
          <w:sz w:val="4.3mm"/>
          <w:szCs w:val="4.3mm"/>
          <w:rFonts w:ascii="Segoe UI" w:cs="Segoe UI" w:eastAsia="Segoe UI" w:hAnsi="Segoe UI"/>
        </w:rPr>
        <w:br/>
        <w:t xml:space="preserve">If we're able to show, visualize a waterfall chart to show the benefits and the savings across the various value and cost drivers, that would be ideal as well from a rendering perspective. So this completes the entire application workflow.</w:t>
      </w:r>
      <w:r>
        <w:rPr>
          <w:color w:val="242424"/>
          <w:sz w:val="4.3mm"/>
          <w:szCs w:val="4.3mm"/>
          <w:rFonts w:ascii="Segoe UI" w:cs="Segoe UI" w:eastAsia="Segoe UI" w:hAnsi="Segoe UI"/>
        </w:rPr>
        <w:br/>
        <w:t xml:space="preserve">And, but in particular, the layer 3 financial and business case development.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Ozzie Diaz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brhbizi0otzxvgz-a1p5.png"/><Relationship Id="rId7" Type="http://schemas.openxmlformats.org/officeDocument/2006/relationships/image" Target="media/wluqpn-_atk-tt_mienoz.png"/><Relationship Id="rId8" Type="http://schemas.openxmlformats.org/officeDocument/2006/relationships/image" Target="media/suktfkxj8gjyi4piq6cn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2026-04-23T20:26:08.153Z</dcterms:created>
  <dcterms:modified xsi:type="dcterms:W3CDTF">2026-04-23T20:26:08.153Z</dcterms:modified>
</cp:coreProperties>
</file>

<file path=docProps/custom.xml><?xml version="1.0" encoding="utf-8"?>
<Properties xmlns="http://schemas.openxmlformats.org/officeDocument/2006/custom-properties" xmlns:vt="http://schemas.openxmlformats.org/officeDocument/2006/docPropsVTypes"/>
</file>