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40"/>
        <w:jc w:val="center"/>
      </w:pPr>
      <w:r>
        <w:rPr>
          <w:b/>
          <w:i w:val="0"/>
          <w:sz w:val="44"/>
        </w:rPr>
        <w:t>Deep Learning Architectures for Multi-Horizon</w:t>
        <w:br/>
        <w:t>Electricity Load Forecasting</w:t>
      </w:r>
    </w:p>
    <w:p>
      <w:pPr>
        <w:spacing w:after="480"/>
        <w:jc w:val="center"/>
      </w:pPr>
      <w:r>
        <w:rPr>
          <w:b w:val="0"/>
          <w:i w:val="0"/>
          <w:sz w:val="28"/>
        </w:rPr>
        <w:t>LSTM, TCN, Transformer, and PatchTST with Per-Cluster Training</w:t>
        <w:br/>
        <w:t>and Agentic AI Interface</w:t>
      </w:r>
    </w:p>
    <w:p>
      <w:pPr>
        <w:spacing w:after="120"/>
        <w:jc w:val="center"/>
      </w:pPr>
      <w:r>
        <w:rPr>
          <w:b/>
          <w:i w:val="0"/>
          <w:sz w:val="26"/>
        </w:rPr>
        <w:t>Deliverable 2 — Technical Process Documentation</w:t>
      </w:r>
    </w:p>
    <w:p>
      <w:pPr>
        <w:spacing w:after="720"/>
        <w:jc w:val="center"/>
      </w:pPr>
      <w:r>
        <w:rPr>
          <w:b w:val="0"/>
          <w:i w:val="0"/>
          <w:sz w:val="24"/>
        </w:rPr>
        <w:t>March 2026</w:t>
      </w:r>
    </w:p>
    <w:p>
      <w:pPr>
        <w:spacing w:after="120"/>
        <w:jc w:val="center"/>
      </w:pPr>
      <w:r>
        <w:rPr>
          <w:b w:val="0"/>
          <w:i w:val="0"/>
          <w:sz w:val="24"/>
        </w:rPr>
        <w:t>Ritika Rajeev Chatterjee, Akriti Agarwal, and Haasita Pinnepu</w:t>
      </w:r>
    </w:p>
    <w:p>
      <w:pPr>
        <w:spacing w:after="120"/>
        <w:jc w:val="center"/>
      </w:pPr>
      <w:r>
        <w:rPr>
          <w:b w:val="0"/>
          <w:i/>
          <w:sz w:val="22"/>
        </w:rPr>
        <w:t>Columbia University — Time Series Analysis &amp; Forecasting</w:t>
      </w:r>
    </w:p>
    <w:p>
      <w:r>
        <w:br w:type="page"/>
      </w:r>
    </w:p>
    <w:p>
      <w:pPr>
        <w:pStyle w:val="Heading1"/>
      </w:pPr>
      <w:r>
        <w:rPr>
          <w:color w:val="1A3A6B"/>
        </w:rPr>
        <w:t>Table of Contents</w:t>
      </w:r>
    </w:p>
    <w:p>
      <w:pPr>
        <w:spacing w:after="60"/>
      </w:pPr>
      <w:r>
        <w:rPr>
          <w:b w:val="0"/>
          <w:i w:val="0"/>
          <w:sz w:val="22"/>
        </w:rPr>
        <w:t>1. Introduction</w:t>
      </w:r>
    </w:p>
    <w:p>
      <w:pPr>
        <w:spacing w:after="60"/>
      </w:pPr>
      <w:r>
        <w:rPr>
          <w:b w:val="0"/>
          <w:i w:val="0"/>
          <w:sz w:val="22"/>
        </w:rPr>
        <w:t>2. Dataset Description</w:t>
      </w:r>
    </w:p>
    <w:p>
      <w:pPr>
        <w:spacing w:after="60"/>
      </w:pPr>
      <w:r>
        <w:rPr>
          <w:b w:val="0"/>
          <w:i w:val="0"/>
          <w:sz w:val="22"/>
        </w:rPr>
        <w:t>3. Data Processing &amp; Feature Engineering</w:t>
      </w:r>
    </w:p>
    <w:p>
      <w:pPr>
        <w:spacing w:after="60"/>
      </w:pPr>
      <w:r>
        <w:rPr>
          <w:b w:val="0"/>
          <w:i w:val="0"/>
          <w:sz w:val="22"/>
        </w:rPr>
        <w:t>4. Client Clustering</w:t>
      </w:r>
    </w:p>
    <w:p>
      <w:pPr>
        <w:spacing w:after="60"/>
      </w:pPr>
      <w:r>
        <w:rPr>
          <w:b w:val="0"/>
          <w:i w:val="0"/>
          <w:sz w:val="22"/>
        </w:rPr>
        <w:t>5. Model Architectures</w:t>
      </w:r>
    </w:p>
    <w:p>
      <w:pPr>
        <w:spacing w:after="60"/>
      </w:pPr>
      <w:r>
        <w:rPr>
          <w:b w:val="0"/>
          <w:i w:val="0"/>
          <w:sz w:val="22"/>
        </w:rPr>
        <w:t>6. Training Methodology</w:t>
      </w:r>
    </w:p>
    <w:p>
      <w:pPr>
        <w:spacing w:after="60"/>
      </w:pPr>
      <w:r>
        <w:rPr>
          <w:b w:val="0"/>
          <w:i w:val="0"/>
          <w:sz w:val="22"/>
        </w:rPr>
        <w:t>7. Evaluation Framework</w:t>
      </w:r>
    </w:p>
    <w:p>
      <w:pPr>
        <w:spacing w:after="60"/>
      </w:pPr>
      <w:r>
        <w:rPr>
          <w:b w:val="0"/>
          <w:i w:val="0"/>
          <w:sz w:val="22"/>
        </w:rPr>
        <w:t>8. Results</w:t>
      </w:r>
    </w:p>
    <w:p>
      <w:pPr>
        <w:spacing w:after="60"/>
      </w:pPr>
      <w:r>
        <w:rPr>
          <w:b w:val="0"/>
          <w:i w:val="0"/>
          <w:sz w:val="22"/>
        </w:rPr>
        <w:t>9. Model Comparison &amp; Analysis</w:t>
      </w:r>
    </w:p>
    <w:p>
      <w:pPr>
        <w:spacing w:after="60"/>
      </w:pPr>
      <w:r>
        <w:rPr>
          <w:b w:val="0"/>
          <w:i w:val="0"/>
          <w:sz w:val="22"/>
        </w:rPr>
        <w:t>10. Agentic AI Interface</w:t>
      </w:r>
    </w:p>
    <w:p>
      <w:pPr>
        <w:spacing w:after="60"/>
      </w:pPr>
      <w:r>
        <w:rPr>
          <w:b w:val="0"/>
          <w:i w:val="0"/>
          <w:sz w:val="22"/>
        </w:rPr>
        <w:t>11. Conclusions &amp; Next Steps</w:t>
      </w:r>
    </w:p>
    <w:p>
      <w:pPr>
        <w:spacing w:after="60"/>
      </w:pPr>
      <w:r>
        <w:rPr>
          <w:b w:val="0"/>
          <w:i w:val="0"/>
          <w:sz w:val="22"/>
        </w:rPr>
        <w:t>12. References</w:t>
      </w:r>
    </w:p>
    <w:p>
      <w:pPr>
        <w:spacing w:after="60"/>
      </w:pPr>
      <w:r>
        <w:rPr>
          <w:b w:val="0"/>
          <w:i w:val="0"/>
          <w:sz w:val="22"/>
        </w:rPr>
        <w:t>13. Appendix: Per-Period Box Plots</w:t>
      </w:r>
    </w:p>
    <w:p>
      <w:r>
        <w:br w:type="page"/>
      </w:r>
    </w:p>
    <w:p>
      <w:pPr>
        <w:pStyle w:val="Heading1"/>
      </w:pPr>
      <w:r>
        <w:rPr>
          <w:color w:val="1A3A6B"/>
        </w:rPr>
        <w:t>1. Introduction</w:t>
      </w:r>
    </w:p>
    <w:p>
      <w:pPr>
        <w:spacing w:after="120"/>
      </w:pPr>
      <w:r>
        <w:rPr>
          <w:b w:val="0"/>
          <w:i w:val="0"/>
        </w:rPr>
        <w:t>This report presents the results of Deliverable 2 for our multi-horizon electricity load forecasting project. Building on the data exploration and preprocessing pipeline established in Deliverable 1, we implement and compare four deep learning architectures — LSTM, Temporal Convolutional Network (TCN), Vanilla Transformer, and PatchTST — to forecast hourly electricity consumption for 314 Portuguese clients across three prediction horizons.</w:t>
      </w:r>
    </w:p>
    <w:p>
      <w:pPr>
        <w:spacing w:after="60"/>
      </w:pPr>
      <w:r>
        <w:rPr>
          <w:b/>
          <w:i w:val="0"/>
        </w:rPr>
        <w:t>The key objectives of Deliverable 2 are:</w:t>
      </w:r>
    </w:p>
    <w:p>
      <w:pPr>
        <w:pStyle w:val="ListBullet"/>
      </w:pPr>
      <w:r>
        <w:t>Train and evaluate all four proposed deep learning architectures on the held-out test set.</w:t>
      </w:r>
    </w:p>
    <w:p>
      <w:pPr>
        <w:pStyle w:val="ListBullet"/>
      </w:pPr>
      <w:r>
        <w:t>Report MAPE (Mean Absolute Percentage Error) on the 0–100 scale as the primary evaluation metric.</w:t>
      </w:r>
    </w:p>
    <w:p>
      <w:pPr>
        <w:pStyle w:val="ListBullet"/>
      </w:pPr>
      <w:r>
        <w:t>Split test results into 4 equal time periods and present per-period MAPE with box plots of error distributions.</w:t>
      </w:r>
    </w:p>
    <w:p>
      <w:pPr>
        <w:pStyle w:val="ListBullet"/>
      </w:pPr>
      <w:r>
        <w:t>Build an Agentic AI interface where a business manager can enter a client ID and receive real-time forecasts powered by the trained deep learning models.</w:t>
      </w:r>
    </w:p>
    <w:p>
      <w:pPr>
        <w:pStyle w:val="ListBullet"/>
      </w:pPr>
      <w:r>
        <w:t>Identify the best-performing model per cluster and horizon combination.</w:t>
      </w:r>
    </w:p>
    <w:p>
      <w:pPr>
        <w:spacing w:after="120"/>
      </w:pPr>
      <w:r>
        <w:rPr>
          <w:b w:val="0"/>
          <w:i w:val="0"/>
        </w:rPr>
        <w:t>Our channel-independent architecture treats each client as a separate univariate time series augmented with 8 cyclical time features. Clients are grouped into 3 clusters via K-Means on normalized daily load profiles, and separate models are trained per cluster. This yields 36 total models (4 architectures x 3 clusters x 3 horizons). The Transformer architecture emerged as the overall best performer, winning 8 of 9 cluster-horizon combinations.</w:t>
      </w:r>
    </w:p>
    <w:p>
      <w:pPr>
        <w:pStyle w:val="Heading1"/>
      </w:pPr>
      <w:r>
        <w:rPr>
          <w:color w:val="1A3A6B"/>
        </w:rPr>
        <w:t>2. Dataset Description</w:t>
      </w:r>
    </w:p>
    <w:p>
      <w:pPr>
        <w:spacing w:after="120"/>
      </w:pPr>
      <w:r>
        <w:rPr>
          <w:b w:val="0"/>
          <w:i w:val="0"/>
        </w:rPr>
        <w:t>The dataset is the UCI ElectricityLoadDiagrams 2011–2014 (UCI ID: 321), contributed by Artur Trindade. It contains electricity consumption measurements for 370 Portuguese clients at 15-minute intervals from January 2011 through December 2014.</w:t>
      </w:r>
    </w:p>
    <w:tbl>
      <w:tblPr>
        <w:tblW w:type="auto" w:w="0"/>
        <w:jc w:val="center"/>
        <w:tblLook w:firstColumn="1" w:firstRow="1" w:lastColumn="0" w:lastRow="0" w:noHBand="0" w:noVBand="1" w:val="04A0"/>
      </w:tblPr>
      <w:tblGrid>
        <w:gridCol w:w="4680"/>
        <w:gridCol w:w="4680"/>
      </w:tblGrid>
      <w:tr>
        <w:tc>
          <w:tcPr>
            <w:tcW w:type="dxa" w:w="4680"/>
            <w:shd w:fill="1A3A6B" w:val="clear"/>
          </w:tcPr>
          <w:p>
            <w:pPr>
              <w:jc w:val="center"/>
            </w:pPr>
            <w:r>
              <w:rPr>
                <w:b/>
                <w:color w:val="FFFFFF"/>
                <w:sz w:val="18"/>
              </w:rPr>
              <w:t>Property</w:t>
            </w:r>
          </w:p>
        </w:tc>
        <w:tc>
          <w:tcPr>
            <w:tcW w:type="dxa" w:w="4680"/>
            <w:shd w:fill="1A3A6B" w:val="clear"/>
          </w:tcPr>
          <w:p>
            <w:pPr>
              <w:jc w:val="center"/>
            </w:pPr>
            <w:r>
              <w:rPr>
                <w:b/>
                <w:color w:val="FFFFFF"/>
                <w:sz w:val="18"/>
              </w:rPr>
              <w:t>Value</w:t>
            </w:r>
          </w:p>
        </w:tc>
      </w:tr>
      <w:tr>
        <w:tc>
          <w:tcPr>
            <w:tcW w:type="dxa" w:w="4680"/>
            <w:shd w:fill="EBF0F7" w:val="clear"/>
          </w:tcPr>
          <w:p>
            <w:pPr>
              <w:jc w:val="center"/>
            </w:pPr>
            <w:r>
              <w:rPr>
                <w:sz w:val="18"/>
              </w:rPr>
              <w:t>Source</w:t>
            </w:r>
          </w:p>
        </w:tc>
        <w:tc>
          <w:tcPr>
            <w:tcW w:type="dxa" w:w="4680"/>
            <w:shd w:fill="EBF0F7" w:val="clear"/>
          </w:tcPr>
          <w:p>
            <w:pPr>
              <w:jc w:val="center"/>
            </w:pPr>
            <w:r>
              <w:rPr>
                <w:sz w:val="18"/>
              </w:rPr>
              <w:t>UCI Machine Learning Repository (ID: 321)</w:t>
            </w:r>
          </w:p>
        </w:tc>
      </w:tr>
      <w:tr>
        <w:tc>
          <w:tcPr>
            <w:tcW w:type="dxa" w:w="4680"/>
          </w:tcPr>
          <w:p>
            <w:pPr>
              <w:jc w:val="center"/>
            </w:pPr>
            <w:r>
              <w:rPr>
                <w:sz w:val="18"/>
              </w:rPr>
              <w:t>Original Resolution</w:t>
            </w:r>
          </w:p>
        </w:tc>
        <w:tc>
          <w:tcPr>
            <w:tcW w:type="dxa" w:w="4680"/>
          </w:tcPr>
          <w:p>
            <w:pPr>
              <w:jc w:val="center"/>
            </w:pPr>
            <w:r>
              <w:rPr>
                <w:sz w:val="18"/>
              </w:rPr>
              <w:t>15-minute intervals</w:t>
            </w:r>
          </w:p>
        </w:tc>
      </w:tr>
      <w:tr>
        <w:tc>
          <w:tcPr>
            <w:tcW w:type="dxa" w:w="4680"/>
            <w:shd w:fill="EBF0F7" w:val="clear"/>
          </w:tcPr>
          <w:p>
            <w:pPr>
              <w:jc w:val="center"/>
            </w:pPr>
            <w:r>
              <w:rPr>
                <w:sz w:val="18"/>
              </w:rPr>
              <w:t>Modeling Resolution</w:t>
            </w:r>
          </w:p>
        </w:tc>
        <w:tc>
          <w:tcPr>
            <w:tcW w:type="dxa" w:w="4680"/>
            <w:shd w:fill="EBF0F7" w:val="clear"/>
          </w:tcPr>
          <w:p>
            <w:pPr>
              <w:jc w:val="center"/>
            </w:pPr>
            <w:r>
              <w:rPr>
                <w:sz w:val="18"/>
              </w:rPr>
              <w:t>Hourly (aggregated by sum)</w:t>
            </w:r>
          </w:p>
        </w:tc>
      </w:tr>
      <w:tr>
        <w:tc>
          <w:tcPr>
            <w:tcW w:type="dxa" w:w="4680"/>
          </w:tcPr>
          <w:p>
            <w:pPr>
              <w:jc w:val="center"/>
            </w:pPr>
            <w:r>
              <w:rPr>
                <w:sz w:val="18"/>
              </w:rPr>
              <w:t>Time Span</w:t>
            </w:r>
          </w:p>
        </w:tc>
        <w:tc>
          <w:tcPr>
            <w:tcW w:type="dxa" w:w="4680"/>
          </w:tcPr>
          <w:p>
            <w:pPr>
              <w:jc w:val="center"/>
            </w:pPr>
            <w:r>
              <w:rPr>
                <w:sz w:val="18"/>
              </w:rPr>
              <w:t>January 2012 – December 2014 (2011 excluded)</w:t>
            </w:r>
          </w:p>
        </w:tc>
      </w:tr>
      <w:tr>
        <w:tc>
          <w:tcPr>
            <w:tcW w:type="dxa" w:w="4680"/>
            <w:shd w:fill="EBF0F7" w:val="clear"/>
          </w:tcPr>
          <w:p>
            <w:pPr>
              <w:jc w:val="center"/>
            </w:pPr>
            <w:r>
              <w:rPr>
                <w:sz w:val="18"/>
              </w:rPr>
              <w:t>Total Clients (raw)</w:t>
            </w:r>
          </w:p>
        </w:tc>
        <w:tc>
          <w:tcPr>
            <w:tcW w:type="dxa" w:w="4680"/>
            <w:shd w:fill="EBF0F7" w:val="clear"/>
          </w:tcPr>
          <w:p>
            <w:pPr>
              <w:jc w:val="center"/>
            </w:pPr>
            <w:r>
              <w:rPr>
                <w:sz w:val="18"/>
              </w:rPr>
              <w:t>370</w:t>
            </w:r>
          </w:p>
        </w:tc>
      </w:tr>
      <w:tr>
        <w:tc>
          <w:tcPr>
            <w:tcW w:type="dxa" w:w="4680"/>
          </w:tcPr>
          <w:p>
            <w:pPr>
              <w:jc w:val="center"/>
            </w:pPr>
            <w:r>
              <w:rPr>
                <w:sz w:val="18"/>
              </w:rPr>
              <w:t>Active Clients (after filtering)</w:t>
            </w:r>
          </w:p>
        </w:tc>
        <w:tc>
          <w:tcPr>
            <w:tcW w:type="dxa" w:w="4680"/>
          </w:tcPr>
          <w:p>
            <w:pPr>
              <w:jc w:val="center"/>
            </w:pPr>
            <w:r>
              <w:rPr>
                <w:sz w:val="18"/>
              </w:rPr>
              <w:t>314</w:t>
            </w:r>
          </w:p>
        </w:tc>
      </w:tr>
      <w:tr>
        <w:tc>
          <w:tcPr>
            <w:tcW w:type="dxa" w:w="4680"/>
            <w:shd w:fill="EBF0F7" w:val="clear"/>
          </w:tcPr>
          <w:p>
            <w:pPr>
              <w:jc w:val="center"/>
            </w:pPr>
            <w:r>
              <w:rPr>
                <w:sz w:val="18"/>
              </w:rPr>
              <w:t>Total Hourly Timestamps</w:t>
            </w:r>
          </w:p>
        </w:tc>
        <w:tc>
          <w:tcPr>
            <w:tcW w:type="dxa" w:w="4680"/>
            <w:shd w:fill="EBF0F7" w:val="clear"/>
          </w:tcPr>
          <w:p>
            <w:pPr>
              <w:jc w:val="center"/>
            </w:pPr>
            <w:r>
              <w:rPr>
                <w:sz w:val="18"/>
              </w:rPr>
              <w:t>26,305</w:t>
            </w:r>
          </w:p>
        </w:tc>
      </w:tr>
      <w:tr>
        <w:tc>
          <w:tcPr>
            <w:tcW w:type="dxa" w:w="4680"/>
          </w:tcPr>
          <w:p>
            <w:pPr>
              <w:jc w:val="center"/>
            </w:pPr>
            <w:r>
              <w:rPr>
                <w:sz w:val="18"/>
              </w:rPr>
              <w:t>Client Filtering Criterion</w:t>
            </w:r>
          </w:p>
        </w:tc>
        <w:tc>
          <w:tcPr>
            <w:tcW w:type="dxa" w:w="4680"/>
          </w:tcPr>
          <w:p>
            <w:pPr>
              <w:jc w:val="center"/>
            </w:pPr>
            <w:r>
              <w:rPr>
                <w:sz w:val="18"/>
              </w:rPr>
              <w:t>Removed clients with &gt;5% zero readings</w:t>
            </w:r>
          </w:p>
        </w:tc>
      </w:tr>
      <w:tr>
        <w:tc>
          <w:tcPr>
            <w:tcW w:type="dxa" w:w="4680"/>
            <w:shd w:fill="EBF0F7" w:val="clear"/>
          </w:tcPr>
          <w:p>
            <w:pPr>
              <w:jc w:val="center"/>
            </w:pPr>
            <w:r>
              <w:rPr>
                <w:sz w:val="18"/>
              </w:rPr>
              <w:t>Total Data Points</w:t>
            </w:r>
          </w:p>
        </w:tc>
        <w:tc>
          <w:tcPr>
            <w:tcW w:type="dxa" w:w="4680"/>
            <w:shd w:fill="EBF0F7" w:val="clear"/>
          </w:tcPr>
          <w:p>
            <w:pPr>
              <w:jc w:val="center"/>
            </w:pPr>
            <w:r>
              <w:rPr>
                <w:sz w:val="18"/>
              </w:rPr>
              <w:t>26,305 x 314 = 8,259,770</w:t>
            </w:r>
          </w:p>
        </w:tc>
      </w:tr>
    </w:tbl>
    <w:p>
      <w:pPr>
        <w:spacing w:after="120"/>
      </w:pPr>
      <w:r>
        <w:rPr>
          <w:b w:val="0"/>
          <w:i w:val="0"/>
        </w:rPr>
      </w:r>
    </w:p>
    <w:p>
      <w:pPr>
        <w:spacing w:after="120"/>
      </w:pPr>
      <w:r>
        <w:rPr>
          <w:b w:val="0"/>
          <w:i w:val="0"/>
        </w:rPr>
        <w:t>The 2011 data is excluded because many clients have zero-padded leading values that distort normalization and model learning. After resampling from 15-minute to hourly resolution (summing four readings to convert kW to kWh) and filtering inactive clients, 314 clients remain for modeling.</w:t>
      </w:r>
    </w:p>
    <w:p>
      <w:pPr>
        <w:pStyle w:val="Heading1"/>
      </w:pPr>
      <w:r>
        <w:rPr>
          <w:color w:val="1A3A6B"/>
        </w:rPr>
        <w:t>3. Data Processing &amp; Feature Engineering</w:t>
      </w:r>
    </w:p>
    <w:p>
      <w:pPr>
        <w:pStyle w:val="Heading2"/>
      </w:pPr>
      <w:r>
        <w:rPr>
          <w:color w:val="1A3A6B"/>
        </w:rPr>
        <w:t>3.1 Preprocessing Pipeline</w:t>
      </w:r>
    </w:p>
    <w:p>
      <w:pPr>
        <w:pStyle w:val="ListBullet"/>
      </w:pPr>
      <w:r>
        <w:t>Resampled from 15-minute to hourly by summing (kW to kWh conversion).</w:t>
      </w:r>
    </w:p>
    <w:p>
      <w:pPr>
        <w:pStyle w:val="ListBullet"/>
      </w:pPr>
      <w:r>
        <w:t>Filtered to 2012–2014; removed 56 clients with &gt;5% zero readings.</w:t>
      </w:r>
    </w:p>
    <w:p>
      <w:pPr>
        <w:pStyle w:val="ListBullet"/>
      </w:pPr>
      <w:r>
        <w:t>Per-client Z-score normalization (mean=0, std=1) fitted on training split only — no data leakage.</w:t>
      </w:r>
    </w:p>
    <w:p>
      <w:pPr>
        <w:pStyle w:val="ListBullet"/>
      </w:pPr>
      <w:r>
        <w:t>Parquet caching implemented for fast reloads (678 MB CSV -&gt; parquet in ~6 seconds, subsequent loads instant).</w:t>
      </w:r>
    </w:p>
    <w:p>
      <w:pPr>
        <w:pStyle w:val="Heading2"/>
      </w:pPr>
      <w:r>
        <w:rPr>
          <w:color w:val="1A3A6B"/>
        </w:rPr>
        <w:t>3.2 Feature Engineering</w:t>
      </w:r>
    </w:p>
    <w:p>
      <w:pPr>
        <w:spacing w:after="120"/>
      </w:pPr>
      <w:r>
        <w:rPr>
          <w:b w:val="0"/>
          <w:i w:val="0"/>
        </w:rPr>
        <w:t>Each input sample consists of a 168-hour (1-week) lookback window with 9 input channels: 1 normalized load value + 8 time-derived features.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A6B" w:val="clear"/>
          </w:tcPr>
          <w:p>
            <w:pPr>
              <w:jc w:val="center"/>
            </w:pPr>
            <w:r>
              <w:rPr>
                <w:b/>
                <w:color w:val="FFFFFF"/>
                <w:sz w:val="18"/>
              </w:rPr>
              <w:t>Feature</w:t>
            </w:r>
          </w:p>
        </w:tc>
        <w:tc>
          <w:tcPr>
            <w:tcW w:type="dxa" w:w="2340"/>
            <w:shd w:fill="1A3A6B" w:val="clear"/>
          </w:tcPr>
          <w:p>
            <w:pPr>
              <w:jc w:val="center"/>
            </w:pPr>
            <w:r>
              <w:rPr>
                <w:b/>
                <w:color w:val="FFFFFF"/>
                <w:sz w:val="18"/>
              </w:rPr>
              <w:t>Type</w:t>
            </w:r>
          </w:p>
        </w:tc>
        <w:tc>
          <w:tcPr>
            <w:tcW w:type="dxa" w:w="2340"/>
            <w:shd w:fill="1A3A6B" w:val="clear"/>
          </w:tcPr>
          <w:p>
            <w:pPr>
              <w:jc w:val="center"/>
            </w:pPr>
            <w:r>
              <w:rPr>
                <w:b/>
                <w:color w:val="FFFFFF"/>
                <w:sz w:val="18"/>
              </w:rPr>
              <w:t>Encoding</w:t>
            </w:r>
          </w:p>
        </w:tc>
        <w:tc>
          <w:tcPr>
            <w:tcW w:type="dxa" w:w="2340"/>
            <w:shd w:fill="1A3A6B" w:val="clear"/>
          </w:tcPr>
          <w:p>
            <w:pPr>
              <w:jc w:val="center"/>
            </w:pPr>
            <w:r>
              <w:rPr>
                <w:b/>
                <w:color w:val="FFFFFF"/>
                <w:sz w:val="18"/>
              </w:rPr>
              <w:t>Rationale</w:t>
            </w:r>
          </w:p>
        </w:tc>
      </w:tr>
      <w:tr>
        <w:tc>
          <w:tcPr>
            <w:tcW w:type="dxa" w:w="2340"/>
            <w:shd w:fill="EBF0F7" w:val="clear"/>
          </w:tcPr>
          <w:p>
            <w:pPr>
              <w:jc w:val="center"/>
            </w:pPr>
            <w:r>
              <w:rPr>
                <w:sz w:val="18"/>
              </w:rPr>
              <w:t>Normalized Load</w:t>
            </w:r>
          </w:p>
        </w:tc>
        <w:tc>
          <w:tcPr>
            <w:tcW w:type="dxa" w:w="2340"/>
            <w:shd w:fill="EBF0F7" w:val="clear"/>
          </w:tcPr>
          <w:p>
            <w:pPr>
              <w:jc w:val="center"/>
            </w:pPr>
            <w:r>
              <w:rPr>
                <w:sz w:val="18"/>
              </w:rPr>
              <w:t>Direct</w:t>
            </w:r>
          </w:p>
        </w:tc>
        <w:tc>
          <w:tcPr>
            <w:tcW w:type="dxa" w:w="2340"/>
            <w:shd w:fill="EBF0F7" w:val="clear"/>
          </w:tcPr>
          <w:p>
            <w:pPr>
              <w:jc w:val="center"/>
            </w:pPr>
            <w:r>
              <w:rPr>
                <w:sz w:val="18"/>
              </w:rPr>
              <w:t>Z-score per client</w:t>
            </w:r>
          </w:p>
        </w:tc>
        <w:tc>
          <w:tcPr>
            <w:tcW w:type="dxa" w:w="2340"/>
            <w:shd w:fill="EBF0F7" w:val="clear"/>
          </w:tcPr>
          <w:p>
            <w:pPr>
              <w:jc w:val="center"/>
            </w:pPr>
            <w:r>
              <w:rPr>
                <w:sz w:val="18"/>
              </w:rPr>
              <w:t>Primary signal</w:t>
            </w:r>
          </w:p>
        </w:tc>
      </w:tr>
      <w:tr>
        <w:tc>
          <w:tcPr>
            <w:tcW w:type="dxa" w:w="2340"/>
          </w:tcPr>
          <w:p>
            <w:pPr>
              <w:jc w:val="center"/>
            </w:pPr>
            <w:r>
              <w:rPr>
                <w:sz w:val="18"/>
              </w:rPr>
              <w:t>Hour of Day</w:t>
            </w:r>
          </w:p>
        </w:tc>
        <w:tc>
          <w:tcPr>
            <w:tcW w:type="dxa" w:w="2340"/>
          </w:tcPr>
          <w:p>
            <w:pPr>
              <w:jc w:val="center"/>
            </w:pPr>
            <w:r>
              <w:rPr>
                <w:sz w:val="18"/>
              </w:rPr>
              <w:t>Derived</w:t>
            </w:r>
          </w:p>
        </w:tc>
        <w:tc>
          <w:tcPr>
            <w:tcW w:type="dxa" w:w="2340"/>
          </w:tcPr>
          <w:p>
            <w:pPr>
              <w:jc w:val="center"/>
            </w:pPr>
            <w:r>
              <w:rPr>
                <w:sz w:val="18"/>
              </w:rPr>
              <w:t>sin(2*pi*h/24), cos(2*pi*h/24)</w:t>
            </w:r>
          </w:p>
        </w:tc>
        <w:tc>
          <w:tcPr>
            <w:tcW w:type="dxa" w:w="2340"/>
          </w:tcPr>
          <w:p>
            <w:pPr>
              <w:jc w:val="center"/>
            </w:pPr>
            <w:r>
              <w:rPr>
                <w:sz w:val="18"/>
              </w:rPr>
              <w:t>Intra-day consumption cycles</w:t>
            </w:r>
          </w:p>
        </w:tc>
      </w:tr>
      <w:tr>
        <w:tc>
          <w:tcPr>
            <w:tcW w:type="dxa" w:w="2340"/>
            <w:shd w:fill="EBF0F7" w:val="clear"/>
          </w:tcPr>
          <w:p>
            <w:pPr>
              <w:jc w:val="center"/>
            </w:pPr>
            <w:r>
              <w:rPr>
                <w:sz w:val="18"/>
              </w:rPr>
              <w:t>Day of Week</w:t>
            </w:r>
          </w:p>
        </w:tc>
        <w:tc>
          <w:tcPr>
            <w:tcW w:type="dxa" w:w="2340"/>
            <w:shd w:fill="EBF0F7" w:val="clear"/>
          </w:tcPr>
          <w:p>
            <w:pPr>
              <w:jc w:val="center"/>
            </w:pPr>
            <w:r>
              <w:rPr>
                <w:sz w:val="18"/>
              </w:rPr>
              <w:t>Derived</w:t>
            </w:r>
          </w:p>
        </w:tc>
        <w:tc>
          <w:tcPr>
            <w:tcW w:type="dxa" w:w="2340"/>
            <w:shd w:fill="EBF0F7" w:val="clear"/>
          </w:tcPr>
          <w:p>
            <w:pPr>
              <w:jc w:val="center"/>
            </w:pPr>
            <w:r>
              <w:rPr>
                <w:sz w:val="18"/>
              </w:rPr>
              <w:t>sin(2*pi*d/7), cos(2*pi*d/7)</w:t>
            </w:r>
          </w:p>
        </w:tc>
        <w:tc>
          <w:tcPr>
            <w:tcW w:type="dxa" w:w="2340"/>
            <w:shd w:fill="EBF0F7" w:val="clear"/>
          </w:tcPr>
          <w:p>
            <w:pPr>
              <w:jc w:val="center"/>
            </w:pPr>
            <w:r>
              <w:rPr>
                <w:sz w:val="18"/>
              </w:rPr>
              <w:t>Weekday vs weekend patterns</w:t>
            </w:r>
          </w:p>
        </w:tc>
      </w:tr>
      <w:tr>
        <w:tc>
          <w:tcPr>
            <w:tcW w:type="dxa" w:w="2340"/>
          </w:tcPr>
          <w:p>
            <w:pPr>
              <w:jc w:val="center"/>
            </w:pPr>
            <w:r>
              <w:rPr>
                <w:sz w:val="18"/>
              </w:rPr>
              <w:t>Month of Year</w:t>
            </w:r>
          </w:p>
        </w:tc>
        <w:tc>
          <w:tcPr>
            <w:tcW w:type="dxa" w:w="2340"/>
          </w:tcPr>
          <w:p>
            <w:pPr>
              <w:jc w:val="center"/>
            </w:pPr>
            <w:r>
              <w:rPr>
                <w:sz w:val="18"/>
              </w:rPr>
              <w:t>Derived</w:t>
            </w:r>
          </w:p>
        </w:tc>
        <w:tc>
          <w:tcPr>
            <w:tcW w:type="dxa" w:w="2340"/>
          </w:tcPr>
          <w:p>
            <w:pPr>
              <w:jc w:val="center"/>
            </w:pPr>
            <w:r>
              <w:rPr>
                <w:sz w:val="18"/>
              </w:rPr>
              <w:t>sin(2*pi*m/12), cos(2*pi*m/12)</w:t>
            </w:r>
          </w:p>
        </w:tc>
        <w:tc>
          <w:tcPr>
            <w:tcW w:type="dxa" w:w="2340"/>
          </w:tcPr>
          <w:p>
            <w:pPr>
              <w:jc w:val="center"/>
            </w:pPr>
            <w:r>
              <w:rPr>
                <w:sz w:val="18"/>
              </w:rPr>
              <w:t>Seasonal heating/cooling effects</w:t>
            </w:r>
          </w:p>
        </w:tc>
      </w:tr>
      <w:tr>
        <w:tc>
          <w:tcPr>
            <w:tcW w:type="dxa" w:w="2340"/>
            <w:shd w:fill="EBF0F7" w:val="clear"/>
          </w:tcPr>
          <w:p>
            <w:pPr>
              <w:jc w:val="center"/>
            </w:pPr>
            <w:r>
              <w:rPr>
                <w:sz w:val="18"/>
              </w:rPr>
              <w:t>Is Weekend</w:t>
            </w:r>
          </w:p>
        </w:tc>
        <w:tc>
          <w:tcPr>
            <w:tcW w:type="dxa" w:w="2340"/>
            <w:shd w:fill="EBF0F7" w:val="clear"/>
          </w:tcPr>
          <w:p>
            <w:pPr>
              <w:jc w:val="center"/>
            </w:pPr>
            <w:r>
              <w:rPr>
                <w:sz w:val="18"/>
              </w:rPr>
              <w:t>Derived</w:t>
            </w:r>
          </w:p>
        </w:tc>
        <w:tc>
          <w:tcPr>
            <w:tcW w:type="dxa" w:w="2340"/>
            <w:shd w:fill="EBF0F7" w:val="clear"/>
          </w:tcPr>
          <w:p>
            <w:pPr>
              <w:jc w:val="center"/>
            </w:pPr>
            <w:r>
              <w:rPr>
                <w:sz w:val="18"/>
              </w:rPr>
              <w:t>Binary (0/1)</w:t>
            </w:r>
          </w:p>
        </w:tc>
        <w:tc>
          <w:tcPr>
            <w:tcW w:type="dxa" w:w="2340"/>
            <w:shd w:fill="EBF0F7" w:val="clear"/>
          </w:tcPr>
          <w:p>
            <w:pPr>
              <w:jc w:val="center"/>
            </w:pPr>
            <w:r>
              <w:rPr>
                <w:sz w:val="18"/>
              </w:rPr>
              <w:t>Reduced commercial activity</w:t>
            </w:r>
          </w:p>
        </w:tc>
      </w:tr>
      <w:tr>
        <w:tc>
          <w:tcPr>
            <w:tcW w:type="dxa" w:w="2340"/>
          </w:tcPr>
          <w:p>
            <w:pPr>
              <w:jc w:val="center"/>
            </w:pPr>
            <w:r>
              <w:rPr>
                <w:sz w:val="18"/>
              </w:rPr>
              <w:t>Is Business Hour</w:t>
            </w:r>
          </w:p>
        </w:tc>
        <w:tc>
          <w:tcPr>
            <w:tcW w:type="dxa" w:w="2340"/>
          </w:tcPr>
          <w:p>
            <w:pPr>
              <w:jc w:val="center"/>
            </w:pPr>
            <w:r>
              <w:rPr>
                <w:sz w:val="18"/>
              </w:rPr>
              <w:t>Derived</w:t>
            </w:r>
          </w:p>
        </w:tc>
        <w:tc>
          <w:tcPr>
            <w:tcW w:type="dxa" w:w="2340"/>
          </w:tcPr>
          <w:p>
            <w:pPr>
              <w:jc w:val="center"/>
            </w:pPr>
            <w:r>
              <w:rPr>
                <w:sz w:val="18"/>
              </w:rPr>
              <w:t>Binary (0/1), 8–18h weekdays</w:t>
            </w:r>
          </w:p>
        </w:tc>
        <w:tc>
          <w:tcPr>
            <w:tcW w:type="dxa" w:w="2340"/>
          </w:tcPr>
          <w:p>
            <w:pPr>
              <w:jc w:val="center"/>
            </w:pPr>
            <w:r>
              <w:rPr>
                <w:sz w:val="18"/>
              </w:rPr>
              <w:t>Peak commercial demand periods</w:t>
            </w:r>
          </w:p>
        </w:tc>
      </w:tr>
    </w:tbl>
    <w:p>
      <w:pPr>
        <w:spacing w:after="120"/>
      </w:pPr>
      <w:r>
        <w:rPr>
          <w:b w:val="0"/>
          <w:i w:val="0"/>
        </w:rPr>
      </w:r>
    </w:p>
    <w:p>
      <w:pPr>
        <w:spacing w:after="120"/>
      </w:pPr>
      <w:r>
        <w:rPr>
          <w:b w:val="0"/>
          <w:i w:val="0"/>
        </w:rPr>
        <w:t>Cyclical encoding (sine/cosine pairs) is used instead of one-hot or ordinal encoding to preserve the circular nature of time features — e.g., hour 23 is close to hour 0, and December is close to January.</w:t>
      </w:r>
    </w:p>
    <w:p>
      <w:pPr>
        <w:pStyle w:val="Heading1"/>
      </w:pPr>
      <w:r>
        <w:rPr>
          <w:color w:val="1A3A6B"/>
        </w:rPr>
        <w:t>4. Client Clustering</w:t>
      </w:r>
    </w:p>
    <w:p>
      <w:pPr>
        <w:spacing w:after="120"/>
      </w:pPr>
      <w:r>
        <w:rPr>
          <w:b w:val="0"/>
          <w:i w:val="0"/>
        </w:rPr>
        <w:t>Rather than training a single global model or 314 individual models, we adopt a clustering-based strategy. Clients are grouped by their typical daily consumption shapes using K-Means (K=3) on Z-score normalized 24-hour average load profiles. This balances model specialization with training efficiency.</w:t>
      </w:r>
    </w:p>
    <w:tbl>
      <w:tblPr>
        <w:tblW w:type="auto" w:w="0"/>
        <w:jc w:val="center"/>
        <w:tblLook w:firstColumn="1" w:firstRow="1" w:lastColumn="0" w:lastRow="0" w:noHBand="0" w:noVBand="1" w:val="04A0"/>
      </w:tblPr>
      <w:tblGrid>
        <w:gridCol w:w="2340"/>
        <w:gridCol w:w="2340"/>
        <w:gridCol w:w="2340"/>
        <w:gridCol w:w="2340"/>
      </w:tblGrid>
      <w:tr>
        <w:tc>
          <w:tcPr>
            <w:tcW w:type="dxa" w:w="2340"/>
            <w:shd w:fill="1A3A6B" w:val="clear"/>
          </w:tcPr>
          <w:p>
            <w:pPr>
              <w:jc w:val="center"/>
            </w:pPr>
            <w:r>
              <w:rPr>
                <w:b/>
                <w:color w:val="FFFFFF"/>
                <w:sz w:val="18"/>
              </w:rPr>
              <w:t>Cluster</w:t>
            </w:r>
          </w:p>
        </w:tc>
        <w:tc>
          <w:tcPr>
            <w:tcW w:type="dxa" w:w="2340"/>
            <w:shd w:fill="1A3A6B" w:val="clear"/>
          </w:tcPr>
          <w:p>
            <w:pPr>
              <w:jc w:val="center"/>
            </w:pPr>
            <w:r>
              <w:rPr>
                <w:b/>
                <w:color w:val="FFFFFF"/>
                <w:sz w:val="18"/>
              </w:rPr>
              <w:t>Clients</w:t>
            </w:r>
          </w:p>
        </w:tc>
        <w:tc>
          <w:tcPr>
            <w:tcW w:type="dxa" w:w="2340"/>
            <w:shd w:fill="1A3A6B" w:val="clear"/>
          </w:tcPr>
          <w:p>
            <w:pPr>
              <w:jc w:val="center"/>
            </w:pPr>
            <w:r>
              <w:rPr>
                <w:b/>
                <w:color w:val="FFFFFF"/>
                <w:sz w:val="18"/>
              </w:rPr>
              <w:t>Avg Load (kWh/hr)</w:t>
            </w:r>
          </w:p>
        </w:tc>
        <w:tc>
          <w:tcPr>
            <w:tcW w:type="dxa" w:w="2340"/>
            <w:shd w:fill="1A3A6B" w:val="clear"/>
          </w:tcPr>
          <w:p>
            <w:pPr>
              <w:jc w:val="center"/>
            </w:pPr>
            <w:r>
              <w:rPr>
                <w:b/>
                <w:color w:val="FFFFFF"/>
                <w:sz w:val="18"/>
              </w:rPr>
              <w:t>Profile Description</w:t>
            </w:r>
          </w:p>
        </w:tc>
      </w:tr>
      <w:tr>
        <w:tc>
          <w:tcPr>
            <w:tcW w:type="dxa" w:w="2340"/>
            <w:shd w:fill="EBF0F7" w:val="clear"/>
          </w:tcPr>
          <w:p>
            <w:pPr>
              <w:jc w:val="center"/>
            </w:pPr>
            <w:r>
              <w:rPr>
                <w:sz w:val="18"/>
              </w:rPr>
              <w:t>0</w:t>
            </w:r>
          </w:p>
        </w:tc>
        <w:tc>
          <w:tcPr>
            <w:tcW w:type="dxa" w:w="2340"/>
            <w:shd w:fill="EBF0F7" w:val="clear"/>
          </w:tcPr>
          <w:p>
            <w:pPr>
              <w:jc w:val="center"/>
            </w:pPr>
            <w:r>
              <w:rPr>
                <w:sz w:val="18"/>
              </w:rPr>
              <w:t>157</w:t>
            </w:r>
          </w:p>
        </w:tc>
        <w:tc>
          <w:tcPr>
            <w:tcW w:type="dxa" w:w="2340"/>
            <w:shd w:fill="EBF0F7" w:val="clear"/>
          </w:tcPr>
          <w:p>
            <w:pPr>
              <w:jc w:val="center"/>
            </w:pPr>
            <w:r>
              <w:rPr>
                <w:sz w:val="18"/>
              </w:rPr>
              <w:t>2,045</w:t>
            </w:r>
          </w:p>
        </w:tc>
        <w:tc>
          <w:tcPr>
            <w:tcW w:type="dxa" w:w="2340"/>
            <w:shd w:fill="EBF0F7" w:val="clear"/>
          </w:tcPr>
          <w:p>
            <w:pPr>
              <w:jc w:val="center"/>
            </w:pPr>
            <w:r>
              <w:rPr>
                <w:sz w:val="18"/>
              </w:rPr>
              <w:t>Medium-load — predominantly residential with moderate daily variation</w:t>
            </w:r>
          </w:p>
        </w:tc>
      </w:tr>
      <w:tr>
        <w:tc>
          <w:tcPr>
            <w:tcW w:type="dxa" w:w="2340"/>
          </w:tcPr>
          <w:p>
            <w:pPr>
              <w:jc w:val="center"/>
            </w:pPr>
            <w:r>
              <w:rPr>
                <w:sz w:val="18"/>
              </w:rPr>
              <w:t>1</w:t>
            </w:r>
          </w:p>
        </w:tc>
        <w:tc>
          <w:tcPr>
            <w:tcW w:type="dxa" w:w="2340"/>
          </w:tcPr>
          <w:p>
            <w:pPr>
              <w:jc w:val="center"/>
            </w:pPr>
            <w:r>
              <w:rPr>
                <w:sz w:val="18"/>
              </w:rPr>
              <w:t>71</w:t>
            </w:r>
          </w:p>
        </w:tc>
        <w:tc>
          <w:tcPr>
            <w:tcW w:type="dxa" w:w="2340"/>
          </w:tcPr>
          <w:p>
            <w:pPr>
              <w:jc w:val="center"/>
            </w:pPr>
            <w:r>
              <w:rPr>
                <w:sz w:val="18"/>
              </w:rPr>
              <w:t>515</w:t>
            </w:r>
          </w:p>
        </w:tc>
        <w:tc>
          <w:tcPr>
            <w:tcW w:type="dxa" w:w="2340"/>
          </w:tcPr>
          <w:p>
            <w:pPr>
              <w:jc w:val="center"/>
            </w:pPr>
            <w:r>
              <w:rPr>
                <w:sz w:val="18"/>
              </w:rPr>
              <w:t>Low-load — small residential or low-activity commercial clients</w:t>
            </w:r>
          </w:p>
        </w:tc>
      </w:tr>
      <w:tr>
        <w:tc>
          <w:tcPr>
            <w:tcW w:type="dxa" w:w="2340"/>
            <w:shd w:fill="EBF0F7" w:val="clear"/>
          </w:tcPr>
          <w:p>
            <w:pPr>
              <w:jc w:val="center"/>
            </w:pPr>
            <w:r>
              <w:rPr>
                <w:sz w:val="18"/>
              </w:rPr>
              <w:t>2</w:t>
            </w:r>
          </w:p>
        </w:tc>
        <w:tc>
          <w:tcPr>
            <w:tcW w:type="dxa" w:w="2340"/>
            <w:shd w:fill="EBF0F7" w:val="clear"/>
          </w:tcPr>
          <w:p>
            <w:pPr>
              <w:jc w:val="center"/>
            </w:pPr>
            <w:r>
              <w:rPr>
                <w:sz w:val="18"/>
              </w:rPr>
              <w:t>86</w:t>
            </w:r>
          </w:p>
        </w:tc>
        <w:tc>
          <w:tcPr>
            <w:tcW w:type="dxa" w:w="2340"/>
            <w:shd w:fill="EBF0F7" w:val="clear"/>
          </w:tcPr>
          <w:p>
            <w:pPr>
              <w:jc w:val="center"/>
            </w:pPr>
            <w:r>
              <w:rPr>
                <w:sz w:val="18"/>
              </w:rPr>
              <w:t>5,293</w:t>
            </w:r>
          </w:p>
        </w:tc>
        <w:tc>
          <w:tcPr>
            <w:tcW w:type="dxa" w:w="2340"/>
            <w:shd w:fill="EBF0F7" w:val="clear"/>
          </w:tcPr>
          <w:p>
            <w:pPr>
              <w:jc w:val="center"/>
            </w:pPr>
            <w:r>
              <w:rPr>
                <w:sz w:val="18"/>
              </w:rPr>
              <w:t>High-load — large commercial/industrial with strong weekday peaks</w:t>
            </w:r>
          </w:p>
        </w:tc>
      </w:tr>
    </w:tbl>
    <w:p>
      <w:pPr>
        <w:spacing w:after="120"/>
      </w:pPr>
      <w:r>
        <w:rPr>
          <w:b w:val="0"/>
          <w:i w:val="0"/>
        </w:rPr>
      </w:r>
    </w:p>
    <w:p>
      <w:pPr>
        <w:spacing w:after="120"/>
      </w:pPr>
      <w:r>
        <w:rPr>
          <w:b w:val="0"/>
          <w:i w:val="0"/>
        </w:rPr>
        <w:t>The clustering ensures that models learn consumption patterns specific to each client group. For example, high-load industrial clients (Cluster 2) exhibit sharper weekday/weekend transitions than residential clients (Cluster 0), requiring different learned representations.</w:t>
      </w:r>
    </w:p>
    <w:p>
      <w:pPr>
        <w:pStyle w:val="Heading1"/>
      </w:pPr>
      <w:r>
        <w:rPr>
          <w:color w:val="1A3A6B"/>
        </w:rPr>
        <w:t>5. Model Architectures</w:t>
      </w:r>
    </w:p>
    <w:p>
      <w:pPr>
        <w:spacing w:after="120"/>
      </w:pPr>
      <w:r>
        <w:rPr>
          <w:b w:val="0"/>
          <w:i w:val="0"/>
        </w:rPr>
        <w:t>All four architectures use a channel-independent design: each client is treated as a separate univariate time series (plus 8 time features), producing a direct multi-step output of H future load values. This makes training feasible on CPU with 300+ clients, as opposed to a multivariate approach that would require all clients as input features.</w:t>
      </w:r>
    </w:p>
    <w:p>
      <w:pPr>
        <w:pStyle w:val="Heading2"/>
      </w:pPr>
      <w:r>
        <w:rPr>
          <w:color w:val="1A3A6B"/>
        </w:rPr>
        <w:t>5.1 LSTM (Long Short-Term Memory)</w:t>
      </w:r>
    </w:p>
    <w:p>
      <w:pPr>
        <w:spacing w:after="120"/>
      </w:pPr>
      <w:r>
        <w:rPr>
          <w:b w:val="0"/>
          <w:i w:val="0"/>
        </w:rPr>
        <w:t>A 2-layer stacked LSTM processes the 168-step input sequence sequentially. The last hidden state is projected through a 2-layer MLP head to produce H output values directly (no autoregressive decoding).</w:t>
      </w:r>
    </w:p>
    <w:tbl>
      <w:tblPr>
        <w:tblW w:type="auto" w:w="0"/>
        <w:jc w:val="center"/>
        <w:tblLook w:firstColumn="1" w:firstRow="1" w:lastColumn="0" w:lastRow="0" w:noHBand="0" w:noVBand="1" w:val="04A0"/>
      </w:tblPr>
      <w:tblGrid>
        <w:gridCol w:w="4680"/>
        <w:gridCol w:w="4680"/>
      </w:tblGrid>
      <w:tr>
        <w:tc>
          <w:tcPr>
            <w:tcW w:type="dxa" w:w="4680"/>
            <w:shd w:fill="1A3A6B" w:val="clear"/>
          </w:tcPr>
          <w:p>
            <w:pPr>
              <w:jc w:val="center"/>
            </w:pPr>
            <w:r>
              <w:rPr>
                <w:b/>
                <w:color w:val="FFFFFF"/>
                <w:sz w:val="18"/>
              </w:rPr>
              <w:t>Parameter</w:t>
            </w:r>
          </w:p>
        </w:tc>
        <w:tc>
          <w:tcPr>
            <w:tcW w:type="dxa" w:w="4680"/>
            <w:shd w:fill="1A3A6B" w:val="clear"/>
          </w:tcPr>
          <w:p>
            <w:pPr>
              <w:jc w:val="center"/>
            </w:pPr>
            <w:r>
              <w:rPr>
                <w:b/>
                <w:color w:val="FFFFFF"/>
                <w:sz w:val="18"/>
              </w:rPr>
              <w:t>Value</w:t>
            </w:r>
          </w:p>
        </w:tc>
      </w:tr>
      <w:tr>
        <w:tc>
          <w:tcPr>
            <w:tcW w:type="dxa" w:w="4680"/>
            <w:shd w:fill="EBF0F7" w:val="clear"/>
          </w:tcPr>
          <w:p>
            <w:pPr>
              <w:jc w:val="center"/>
            </w:pPr>
            <w:r>
              <w:rPr>
                <w:sz w:val="18"/>
              </w:rPr>
              <w:t>Layers</w:t>
            </w:r>
          </w:p>
        </w:tc>
        <w:tc>
          <w:tcPr>
            <w:tcW w:type="dxa" w:w="4680"/>
            <w:shd w:fill="EBF0F7" w:val="clear"/>
          </w:tcPr>
          <w:p>
            <w:pPr>
              <w:jc w:val="center"/>
            </w:pPr>
            <w:r>
              <w:rPr>
                <w:sz w:val="18"/>
              </w:rPr>
              <w:t>2 (stacked)</w:t>
            </w:r>
          </w:p>
        </w:tc>
      </w:tr>
      <w:tr>
        <w:tc>
          <w:tcPr>
            <w:tcW w:type="dxa" w:w="4680"/>
          </w:tcPr>
          <w:p>
            <w:pPr>
              <w:jc w:val="center"/>
            </w:pPr>
            <w:r>
              <w:rPr>
                <w:sz w:val="18"/>
              </w:rPr>
              <w:t>Hidden Size</w:t>
            </w:r>
          </w:p>
        </w:tc>
        <w:tc>
          <w:tcPr>
            <w:tcW w:type="dxa" w:w="4680"/>
          </w:tcPr>
          <w:p>
            <w:pPr>
              <w:jc w:val="center"/>
            </w:pPr>
            <w:r>
              <w:rPr>
                <w:sz w:val="18"/>
              </w:rPr>
              <w:t>64</w:t>
            </w:r>
          </w:p>
        </w:tc>
      </w:tr>
      <w:tr>
        <w:tc>
          <w:tcPr>
            <w:tcW w:type="dxa" w:w="4680"/>
            <w:shd w:fill="EBF0F7" w:val="clear"/>
          </w:tcPr>
          <w:p>
            <w:pPr>
              <w:jc w:val="center"/>
            </w:pPr>
            <w:r>
              <w:rPr>
                <w:sz w:val="18"/>
              </w:rPr>
              <w:t>Dropout</w:t>
            </w:r>
          </w:p>
        </w:tc>
        <w:tc>
          <w:tcPr>
            <w:tcW w:type="dxa" w:w="4680"/>
            <w:shd w:fill="EBF0F7" w:val="clear"/>
          </w:tcPr>
          <w:p>
            <w:pPr>
              <w:jc w:val="center"/>
            </w:pPr>
            <w:r>
              <w:rPr>
                <w:sz w:val="18"/>
              </w:rPr>
              <w:t>0.2 (between layers + head)</w:t>
            </w:r>
          </w:p>
        </w:tc>
      </w:tr>
      <w:tr>
        <w:tc>
          <w:tcPr>
            <w:tcW w:type="dxa" w:w="4680"/>
          </w:tcPr>
          <w:p>
            <w:pPr>
              <w:jc w:val="center"/>
            </w:pPr>
            <w:r>
              <w:rPr>
                <w:sz w:val="18"/>
              </w:rPr>
              <w:t>Output</w:t>
            </w:r>
          </w:p>
        </w:tc>
        <w:tc>
          <w:tcPr>
            <w:tcW w:type="dxa" w:w="4680"/>
          </w:tcPr>
          <w:p>
            <w:pPr>
              <w:jc w:val="center"/>
            </w:pPr>
            <w:r>
              <w:rPr>
                <w:sz w:val="18"/>
              </w:rPr>
              <w:t>MLP: hidden -&gt; ReLU -&gt; horizon</w:t>
            </w:r>
          </w:p>
        </w:tc>
      </w:tr>
      <w:tr>
        <w:tc>
          <w:tcPr>
            <w:tcW w:type="dxa" w:w="4680"/>
            <w:shd w:fill="EBF0F7" w:val="clear"/>
          </w:tcPr>
          <w:p>
            <w:pPr>
              <w:jc w:val="center"/>
            </w:pPr>
            <w:r>
              <w:rPr>
                <w:sz w:val="18"/>
              </w:rPr>
              <w:t>Parameters</w:t>
            </w:r>
          </w:p>
        </w:tc>
        <w:tc>
          <w:tcPr>
            <w:tcW w:type="dxa" w:w="4680"/>
            <w:shd w:fill="EBF0F7" w:val="clear"/>
          </w:tcPr>
          <w:p>
            <w:pPr>
              <w:jc w:val="center"/>
            </w:pPr>
            <w:r>
              <w:rPr>
                <w:sz w:val="18"/>
              </w:rPr>
              <w:t>~57K</w:t>
            </w:r>
          </w:p>
        </w:tc>
      </w:tr>
    </w:tbl>
    <w:p>
      <w:pPr>
        <w:spacing w:after="120"/>
      </w:pPr>
      <w:r>
        <w:rPr>
          <w:b w:val="0"/>
          <w:i w:val="0"/>
        </w:rPr>
      </w:r>
    </w:p>
    <w:p>
      <w:pPr>
        <w:pStyle w:val="Heading2"/>
      </w:pPr>
      <w:r>
        <w:rPr>
          <w:color w:val="1A3A6B"/>
        </w:rPr>
        <w:t>5.2 TCN (Temporal Convolutional Network)</w:t>
      </w:r>
    </w:p>
    <w:p>
      <w:pPr>
        <w:spacing w:after="120"/>
      </w:pPr>
      <w:r>
        <w:rPr>
          <w:b w:val="0"/>
          <w:i w:val="0"/>
        </w:rPr>
        <w:t>The TCN uses 4 causal convolutional blocks with exponentially increasing dilation rates {1, 2, 4, 8}, giving a receptive field of 2 x (3-1) x (1+2+4+8) = 60 timesteps. Weight normalization and residual connections stabilize training. The last timestep's representation is projected to H outputs.</w:t>
      </w:r>
    </w:p>
    <w:tbl>
      <w:tblPr>
        <w:tblW w:type="auto" w:w="0"/>
        <w:jc w:val="center"/>
        <w:tblLook w:firstColumn="1" w:firstRow="1" w:lastColumn="0" w:lastRow="0" w:noHBand="0" w:noVBand="1" w:val="04A0"/>
      </w:tblPr>
      <w:tblGrid>
        <w:gridCol w:w="4680"/>
        <w:gridCol w:w="4680"/>
      </w:tblGrid>
      <w:tr>
        <w:tc>
          <w:tcPr>
            <w:tcW w:type="dxa" w:w="4680"/>
            <w:shd w:fill="1A3A6B" w:val="clear"/>
          </w:tcPr>
          <w:p>
            <w:pPr>
              <w:jc w:val="center"/>
            </w:pPr>
            <w:r>
              <w:rPr>
                <w:b/>
                <w:color w:val="FFFFFF"/>
                <w:sz w:val="18"/>
              </w:rPr>
              <w:t>Parameter</w:t>
            </w:r>
          </w:p>
        </w:tc>
        <w:tc>
          <w:tcPr>
            <w:tcW w:type="dxa" w:w="4680"/>
            <w:shd w:fill="1A3A6B" w:val="clear"/>
          </w:tcPr>
          <w:p>
            <w:pPr>
              <w:jc w:val="center"/>
            </w:pPr>
            <w:r>
              <w:rPr>
                <w:b/>
                <w:color w:val="FFFFFF"/>
                <w:sz w:val="18"/>
              </w:rPr>
              <w:t>Value</w:t>
            </w:r>
          </w:p>
        </w:tc>
      </w:tr>
      <w:tr>
        <w:tc>
          <w:tcPr>
            <w:tcW w:type="dxa" w:w="4680"/>
            <w:shd w:fill="EBF0F7" w:val="clear"/>
          </w:tcPr>
          <w:p>
            <w:pPr>
              <w:jc w:val="center"/>
            </w:pPr>
            <w:r>
              <w:rPr>
                <w:sz w:val="18"/>
              </w:rPr>
              <w:t>Blocks</w:t>
            </w:r>
          </w:p>
        </w:tc>
        <w:tc>
          <w:tcPr>
            <w:tcW w:type="dxa" w:w="4680"/>
            <w:shd w:fill="EBF0F7" w:val="clear"/>
          </w:tcPr>
          <w:p>
            <w:pPr>
              <w:jc w:val="center"/>
            </w:pPr>
            <w:r>
              <w:rPr>
                <w:sz w:val="18"/>
              </w:rPr>
              <w:t>4 (dilations: 1, 2, 4, 8)</w:t>
            </w:r>
          </w:p>
        </w:tc>
      </w:tr>
      <w:tr>
        <w:tc>
          <w:tcPr>
            <w:tcW w:type="dxa" w:w="4680"/>
          </w:tcPr>
          <w:p>
            <w:pPr>
              <w:jc w:val="center"/>
            </w:pPr>
            <w:r>
              <w:rPr>
                <w:sz w:val="18"/>
              </w:rPr>
              <w:t>Channels</w:t>
            </w:r>
          </w:p>
        </w:tc>
        <w:tc>
          <w:tcPr>
            <w:tcW w:type="dxa" w:w="4680"/>
          </w:tcPr>
          <w:p>
            <w:pPr>
              <w:jc w:val="center"/>
            </w:pPr>
            <w:r>
              <w:rPr>
                <w:sz w:val="18"/>
              </w:rPr>
              <w:t>48</w:t>
            </w:r>
          </w:p>
        </w:tc>
      </w:tr>
      <w:tr>
        <w:tc>
          <w:tcPr>
            <w:tcW w:type="dxa" w:w="4680"/>
            <w:shd w:fill="EBF0F7" w:val="clear"/>
          </w:tcPr>
          <w:p>
            <w:pPr>
              <w:jc w:val="center"/>
            </w:pPr>
            <w:r>
              <w:rPr>
                <w:sz w:val="18"/>
              </w:rPr>
              <w:t>Kernel Size</w:t>
            </w:r>
          </w:p>
        </w:tc>
        <w:tc>
          <w:tcPr>
            <w:tcW w:type="dxa" w:w="4680"/>
            <w:shd w:fill="EBF0F7" w:val="clear"/>
          </w:tcPr>
          <w:p>
            <w:pPr>
              <w:jc w:val="center"/>
            </w:pPr>
            <w:r>
              <w:rPr>
                <w:sz w:val="18"/>
              </w:rPr>
              <w:t>3</w:t>
            </w:r>
          </w:p>
        </w:tc>
      </w:tr>
      <w:tr>
        <w:tc>
          <w:tcPr>
            <w:tcW w:type="dxa" w:w="4680"/>
          </w:tcPr>
          <w:p>
            <w:pPr>
              <w:jc w:val="center"/>
            </w:pPr>
            <w:r>
              <w:rPr>
                <w:sz w:val="18"/>
              </w:rPr>
              <w:t>Normalization</w:t>
            </w:r>
          </w:p>
        </w:tc>
        <w:tc>
          <w:tcPr>
            <w:tcW w:type="dxa" w:w="4680"/>
          </w:tcPr>
          <w:p>
            <w:pPr>
              <w:jc w:val="center"/>
            </w:pPr>
            <w:r>
              <w:rPr>
                <w:sz w:val="18"/>
              </w:rPr>
              <w:t>Weight normalization on all conv layers</w:t>
            </w:r>
          </w:p>
        </w:tc>
      </w:tr>
      <w:tr>
        <w:tc>
          <w:tcPr>
            <w:tcW w:type="dxa" w:w="4680"/>
            <w:shd w:fill="EBF0F7" w:val="clear"/>
          </w:tcPr>
          <w:p>
            <w:pPr>
              <w:jc w:val="center"/>
            </w:pPr>
            <w:r>
              <w:rPr>
                <w:sz w:val="18"/>
              </w:rPr>
              <w:t>Parameters</w:t>
            </w:r>
          </w:p>
        </w:tc>
        <w:tc>
          <w:tcPr>
            <w:tcW w:type="dxa" w:w="4680"/>
            <w:shd w:fill="EBF0F7" w:val="clear"/>
          </w:tcPr>
          <w:p>
            <w:pPr>
              <w:jc w:val="center"/>
            </w:pPr>
            <w:r>
              <w:rPr>
                <w:sz w:val="18"/>
              </w:rPr>
              <w:t>~59K</w:t>
            </w:r>
          </w:p>
        </w:tc>
      </w:tr>
    </w:tbl>
    <w:p>
      <w:pPr>
        <w:spacing w:after="120"/>
      </w:pPr>
      <w:r>
        <w:rPr>
          <w:b w:val="0"/>
          <w:i w:val="0"/>
        </w:rPr>
      </w:r>
    </w:p>
    <w:p>
      <w:pPr>
        <w:pStyle w:val="Heading2"/>
      </w:pPr>
      <w:r>
        <w:rPr>
          <w:color w:val="1A3A6B"/>
        </w:rPr>
        <w:t>5.3 Vanilla Transformer (Encoder-Only)</w:t>
      </w:r>
    </w:p>
    <w:p>
      <w:pPr>
        <w:spacing w:after="120"/>
      </w:pPr>
      <w:r>
        <w:rPr>
          <w:b w:val="0"/>
          <w:i w:val="0"/>
        </w:rPr>
        <w:t>A standard Transformer encoder with learned positional embeddings. The input is projected to d_model dimensions, passed through self-attention layers, and the last token's representation is used for prediction. Global attention captures long-range seasonal dependencies effectively.</w:t>
      </w:r>
    </w:p>
    <w:tbl>
      <w:tblPr>
        <w:tblW w:type="auto" w:w="0"/>
        <w:jc w:val="center"/>
        <w:tblLook w:firstColumn="1" w:firstRow="1" w:lastColumn="0" w:lastRow="0" w:noHBand="0" w:noVBand="1" w:val="04A0"/>
      </w:tblPr>
      <w:tblGrid>
        <w:gridCol w:w="4680"/>
        <w:gridCol w:w="4680"/>
      </w:tblGrid>
      <w:tr>
        <w:tc>
          <w:tcPr>
            <w:tcW w:type="dxa" w:w="4680"/>
            <w:shd w:fill="1A3A6B" w:val="clear"/>
          </w:tcPr>
          <w:p>
            <w:pPr>
              <w:jc w:val="center"/>
            </w:pPr>
            <w:r>
              <w:rPr>
                <w:b/>
                <w:color w:val="FFFFFF"/>
                <w:sz w:val="18"/>
              </w:rPr>
              <w:t>Parameter</w:t>
            </w:r>
          </w:p>
        </w:tc>
        <w:tc>
          <w:tcPr>
            <w:tcW w:type="dxa" w:w="4680"/>
            <w:shd w:fill="1A3A6B" w:val="clear"/>
          </w:tcPr>
          <w:p>
            <w:pPr>
              <w:jc w:val="center"/>
            </w:pPr>
            <w:r>
              <w:rPr>
                <w:b/>
                <w:color w:val="FFFFFF"/>
                <w:sz w:val="18"/>
              </w:rPr>
              <w:t>Value</w:t>
            </w:r>
          </w:p>
        </w:tc>
      </w:tr>
      <w:tr>
        <w:tc>
          <w:tcPr>
            <w:tcW w:type="dxa" w:w="4680"/>
            <w:shd w:fill="EBF0F7" w:val="clear"/>
          </w:tcPr>
          <w:p>
            <w:pPr>
              <w:jc w:val="center"/>
            </w:pPr>
            <w:r>
              <w:rPr>
                <w:sz w:val="18"/>
              </w:rPr>
              <w:t>Encoder Layers</w:t>
            </w:r>
          </w:p>
        </w:tc>
        <w:tc>
          <w:tcPr>
            <w:tcW w:type="dxa" w:w="4680"/>
            <w:shd w:fill="EBF0F7" w:val="clear"/>
          </w:tcPr>
          <w:p>
            <w:pPr>
              <w:jc w:val="center"/>
            </w:pPr>
            <w:r>
              <w:rPr>
                <w:sz w:val="18"/>
              </w:rPr>
              <w:t>2</w:t>
            </w:r>
          </w:p>
        </w:tc>
      </w:tr>
      <w:tr>
        <w:tc>
          <w:tcPr>
            <w:tcW w:type="dxa" w:w="4680"/>
          </w:tcPr>
          <w:p>
            <w:pPr>
              <w:jc w:val="center"/>
            </w:pPr>
            <w:r>
              <w:rPr>
                <w:sz w:val="18"/>
              </w:rPr>
              <w:t>Attention Heads</w:t>
            </w:r>
          </w:p>
        </w:tc>
        <w:tc>
          <w:tcPr>
            <w:tcW w:type="dxa" w:w="4680"/>
          </w:tcPr>
          <w:p>
            <w:pPr>
              <w:jc w:val="center"/>
            </w:pPr>
            <w:r>
              <w:rPr>
                <w:sz w:val="18"/>
              </w:rPr>
              <w:t>4</w:t>
            </w:r>
          </w:p>
        </w:tc>
      </w:tr>
      <w:tr>
        <w:tc>
          <w:tcPr>
            <w:tcW w:type="dxa" w:w="4680"/>
            <w:shd w:fill="EBF0F7" w:val="clear"/>
          </w:tcPr>
          <w:p>
            <w:pPr>
              <w:jc w:val="center"/>
            </w:pPr>
            <w:r>
              <w:rPr>
                <w:sz w:val="18"/>
              </w:rPr>
              <w:t>d_model</w:t>
            </w:r>
          </w:p>
        </w:tc>
        <w:tc>
          <w:tcPr>
            <w:tcW w:type="dxa" w:w="4680"/>
            <w:shd w:fill="EBF0F7" w:val="clear"/>
          </w:tcPr>
          <w:p>
            <w:pPr>
              <w:jc w:val="center"/>
            </w:pPr>
            <w:r>
              <w:rPr>
                <w:sz w:val="18"/>
              </w:rPr>
              <w:t>48</w:t>
            </w:r>
          </w:p>
        </w:tc>
      </w:tr>
      <w:tr>
        <w:tc>
          <w:tcPr>
            <w:tcW w:type="dxa" w:w="4680"/>
          </w:tcPr>
          <w:p>
            <w:pPr>
              <w:jc w:val="center"/>
            </w:pPr>
            <w:r>
              <w:rPr>
                <w:sz w:val="18"/>
              </w:rPr>
              <w:t>FFN Dimension</w:t>
            </w:r>
          </w:p>
        </w:tc>
        <w:tc>
          <w:tcPr>
            <w:tcW w:type="dxa" w:w="4680"/>
          </w:tcPr>
          <w:p>
            <w:pPr>
              <w:jc w:val="center"/>
            </w:pPr>
            <w:r>
              <w:rPr>
                <w:sz w:val="18"/>
              </w:rPr>
              <w:t>192 (4x d_model)</w:t>
            </w:r>
          </w:p>
        </w:tc>
      </w:tr>
      <w:tr>
        <w:tc>
          <w:tcPr>
            <w:tcW w:type="dxa" w:w="4680"/>
            <w:shd w:fill="EBF0F7" w:val="clear"/>
          </w:tcPr>
          <w:p>
            <w:pPr>
              <w:jc w:val="center"/>
            </w:pPr>
            <w:r>
              <w:rPr>
                <w:sz w:val="18"/>
              </w:rPr>
              <w:t>Positional Encoding</w:t>
            </w:r>
          </w:p>
        </w:tc>
        <w:tc>
          <w:tcPr>
            <w:tcW w:type="dxa" w:w="4680"/>
            <w:shd w:fill="EBF0F7" w:val="clear"/>
          </w:tcPr>
          <w:p>
            <w:pPr>
              <w:jc w:val="center"/>
            </w:pPr>
            <w:r>
              <w:rPr>
                <w:sz w:val="18"/>
              </w:rPr>
              <w:t>Learned (nn.Embedding)</w:t>
            </w:r>
          </w:p>
        </w:tc>
      </w:tr>
      <w:tr>
        <w:tc>
          <w:tcPr>
            <w:tcW w:type="dxa" w:w="4680"/>
          </w:tcPr>
          <w:p>
            <w:pPr>
              <w:jc w:val="center"/>
            </w:pPr>
            <w:r>
              <w:rPr>
                <w:sz w:val="18"/>
              </w:rPr>
              <w:t>Parameters</w:t>
            </w:r>
          </w:p>
        </w:tc>
        <w:tc>
          <w:tcPr>
            <w:tcW w:type="dxa" w:w="4680"/>
          </w:tcPr>
          <w:p>
            <w:pPr>
              <w:jc w:val="center"/>
            </w:pPr>
            <w:r>
              <w:rPr>
                <w:sz w:val="18"/>
              </w:rPr>
              <w:t>~84K</w:t>
            </w:r>
          </w:p>
        </w:tc>
      </w:tr>
    </w:tbl>
    <w:p>
      <w:pPr>
        <w:spacing w:after="120"/>
      </w:pPr>
      <w:r>
        <w:rPr>
          <w:b w:val="0"/>
          <w:i w:val="0"/>
        </w:rPr>
      </w:r>
    </w:p>
    <w:p>
      <w:pPr>
        <w:pStyle w:val="Heading2"/>
      </w:pPr>
      <w:r>
        <w:rPr>
          <w:color w:val="1A3A6B"/>
        </w:rPr>
        <w:t>5.4 PatchTST (Patch Time Series Transformer)</w:t>
      </w:r>
    </w:p>
    <w:p>
      <w:pPr>
        <w:spacing w:after="120"/>
      </w:pPr>
      <w:r>
        <w:rPr>
          <w:b w:val="0"/>
          <w:i w:val="0"/>
        </w:rPr>
        <w:t>PatchTST segments the input sequence into overlapping patches via a 1D convolution (patch_size=16, stride=8), reducing the sequence length from 168 to 20 tokens before applying Transformer attention. This dramatically reduces computational cost while preserving local temporal patterns within each patch. Based on Nie et al. (ICLR 2023).</w:t>
      </w:r>
    </w:p>
    <w:tbl>
      <w:tblPr>
        <w:tblW w:type="auto" w:w="0"/>
        <w:jc w:val="center"/>
        <w:tblLook w:firstColumn="1" w:firstRow="1" w:lastColumn="0" w:lastRow="0" w:noHBand="0" w:noVBand="1" w:val="04A0"/>
      </w:tblPr>
      <w:tblGrid>
        <w:gridCol w:w="4680"/>
        <w:gridCol w:w="4680"/>
      </w:tblGrid>
      <w:tr>
        <w:tc>
          <w:tcPr>
            <w:tcW w:type="dxa" w:w="4680"/>
            <w:shd w:fill="1A3A6B" w:val="clear"/>
          </w:tcPr>
          <w:p>
            <w:pPr>
              <w:jc w:val="center"/>
            </w:pPr>
            <w:r>
              <w:rPr>
                <w:b/>
                <w:color w:val="FFFFFF"/>
                <w:sz w:val="18"/>
              </w:rPr>
              <w:t>Parameter</w:t>
            </w:r>
          </w:p>
        </w:tc>
        <w:tc>
          <w:tcPr>
            <w:tcW w:type="dxa" w:w="4680"/>
            <w:shd w:fill="1A3A6B" w:val="clear"/>
          </w:tcPr>
          <w:p>
            <w:pPr>
              <w:jc w:val="center"/>
            </w:pPr>
            <w:r>
              <w:rPr>
                <w:b/>
                <w:color w:val="FFFFFF"/>
                <w:sz w:val="18"/>
              </w:rPr>
              <w:t>Value</w:t>
            </w:r>
          </w:p>
        </w:tc>
      </w:tr>
      <w:tr>
        <w:tc>
          <w:tcPr>
            <w:tcW w:type="dxa" w:w="4680"/>
            <w:shd w:fill="EBF0F7" w:val="clear"/>
          </w:tcPr>
          <w:p>
            <w:pPr>
              <w:jc w:val="center"/>
            </w:pPr>
            <w:r>
              <w:rPr>
                <w:sz w:val="18"/>
              </w:rPr>
              <w:t>Patch Size / Stride</w:t>
            </w:r>
          </w:p>
        </w:tc>
        <w:tc>
          <w:tcPr>
            <w:tcW w:type="dxa" w:w="4680"/>
            <w:shd w:fill="EBF0F7" w:val="clear"/>
          </w:tcPr>
          <w:p>
            <w:pPr>
              <w:jc w:val="center"/>
            </w:pPr>
            <w:r>
              <w:rPr>
                <w:sz w:val="18"/>
              </w:rPr>
              <w:t>16 / 8 (50% overlap)</w:t>
            </w:r>
          </w:p>
        </w:tc>
      </w:tr>
      <w:tr>
        <w:tc>
          <w:tcPr>
            <w:tcW w:type="dxa" w:w="4680"/>
          </w:tcPr>
          <w:p>
            <w:pPr>
              <w:jc w:val="center"/>
            </w:pPr>
            <w:r>
              <w:rPr>
                <w:sz w:val="18"/>
              </w:rPr>
              <w:t>Encoder Layers</w:t>
            </w:r>
          </w:p>
        </w:tc>
        <w:tc>
          <w:tcPr>
            <w:tcW w:type="dxa" w:w="4680"/>
          </w:tcPr>
          <w:p>
            <w:pPr>
              <w:jc w:val="center"/>
            </w:pPr>
            <w:r>
              <w:rPr>
                <w:sz w:val="18"/>
              </w:rPr>
              <w:t>2</w:t>
            </w:r>
          </w:p>
        </w:tc>
      </w:tr>
      <w:tr>
        <w:tc>
          <w:tcPr>
            <w:tcW w:type="dxa" w:w="4680"/>
            <w:shd w:fill="EBF0F7" w:val="clear"/>
          </w:tcPr>
          <w:p>
            <w:pPr>
              <w:jc w:val="center"/>
            </w:pPr>
            <w:r>
              <w:rPr>
                <w:sz w:val="18"/>
              </w:rPr>
              <w:t>Attention Heads</w:t>
            </w:r>
          </w:p>
        </w:tc>
        <w:tc>
          <w:tcPr>
            <w:tcW w:type="dxa" w:w="4680"/>
            <w:shd w:fill="EBF0F7" w:val="clear"/>
          </w:tcPr>
          <w:p>
            <w:pPr>
              <w:jc w:val="center"/>
            </w:pPr>
            <w:r>
              <w:rPr>
                <w:sz w:val="18"/>
              </w:rPr>
              <w:t>4</w:t>
            </w:r>
          </w:p>
        </w:tc>
      </w:tr>
      <w:tr>
        <w:tc>
          <w:tcPr>
            <w:tcW w:type="dxa" w:w="4680"/>
          </w:tcPr>
          <w:p>
            <w:pPr>
              <w:jc w:val="center"/>
            </w:pPr>
            <w:r>
              <w:rPr>
                <w:sz w:val="18"/>
              </w:rPr>
              <w:t>d_model</w:t>
            </w:r>
          </w:p>
        </w:tc>
        <w:tc>
          <w:tcPr>
            <w:tcW w:type="dxa" w:w="4680"/>
          </w:tcPr>
          <w:p>
            <w:pPr>
              <w:jc w:val="center"/>
            </w:pPr>
            <w:r>
              <w:rPr>
                <w:sz w:val="18"/>
              </w:rPr>
              <w:t>48</w:t>
            </w:r>
          </w:p>
        </w:tc>
      </w:tr>
      <w:tr>
        <w:tc>
          <w:tcPr>
            <w:tcW w:type="dxa" w:w="4680"/>
            <w:shd w:fill="EBF0F7" w:val="clear"/>
          </w:tcPr>
          <w:p>
            <w:pPr>
              <w:jc w:val="center"/>
            </w:pPr>
            <w:r>
              <w:rPr>
                <w:sz w:val="18"/>
              </w:rPr>
              <w:t>Norm</w:t>
            </w:r>
          </w:p>
        </w:tc>
        <w:tc>
          <w:tcPr>
            <w:tcW w:type="dxa" w:w="4680"/>
            <w:shd w:fill="EBF0F7" w:val="clear"/>
          </w:tcPr>
          <w:p>
            <w:pPr>
              <w:jc w:val="center"/>
            </w:pPr>
            <w:r>
              <w:rPr>
                <w:sz w:val="18"/>
              </w:rPr>
              <w:t>Pre-LayerNorm (norm_first=True)</w:t>
            </w:r>
          </w:p>
        </w:tc>
      </w:tr>
      <w:tr>
        <w:tc>
          <w:tcPr>
            <w:tcW w:type="dxa" w:w="4680"/>
          </w:tcPr>
          <w:p>
            <w:pPr>
              <w:jc w:val="center"/>
            </w:pPr>
            <w:r>
              <w:rPr>
                <w:sz w:val="18"/>
              </w:rPr>
              <w:t>Parameters</w:t>
            </w:r>
          </w:p>
        </w:tc>
        <w:tc>
          <w:tcPr>
            <w:tcW w:type="dxa" w:w="4680"/>
          </w:tcPr>
          <w:p>
            <w:pPr>
              <w:jc w:val="center"/>
            </w:pPr>
            <w:r>
              <w:rPr>
                <w:sz w:val="18"/>
              </w:rPr>
              <w:t>~67K</w:t>
            </w:r>
          </w:p>
        </w:tc>
      </w:tr>
    </w:tbl>
    <w:p>
      <w:pPr>
        <w:spacing w:after="120"/>
      </w:pPr>
      <w:r>
        <w:rPr>
          <w:b w:val="0"/>
          <w:i w:val="0"/>
        </w:rPr>
      </w:r>
    </w:p>
    <w:p>
      <w:pPr>
        <w:pStyle w:val="Heading2"/>
      </w:pPr>
      <w:r>
        <w:rPr>
          <w:color w:val="1A3A6B"/>
        </w:rPr>
        <w:t>5.5 Architecture Comparison Summary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A6B" w:val="clear"/>
          </w:tcPr>
          <w:p>
            <w:pPr>
              <w:jc w:val="center"/>
            </w:pPr>
            <w:r>
              <w:rPr>
                <w:b/>
                <w:color w:val="FFFFFF"/>
                <w:sz w:val="18"/>
              </w:rPr>
              <w:t>Architecture</w:t>
            </w:r>
          </w:p>
        </w:tc>
        <w:tc>
          <w:tcPr>
            <w:tcW w:type="dxa" w:w="1872"/>
            <w:shd w:fill="1A3A6B" w:val="clear"/>
          </w:tcPr>
          <w:p>
            <w:pPr>
              <w:jc w:val="center"/>
            </w:pPr>
            <w:r>
              <w:rPr>
                <w:b/>
                <w:color w:val="FFFFFF"/>
                <w:sz w:val="18"/>
              </w:rPr>
              <w:t>Params</w:t>
            </w:r>
          </w:p>
        </w:tc>
        <w:tc>
          <w:tcPr>
            <w:tcW w:type="dxa" w:w="1872"/>
            <w:shd w:fill="1A3A6B" w:val="clear"/>
          </w:tcPr>
          <w:p>
            <w:pPr>
              <w:jc w:val="center"/>
            </w:pPr>
            <w:r>
              <w:rPr>
                <w:b/>
                <w:color w:val="FFFFFF"/>
                <w:sz w:val="18"/>
              </w:rPr>
              <w:t>Computation</w:t>
            </w:r>
          </w:p>
        </w:tc>
        <w:tc>
          <w:tcPr>
            <w:tcW w:type="dxa" w:w="1872"/>
            <w:shd w:fill="1A3A6B" w:val="clear"/>
          </w:tcPr>
          <w:p>
            <w:pPr>
              <w:jc w:val="center"/>
            </w:pPr>
            <w:r>
              <w:rPr>
                <w:b/>
                <w:color w:val="FFFFFF"/>
                <w:sz w:val="18"/>
              </w:rPr>
              <w:t>Strengths</w:t>
            </w:r>
          </w:p>
        </w:tc>
        <w:tc>
          <w:tcPr>
            <w:tcW w:type="dxa" w:w="1872"/>
            <w:shd w:fill="1A3A6B" w:val="clear"/>
          </w:tcPr>
          <w:p>
            <w:pPr>
              <w:jc w:val="center"/>
            </w:pPr>
            <w:r>
              <w:rPr>
                <w:b/>
                <w:color w:val="FFFFFF"/>
                <w:sz w:val="18"/>
              </w:rPr>
              <w:t>Weaknesses</w:t>
            </w:r>
          </w:p>
        </w:tc>
      </w:tr>
      <w:tr>
        <w:tc>
          <w:tcPr>
            <w:tcW w:type="dxa" w:w="1872"/>
            <w:shd w:fill="EBF0F7" w:val="clear"/>
          </w:tcPr>
          <w:p>
            <w:pPr>
              <w:jc w:val="center"/>
            </w:pPr>
            <w:r>
              <w:rPr>
                <w:sz w:val="18"/>
              </w:rPr>
              <w:t>LSTM</w:t>
            </w:r>
          </w:p>
        </w:tc>
        <w:tc>
          <w:tcPr>
            <w:tcW w:type="dxa" w:w="1872"/>
            <w:shd w:fill="EBF0F7" w:val="clear"/>
          </w:tcPr>
          <w:p>
            <w:pPr>
              <w:jc w:val="center"/>
            </w:pPr>
            <w:r>
              <w:rPr>
                <w:sz w:val="18"/>
              </w:rPr>
              <w:t>~57K</w:t>
            </w:r>
          </w:p>
        </w:tc>
        <w:tc>
          <w:tcPr>
            <w:tcW w:type="dxa" w:w="1872"/>
            <w:shd w:fill="EBF0F7" w:val="clear"/>
          </w:tcPr>
          <w:p>
            <w:pPr>
              <w:jc w:val="center"/>
            </w:pPr>
            <w:r>
              <w:rPr>
                <w:sz w:val="18"/>
              </w:rPr>
              <w:t>Sequential O(T)</w:t>
            </w:r>
          </w:p>
        </w:tc>
        <w:tc>
          <w:tcPr>
            <w:tcW w:type="dxa" w:w="1872"/>
            <w:shd w:fill="EBF0F7" w:val="clear"/>
          </w:tcPr>
          <w:p>
            <w:pPr>
              <w:jc w:val="center"/>
            </w:pPr>
            <w:r>
              <w:rPr>
                <w:sz w:val="18"/>
              </w:rPr>
              <w:t>Simple, proven baseline</w:t>
            </w:r>
          </w:p>
        </w:tc>
        <w:tc>
          <w:tcPr>
            <w:tcW w:type="dxa" w:w="1872"/>
            <w:shd w:fill="EBF0F7" w:val="clear"/>
          </w:tcPr>
          <w:p>
            <w:pPr>
              <w:jc w:val="center"/>
            </w:pPr>
            <w:r>
              <w:rPr>
                <w:sz w:val="18"/>
              </w:rPr>
              <w:t>Slow training, limited long-range</w:t>
            </w:r>
          </w:p>
        </w:tc>
      </w:tr>
      <w:tr>
        <w:tc>
          <w:tcPr>
            <w:tcW w:type="dxa" w:w="1872"/>
          </w:tcPr>
          <w:p>
            <w:pPr>
              <w:jc w:val="center"/>
            </w:pPr>
            <w:r>
              <w:rPr>
                <w:sz w:val="18"/>
              </w:rPr>
              <w:t>TCN</w:t>
            </w:r>
          </w:p>
        </w:tc>
        <w:tc>
          <w:tcPr>
            <w:tcW w:type="dxa" w:w="1872"/>
          </w:tcPr>
          <w:p>
            <w:pPr>
              <w:jc w:val="center"/>
            </w:pPr>
            <w:r>
              <w:rPr>
                <w:sz w:val="18"/>
              </w:rPr>
              <w:t>~59K</w:t>
            </w:r>
          </w:p>
        </w:tc>
        <w:tc>
          <w:tcPr>
            <w:tcW w:type="dxa" w:w="1872"/>
          </w:tcPr>
          <w:p>
            <w:pPr>
              <w:jc w:val="center"/>
            </w:pPr>
            <w:r>
              <w:rPr>
                <w:sz w:val="18"/>
              </w:rPr>
              <w:t>Parallel O(T)</w:t>
            </w:r>
          </w:p>
        </w:tc>
        <w:tc>
          <w:tcPr>
            <w:tcW w:type="dxa" w:w="1872"/>
          </w:tcPr>
          <w:p>
            <w:pPr>
              <w:jc w:val="center"/>
            </w:pPr>
            <w:r>
              <w:rPr>
                <w:sz w:val="18"/>
              </w:rPr>
              <w:t>Fast, stable gradients</w:t>
            </w:r>
          </w:p>
        </w:tc>
        <w:tc>
          <w:tcPr>
            <w:tcW w:type="dxa" w:w="1872"/>
          </w:tcPr>
          <w:p>
            <w:pPr>
              <w:jc w:val="center"/>
            </w:pPr>
            <w:r>
              <w:rPr>
                <w:sz w:val="18"/>
              </w:rPr>
              <w:t>Fixed receptive field</w:t>
            </w:r>
          </w:p>
        </w:tc>
      </w:tr>
      <w:tr>
        <w:tc>
          <w:tcPr>
            <w:tcW w:type="dxa" w:w="1872"/>
            <w:shd w:fill="EBF0F7" w:val="clear"/>
          </w:tcPr>
          <w:p>
            <w:pPr>
              <w:jc w:val="center"/>
            </w:pPr>
            <w:r>
              <w:rPr>
                <w:sz w:val="18"/>
              </w:rPr>
              <w:t>Transformer</w:t>
            </w:r>
          </w:p>
        </w:tc>
        <w:tc>
          <w:tcPr>
            <w:tcW w:type="dxa" w:w="1872"/>
            <w:shd w:fill="EBF0F7" w:val="clear"/>
          </w:tcPr>
          <w:p>
            <w:pPr>
              <w:jc w:val="center"/>
            </w:pPr>
            <w:r>
              <w:rPr>
                <w:sz w:val="18"/>
              </w:rPr>
              <w:t>~84K</w:t>
            </w:r>
          </w:p>
        </w:tc>
        <w:tc>
          <w:tcPr>
            <w:tcW w:type="dxa" w:w="1872"/>
            <w:shd w:fill="EBF0F7" w:val="clear"/>
          </w:tcPr>
          <w:p>
            <w:pPr>
              <w:jc w:val="center"/>
            </w:pPr>
            <w:r>
              <w:rPr>
                <w:sz w:val="18"/>
              </w:rPr>
              <w:t>Parallel O(T^2)</w:t>
            </w:r>
          </w:p>
        </w:tc>
        <w:tc>
          <w:tcPr>
            <w:tcW w:type="dxa" w:w="1872"/>
            <w:shd w:fill="EBF0F7" w:val="clear"/>
          </w:tcPr>
          <w:p>
            <w:pPr>
              <w:jc w:val="center"/>
            </w:pPr>
            <w:r>
              <w:rPr>
                <w:sz w:val="18"/>
              </w:rPr>
              <w:t>Global attention, best accuracy</w:t>
            </w:r>
          </w:p>
        </w:tc>
        <w:tc>
          <w:tcPr>
            <w:tcW w:type="dxa" w:w="1872"/>
            <w:shd w:fill="EBF0F7" w:val="clear"/>
          </w:tcPr>
          <w:p>
            <w:pPr>
              <w:jc w:val="center"/>
            </w:pPr>
            <w:r>
              <w:rPr>
                <w:sz w:val="18"/>
              </w:rPr>
              <w:t>Quadratic complexity</w:t>
            </w:r>
          </w:p>
        </w:tc>
      </w:tr>
      <w:tr>
        <w:tc>
          <w:tcPr>
            <w:tcW w:type="dxa" w:w="1872"/>
          </w:tcPr>
          <w:p>
            <w:pPr>
              <w:jc w:val="center"/>
            </w:pPr>
            <w:r>
              <w:rPr>
                <w:sz w:val="18"/>
              </w:rPr>
              <w:t>PatchTST</w:t>
            </w:r>
          </w:p>
        </w:tc>
        <w:tc>
          <w:tcPr>
            <w:tcW w:type="dxa" w:w="1872"/>
          </w:tcPr>
          <w:p>
            <w:pPr>
              <w:jc w:val="center"/>
            </w:pPr>
            <w:r>
              <w:rPr>
                <w:sz w:val="18"/>
              </w:rPr>
              <w:t>~67K</w:t>
            </w:r>
          </w:p>
        </w:tc>
        <w:tc>
          <w:tcPr>
            <w:tcW w:type="dxa" w:w="1872"/>
          </w:tcPr>
          <w:p>
            <w:pPr>
              <w:jc w:val="center"/>
            </w:pPr>
            <w:r>
              <w:rPr>
                <w:sz w:val="18"/>
              </w:rPr>
              <w:t>Parallel O((T/P)^2)</w:t>
            </w:r>
          </w:p>
        </w:tc>
        <w:tc>
          <w:tcPr>
            <w:tcW w:type="dxa" w:w="1872"/>
          </w:tcPr>
          <w:p>
            <w:pPr>
              <w:jc w:val="center"/>
            </w:pPr>
            <w:r>
              <w:rPr>
                <w:sz w:val="18"/>
              </w:rPr>
              <w:t>Fastest training, patch locality</w:t>
            </w:r>
          </w:p>
        </w:tc>
        <w:tc>
          <w:tcPr>
            <w:tcW w:type="dxa" w:w="1872"/>
          </w:tcPr>
          <w:p>
            <w:pPr>
              <w:jc w:val="center"/>
            </w:pPr>
            <w:r>
              <w:rPr>
                <w:sz w:val="18"/>
              </w:rPr>
              <w:t>Patch boundary artifacts</w:t>
            </w:r>
          </w:p>
        </w:tc>
      </w:tr>
    </w:tbl>
    <w:p>
      <w:pPr>
        <w:pStyle w:val="Heading1"/>
      </w:pPr>
      <w:r>
        <w:rPr>
          <w:color w:val="1A3A6B"/>
        </w:rPr>
        <w:t>6. Training Methodology</w:t>
      </w:r>
    </w:p>
    <w:p>
      <w:pPr>
        <w:pStyle w:val="Heading2"/>
      </w:pPr>
      <w:r>
        <w:rPr>
          <w:color w:val="1A3A6B"/>
        </w:rPr>
        <w:t>6.1 Data Split</w:t>
      </w:r>
    </w:p>
    <w:p>
      <w:pPr>
        <w:spacing w:after="120"/>
      </w:pPr>
      <w:r>
        <w:rPr>
          <w:b w:val="0"/>
          <w:i w:val="0"/>
        </w:rPr>
        <w:t>A chronological train/validation/test split is used to prevent future data leakage: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A6B" w:val="clear"/>
          </w:tcPr>
          <w:p>
            <w:pPr>
              <w:jc w:val="center"/>
            </w:pPr>
            <w:r>
              <w:rPr>
                <w:b/>
                <w:color w:val="FFFFFF"/>
                <w:sz w:val="18"/>
              </w:rPr>
              <w:t>Split</w:t>
            </w:r>
          </w:p>
        </w:tc>
        <w:tc>
          <w:tcPr>
            <w:tcW w:type="dxa" w:w="1872"/>
            <w:shd w:fill="1A3A6B" w:val="clear"/>
          </w:tcPr>
          <w:p>
            <w:pPr>
              <w:jc w:val="center"/>
            </w:pPr>
            <w:r>
              <w:rPr>
                <w:b/>
                <w:color w:val="FFFFFF"/>
                <w:sz w:val="18"/>
              </w:rPr>
              <w:t>Period</w:t>
            </w:r>
          </w:p>
        </w:tc>
        <w:tc>
          <w:tcPr>
            <w:tcW w:type="dxa" w:w="1872"/>
            <w:shd w:fill="1A3A6B" w:val="clear"/>
          </w:tcPr>
          <w:p>
            <w:pPr>
              <w:jc w:val="center"/>
            </w:pPr>
            <w:r>
              <w:rPr>
                <w:b/>
                <w:color w:val="FFFFFF"/>
                <w:sz w:val="18"/>
              </w:rPr>
              <w:t>Rows</w:t>
            </w:r>
          </w:p>
        </w:tc>
        <w:tc>
          <w:tcPr>
            <w:tcW w:type="dxa" w:w="1872"/>
            <w:shd w:fill="1A3A6B" w:val="clear"/>
          </w:tcPr>
          <w:p>
            <w:pPr>
              <w:jc w:val="center"/>
            </w:pPr>
            <w:r>
              <w:rPr>
                <w:b/>
                <w:color w:val="FFFFFF"/>
                <w:sz w:val="18"/>
              </w:rPr>
              <w:t>Percentage</w:t>
            </w:r>
          </w:p>
        </w:tc>
        <w:tc>
          <w:tcPr>
            <w:tcW w:type="dxa" w:w="1872"/>
            <w:shd w:fill="1A3A6B" w:val="clear"/>
          </w:tcPr>
          <w:p>
            <w:pPr>
              <w:jc w:val="center"/>
            </w:pPr>
            <w:r>
              <w:rPr>
                <w:b/>
                <w:color w:val="FFFFFF"/>
                <w:sz w:val="18"/>
              </w:rPr>
              <w:t>Purpose</w:t>
            </w:r>
          </w:p>
        </w:tc>
      </w:tr>
      <w:tr>
        <w:tc>
          <w:tcPr>
            <w:tcW w:type="dxa" w:w="1872"/>
            <w:shd w:fill="EBF0F7" w:val="clear"/>
          </w:tcPr>
          <w:p>
            <w:pPr>
              <w:jc w:val="center"/>
            </w:pPr>
            <w:r>
              <w:rPr>
                <w:sz w:val="18"/>
              </w:rPr>
              <w:t>Train</w:t>
            </w:r>
          </w:p>
        </w:tc>
        <w:tc>
          <w:tcPr>
            <w:tcW w:type="dxa" w:w="1872"/>
            <w:shd w:fill="EBF0F7" w:val="clear"/>
          </w:tcPr>
          <w:p>
            <w:pPr>
              <w:jc w:val="center"/>
            </w:pPr>
            <w:r>
              <w:rPr>
                <w:sz w:val="18"/>
              </w:rPr>
              <w:t>Jan 2012 – Feb 2014</w:t>
            </w:r>
          </w:p>
        </w:tc>
        <w:tc>
          <w:tcPr>
            <w:tcW w:type="dxa" w:w="1872"/>
            <w:shd w:fill="EBF0F7" w:val="clear"/>
          </w:tcPr>
          <w:p>
            <w:pPr>
              <w:jc w:val="center"/>
            </w:pPr>
            <w:r>
              <w:rPr>
                <w:sz w:val="18"/>
              </w:rPr>
              <w:t>18,413</w:t>
            </w:r>
          </w:p>
        </w:tc>
        <w:tc>
          <w:tcPr>
            <w:tcW w:type="dxa" w:w="1872"/>
            <w:shd w:fill="EBF0F7" w:val="clear"/>
          </w:tcPr>
          <w:p>
            <w:pPr>
              <w:jc w:val="center"/>
            </w:pPr>
            <w:r>
              <w:rPr>
                <w:sz w:val="18"/>
              </w:rPr>
              <w:t>70%</w:t>
            </w:r>
          </w:p>
        </w:tc>
        <w:tc>
          <w:tcPr>
            <w:tcW w:type="dxa" w:w="1872"/>
            <w:shd w:fill="EBF0F7" w:val="clear"/>
          </w:tcPr>
          <w:p>
            <w:pPr>
              <w:jc w:val="center"/>
            </w:pPr>
            <w:r>
              <w:rPr>
                <w:sz w:val="18"/>
              </w:rPr>
              <w:t>Model weight optimization</w:t>
            </w:r>
          </w:p>
        </w:tc>
      </w:tr>
      <w:tr>
        <w:tc>
          <w:tcPr>
            <w:tcW w:type="dxa" w:w="1872"/>
          </w:tcPr>
          <w:p>
            <w:pPr>
              <w:jc w:val="center"/>
            </w:pPr>
            <w:r>
              <w:rPr>
                <w:sz w:val="18"/>
              </w:rPr>
              <w:t>Validation</w:t>
            </w:r>
          </w:p>
        </w:tc>
        <w:tc>
          <w:tcPr>
            <w:tcW w:type="dxa" w:w="1872"/>
          </w:tcPr>
          <w:p>
            <w:pPr>
              <w:jc w:val="center"/>
            </w:pPr>
            <w:r>
              <w:rPr>
                <w:sz w:val="18"/>
              </w:rPr>
              <w:t>Feb 2014 – May 2014</w:t>
            </w:r>
          </w:p>
        </w:tc>
        <w:tc>
          <w:tcPr>
            <w:tcW w:type="dxa" w:w="1872"/>
          </w:tcPr>
          <w:p>
            <w:pPr>
              <w:jc w:val="center"/>
            </w:pPr>
            <w:r>
              <w:rPr>
                <w:sz w:val="18"/>
              </w:rPr>
              <w:t>2,631</w:t>
            </w:r>
          </w:p>
        </w:tc>
        <w:tc>
          <w:tcPr>
            <w:tcW w:type="dxa" w:w="1872"/>
          </w:tcPr>
          <w:p>
            <w:pPr>
              <w:jc w:val="center"/>
            </w:pPr>
            <w:r>
              <w:rPr>
                <w:sz w:val="18"/>
              </w:rPr>
              <w:t>10%</w:t>
            </w:r>
          </w:p>
        </w:tc>
        <w:tc>
          <w:tcPr>
            <w:tcW w:type="dxa" w:w="1872"/>
          </w:tcPr>
          <w:p>
            <w:pPr>
              <w:jc w:val="center"/>
            </w:pPr>
            <w:r>
              <w:rPr>
                <w:sz w:val="18"/>
              </w:rPr>
              <w:t>Early stopping &amp; model selection</w:t>
            </w:r>
          </w:p>
        </w:tc>
      </w:tr>
      <w:tr>
        <w:tc>
          <w:tcPr>
            <w:tcW w:type="dxa" w:w="1872"/>
            <w:shd w:fill="EBF0F7" w:val="clear"/>
          </w:tcPr>
          <w:p>
            <w:pPr>
              <w:jc w:val="center"/>
            </w:pPr>
            <w:r>
              <w:rPr>
                <w:sz w:val="18"/>
              </w:rPr>
              <w:t>Test</w:t>
            </w:r>
          </w:p>
        </w:tc>
        <w:tc>
          <w:tcPr>
            <w:tcW w:type="dxa" w:w="1872"/>
            <w:shd w:fill="EBF0F7" w:val="clear"/>
          </w:tcPr>
          <w:p>
            <w:pPr>
              <w:jc w:val="center"/>
            </w:pPr>
            <w:r>
              <w:rPr>
                <w:sz w:val="18"/>
              </w:rPr>
              <w:t>May 2014 – Dec 2014</w:t>
            </w:r>
          </w:p>
        </w:tc>
        <w:tc>
          <w:tcPr>
            <w:tcW w:type="dxa" w:w="1872"/>
            <w:shd w:fill="EBF0F7" w:val="clear"/>
          </w:tcPr>
          <w:p>
            <w:pPr>
              <w:jc w:val="center"/>
            </w:pPr>
            <w:r>
              <w:rPr>
                <w:sz w:val="18"/>
              </w:rPr>
              <w:t>5,261</w:t>
            </w:r>
          </w:p>
        </w:tc>
        <w:tc>
          <w:tcPr>
            <w:tcW w:type="dxa" w:w="1872"/>
            <w:shd w:fill="EBF0F7" w:val="clear"/>
          </w:tcPr>
          <w:p>
            <w:pPr>
              <w:jc w:val="center"/>
            </w:pPr>
            <w:r>
              <w:rPr>
                <w:sz w:val="18"/>
              </w:rPr>
              <w:t>20%</w:t>
            </w:r>
          </w:p>
        </w:tc>
        <w:tc>
          <w:tcPr>
            <w:tcW w:type="dxa" w:w="1872"/>
            <w:shd w:fill="EBF0F7" w:val="clear"/>
          </w:tcPr>
          <w:p>
            <w:pPr>
              <w:jc w:val="center"/>
            </w:pPr>
            <w:r>
              <w:rPr>
                <w:sz w:val="18"/>
              </w:rPr>
              <w:t>Final held-out evaluation</w:t>
            </w:r>
          </w:p>
        </w:tc>
      </w:tr>
    </w:tbl>
    <w:p>
      <w:pPr>
        <w:spacing w:after="120"/>
      </w:pPr>
      <w:r>
        <w:rPr>
          <w:b w:val="0"/>
          <w:i w:val="0"/>
        </w:rPr>
      </w:r>
    </w:p>
    <w:p>
      <w:pPr>
        <w:pStyle w:val="Heading2"/>
      </w:pPr>
      <w:r>
        <w:rPr>
          <w:color w:val="1A3A6B"/>
        </w:rPr>
        <w:t>6.2 Training Configuration</w:t>
      </w:r>
    </w:p>
    <w:tbl>
      <w:tblPr>
        <w:tblW w:type="auto" w:w="0"/>
        <w:jc w:val="center"/>
        <w:tblLook w:firstColumn="1" w:firstRow="1" w:lastColumn="0" w:lastRow="0" w:noHBand="0" w:noVBand="1" w:val="04A0"/>
      </w:tblPr>
      <w:tblGrid>
        <w:gridCol w:w="4680"/>
        <w:gridCol w:w="4680"/>
      </w:tblGrid>
      <w:tr>
        <w:tc>
          <w:tcPr>
            <w:tcW w:type="dxa" w:w="4680"/>
            <w:shd w:fill="1A3A6B" w:val="clear"/>
          </w:tcPr>
          <w:p>
            <w:pPr>
              <w:jc w:val="center"/>
            </w:pPr>
            <w:r>
              <w:rPr>
                <w:b/>
                <w:color w:val="FFFFFF"/>
                <w:sz w:val="18"/>
              </w:rPr>
              <w:t>Setting</w:t>
            </w:r>
          </w:p>
        </w:tc>
        <w:tc>
          <w:tcPr>
            <w:tcW w:type="dxa" w:w="4680"/>
            <w:shd w:fill="1A3A6B" w:val="clear"/>
          </w:tcPr>
          <w:p>
            <w:pPr>
              <w:jc w:val="center"/>
            </w:pPr>
            <w:r>
              <w:rPr>
                <w:b/>
                <w:color w:val="FFFFFF"/>
                <w:sz w:val="18"/>
              </w:rPr>
              <w:t>Value</w:t>
            </w:r>
          </w:p>
        </w:tc>
      </w:tr>
      <w:tr>
        <w:tc>
          <w:tcPr>
            <w:tcW w:type="dxa" w:w="4680"/>
            <w:shd w:fill="EBF0F7" w:val="clear"/>
          </w:tcPr>
          <w:p>
            <w:pPr>
              <w:jc w:val="center"/>
            </w:pPr>
            <w:r>
              <w:rPr>
                <w:sz w:val="18"/>
              </w:rPr>
              <w:t>Optimizer</w:t>
            </w:r>
          </w:p>
        </w:tc>
        <w:tc>
          <w:tcPr>
            <w:tcW w:type="dxa" w:w="4680"/>
            <w:shd w:fill="EBF0F7" w:val="clear"/>
          </w:tcPr>
          <w:p>
            <w:pPr>
              <w:jc w:val="center"/>
            </w:pPr>
            <w:r>
              <w:rPr>
                <w:sz w:val="18"/>
              </w:rPr>
              <w:t>AdamW (weight decay = 1e-4)</w:t>
            </w:r>
          </w:p>
        </w:tc>
      </w:tr>
      <w:tr>
        <w:tc>
          <w:tcPr>
            <w:tcW w:type="dxa" w:w="4680"/>
          </w:tcPr>
          <w:p>
            <w:pPr>
              <w:jc w:val="center"/>
            </w:pPr>
            <w:r>
              <w:rPr>
                <w:sz w:val="18"/>
              </w:rPr>
              <w:t>Learning Rate</w:t>
            </w:r>
          </w:p>
        </w:tc>
        <w:tc>
          <w:tcPr>
            <w:tcW w:type="dxa" w:w="4680"/>
          </w:tcPr>
          <w:p>
            <w:pPr>
              <w:jc w:val="center"/>
            </w:pPr>
            <w:r>
              <w:rPr>
                <w:sz w:val="18"/>
              </w:rPr>
              <w:t>1e-3 with cosine annealing</w:t>
            </w:r>
          </w:p>
        </w:tc>
      </w:tr>
      <w:tr>
        <w:tc>
          <w:tcPr>
            <w:tcW w:type="dxa" w:w="4680"/>
            <w:shd w:fill="EBF0F7" w:val="clear"/>
          </w:tcPr>
          <w:p>
            <w:pPr>
              <w:jc w:val="center"/>
            </w:pPr>
            <w:r>
              <w:rPr>
                <w:sz w:val="18"/>
              </w:rPr>
              <w:t>Loss Function</w:t>
            </w:r>
          </w:p>
        </w:tc>
        <w:tc>
          <w:tcPr>
            <w:tcW w:type="dxa" w:w="4680"/>
            <w:shd w:fill="EBF0F7" w:val="clear"/>
          </w:tcPr>
          <w:p>
            <w:pPr>
              <w:jc w:val="center"/>
            </w:pPr>
            <w:r>
              <w:rPr>
                <w:sz w:val="18"/>
              </w:rPr>
              <w:t>MSE (on normalized scale)</w:t>
            </w:r>
          </w:p>
        </w:tc>
      </w:tr>
      <w:tr>
        <w:tc>
          <w:tcPr>
            <w:tcW w:type="dxa" w:w="4680"/>
          </w:tcPr>
          <w:p>
            <w:pPr>
              <w:jc w:val="center"/>
            </w:pPr>
            <w:r>
              <w:rPr>
                <w:sz w:val="18"/>
              </w:rPr>
              <w:t>Batch Size</w:t>
            </w:r>
          </w:p>
        </w:tc>
        <w:tc>
          <w:tcPr>
            <w:tcW w:type="dxa" w:w="4680"/>
          </w:tcPr>
          <w:p>
            <w:pPr>
              <w:jc w:val="center"/>
            </w:pPr>
            <w:r>
              <w:rPr>
                <w:sz w:val="18"/>
              </w:rPr>
              <w:t>256</w:t>
            </w:r>
          </w:p>
        </w:tc>
      </w:tr>
      <w:tr>
        <w:tc>
          <w:tcPr>
            <w:tcW w:type="dxa" w:w="4680"/>
            <w:shd w:fill="EBF0F7" w:val="clear"/>
          </w:tcPr>
          <w:p>
            <w:pPr>
              <w:jc w:val="center"/>
            </w:pPr>
            <w:r>
              <w:rPr>
                <w:sz w:val="18"/>
              </w:rPr>
              <w:t>Max Epochs</w:t>
            </w:r>
          </w:p>
        </w:tc>
        <w:tc>
          <w:tcPr>
            <w:tcW w:type="dxa" w:w="4680"/>
            <w:shd w:fill="EBF0F7" w:val="clear"/>
          </w:tcPr>
          <w:p>
            <w:pPr>
              <w:jc w:val="center"/>
            </w:pPr>
            <w:r>
              <w:rPr>
                <w:sz w:val="18"/>
              </w:rPr>
              <w:t>10</w:t>
            </w:r>
          </w:p>
        </w:tc>
      </w:tr>
      <w:tr>
        <w:tc>
          <w:tcPr>
            <w:tcW w:type="dxa" w:w="4680"/>
          </w:tcPr>
          <w:p>
            <w:pPr>
              <w:jc w:val="center"/>
            </w:pPr>
            <w:r>
              <w:rPr>
                <w:sz w:val="18"/>
              </w:rPr>
              <w:t>Early Stopping Patience</w:t>
            </w:r>
          </w:p>
        </w:tc>
        <w:tc>
          <w:tcPr>
            <w:tcW w:type="dxa" w:w="4680"/>
          </w:tcPr>
          <w:p>
            <w:pPr>
              <w:jc w:val="center"/>
            </w:pPr>
            <w:r>
              <w:rPr>
                <w:sz w:val="18"/>
              </w:rPr>
              <w:t>3 epochs (on validation loss)</w:t>
            </w:r>
          </w:p>
        </w:tc>
      </w:tr>
      <w:tr>
        <w:tc>
          <w:tcPr>
            <w:tcW w:type="dxa" w:w="4680"/>
            <w:shd w:fill="EBF0F7" w:val="clear"/>
          </w:tcPr>
          <w:p>
            <w:pPr>
              <w:jc w:val="center"/>
            </w:pPr>
            <w:r>
              <w:rPr>
                <w:sz w:val="18"/>
              </w:rPr>
              <w:t>Gradient Clipping</w:t>
            </w:r>
          </w:p>
        </w:tc>
        <w:tc>
          <w:tcPr>
            <w:tcW w:type="dxa" w:w="4680"/>
            <w:shd w:fill="EBF0F7" w:val="clear"/>
          </w:tcPr>
          <w:p>
            <w:pPr>
              <w:jc w:val="center"/>
            </w:pPr>
            <w:r>
              <w:rPr>
                <w:sz w:val="18"/>
              </w:rPr>
              <w:t>Max norm = 1.0</w:t>
            </w:r>
          </w:p>
        </w:tc>
      </w:tr>
      <w:tr>
        <w:tc>
          <w:tcPr>
            <w:tcW w:type="dxa" w:w="4680"/>
          </w:tcPr>
          <w:p>
            <w:pPr>
              <w:jc w:val="center"/>
            </w:pPr>
            <w:r>
              <w:rPr>
                <w:sz w:val="18"/>
              </w:rPr>
              <w:t>Training Stride</w:t>
            </w:r>
          </w:p>
        </w:tc>
        <w:tc>
          <w:tcPr>
            <w:tcW w:type="dxa" w:w="4680"/>
          </w:tcPr>
          <w:p>
            <w:pPr>
              <w:jc w:val="center"/>
            </w:pPr>
            <w:r>
              <w:rPr>
                <w:sz w:val="18"/>
              </w:rPr>
              <w:t>96 hours (train), 48 (val), 24 (test)</w:t>
            </w:r>
          </w:p>
        </w:tc>
      </w:tr>
      <w:tr>
        <w:tc>
          <w:tcPr>
            <w:tcW w:type="dxa" w:w="4680"/>
            <w:shd w:fill="EBF0F7" w:val="clear"/>
          </w:tcPr>
          <w:p>
            <w:pPr>
              <w:jc w:val="center"/>
            </w:pPr>
            <w:r>
              <w:rPr>
                <w:sz w:val="18"/>
              </w:rPr>
              <w:t>Lookback Window</w:t>
            </w:r>
          </w:p>
        </w:tc>
        <w:tc>
          <w:tcPr>
            <w:tcW w:type="dxa" w:w="4680"/>
            <w:shd w:fill="EBF0F7" w:val="clear"/>
          </w:tcPr>
          <w:p>
            <w:pPr>
              <w:jc w:val="center"/>
            </w:pPr>
            <w:r>
              <w:rPr>
                <w:sz w:val="18"/>
              </w:rPr>
              <w:t>168 hours (1 week)</w:t>
            </w:r>
          </w:p>
        </w:tc>
      </w:tr>
      <w:tr>
        <w:tc>
          <w:tcPr>
            <w:tcW w:type="dxa" w:w="4680"/>
          </w:tcPr>
          <w:p>
            <w:pPr>
              <w:jc w:val="center"/>
            </w:pPr>
            <w:r>
              <w:rPr>
                <w:sz w:val="18"/>
              </w:rPr>
              <w:t>Total Models Trained</w:t>
            </w:r>
          </w:p>
        </w:tc>
        <w:tc>
          <w:tcPr>
            <w:tcW w:type="dxa" w:w="4680"/>
          </w:tcPr>
          <w:p>
            <w:pPr>
              <w:jc w:val="center"/>
            </w:pPr>
            <w:r>
              <w:rPr>
                <w:sz w:val="18"/>
              </w:rPr>
              <w:t>36 (4 arch x 3 clusters x 3 horizons)</w:t>
            </w:r>
          </w:p>
        </w:tc>
      </w:tr>
    </w:tbl>
    <w:p>
      <w:pPr>
        <w:spacing w:after="120"/>
      </w:pPr>
      <w:r>
        <w:rPr>
          <w:b w:val="0"/>
          <w:i w:val="0"/>
        </w:rPr>
      </w:r>
    </w:p>
    <w:p>
      <w:pPr>
        <w:spacing w:after="120"/>
      </w:pPr>
      <w:r>
        <w:rPr>
          <w:b w:val="0"/>
          <w:i w:val="0"/>
        </w:rPr>
        <w:t>The training stride controls how densely sliding windows are sampled. A larger stride (96h for training) reduces the number of training samples, enabling all 36 models to train on CPU in approximately 90 minutes total. The test stride is kept smaller (24h) for denser evaluation coverage.</w:t>
      </w:r>
    </w:p>
    <w:p>
      <w:pPr>
        <w:pStyle w:val="Heading2"/>
      </w:pPr>
      <w:r>
        <w:rPr>
          <w:color w:val="1A3A6B"/>
        </w:rPr>
        <w:t>6.3 Per-Cluster Training</w:t>
      </w:r>
    </w:p>
    <w:p>
      <w:pPr>
        <w:spacing w:after="120"/>
      </w:pPr>
      <w:r>
        <w:rPr>
          <w:b w:val="0"/>
          <w:i w:val="0"/>
        </w:rPr>
        <w:t>For each of the 3 clusters, all clients within the cluster contribute their individual time series as separate samples in the training batch. This channel-independent approach means a single model per cluster learns shared temporal patterns across all clients in that group, while per-client normalization preserves individual consumption scales.</w:t>
      </w:r>
    </w:p>
    <w:p>
      <w:pPr>
        <w:pStyle w:val="Heading1"/>
      </w:pPr>
      <w:r>
        <w:rPr>
          <w:color w:val="1A3A6B"/>
        </w:rPr>
        <w:t>7. Evaluation Framework</w:t>
      </w:r>
    </w:p>
    <w:p>
      <w:pPr>
        <w:pStyle w:val="Heading2"/>
      </w:pPr>
      <w:r>
        <w:rPr>
          <w:color w:val="1A3A6B"/>
        </w:rPr>
        <w:t>7.1 Primary Metric: MAPE</w:t>
      </w:r>
    </w:p>
    <w:p>
      <w:pPr>
        <w:spacing w:after="120"/>
      </w:pPr>
      <w:r>
        <w:rPr>
          <w:b w:val="0"/>
          <w:i w:val="0"/>
        </w:rPr>
        <w:t>MAPE (Mean Absolute Percentage Error) on a 0–100% scale is the primary evaluation metric, computed on inverse-transformed original kWh values:</w:t>
      </w:r>
    </w:p>
    <w:p>
      <w:pPr>
        <w:spacing w:after="120"/>
        <w:jc w:val="center"/>
      </w:pPr>
      <w:r>
        <w:rPr>
          <w:b/>
          <w:i w:val="0"/>
        </w:rPr>
        <w:t>MAPE = (1/N) * SUM( |actual - predicted| / |actual| ) * 100%</w:t>
      </w:r>
    </w:p>
    <w:p>
      <w:pPr>
        <w:spacing w:after="120"/>
      </w:pPr>
      <w:r>
        <w:rPr>
          <w:b w:val="0"/>
          <w:i w:val="0"/>
        </w:rPr>
        <w:t>A threshold of |actual| &gt; 0.5 kWh is applied to exclude near-zero readings that inflate percentage errors. Per-client inverse transformation uses the client's own StandardScaler (fitted on training data) to convert normalized predictions back to the original kWh scale before computing MAPE.</w:t>
      </w:r>
    </w:p>
    <w:p>
      <w:pPr>
        <w:pStyle w:val="Heading2"/>
      </w:pPr>
      <w:r>
        <w:rPr>
          <w:color w:val="1A3A6B"/>
        </w:rPr>
        <w:t>7.2 Test Period Analysis</w:t>
      </w:r>
    </w:p>
    <w:p>
      <w:pPr>
        <w:spacing w:after="120"/>
      </w:pPr>
      <w:r>
        <w:rPr>
          <w:b w:val="0"/>
          <w:i w:val="0"/>
        </w:rPr>
        <w:t>The test set (May 2014 – December 2014) is divided into 4 equal time periods to assess forecast stability across different seasons and conditions. For each period, we report the mean MAPE and the distribution of absolute percentage errors via box plots.</w:t>
      </w:r>
    </w:p>
    <w:p>
      <w:pPr>
        <w:pStyle w:val="Heading1"/>
      </w:pPr>
      <w:r>
        <w:rPr>
          <w:color w:val="1A3A6B"/>
        </w:rPr>
        <w:t>8. Results</w:t>
      </w:r>
    </w:p>
    <w:p>
      <w:pPr>
        <w:pStyle w:val="Heading2"/>
      </w:pPr>
      <w:r>
        <w:rPr>
          <w:color w:val="1A3A6B"/>
        </w:rPr>
        <w:t>8.1 Overall MAPE by Model and Horizon</w:t>
      </w:r>
    </w:p>
    <w:p>
      <w:pPr>
        <w:spacing w:after="120"/>
      </w:pPr>
      <w:r>
        <w:rPr>
          <w:b w:val="0"/>
          <w:i w:val="0"/>
        </w:rPr>
        <w:t>The following table shows the weighted-average MAPE across all clusters for each model and horizon. Weights are proportional to the number of clients per cluster.</w:t>
      </w:r>
    </w:p>
    <w:tbl>
      <w:tblPr>
        <w:tblW w:type="auto" w:w="0"/>
        <w:jc w:val="center"/>
        <w:tblLook w:firstColumn="1" w:firstRow="1" w:lastColumn="0" w:lastRow="0" w:noHBand="0" w:noVBand="1" w:val="04A0"/>
      </w:tblPr>
      <w:tblGrid>
        <w:gridCol w:w="2340"/>
        <w:gridCol w:w="2340"/>
        <w:gridCol w:w="2340"/>
        <w:gridCol w:w="2340"/>
      </w:tblGrid>
      <w:tr>
        <w:tc>
          <w:tcPr>
            <w:tcW w:type="dxa" w:w="2340"/>
            <w:shd w:fill="1A3A6B" w:val="clear"/>
          </w:tcPr>
          <w:p>
            <w:pPr>
              <w:jc w:val="center"/>
            </w:pPr>
            <w:r>
              <w:rPr>
                <w:b/>
                <w:color w:val="FFFFFF"/>
                <w:sz w:val="18"/>
              </w:rPr>
              <w:t>Model</w:t>
            </w:r>
          </w:p>
        </w:tc>
        <w:tc>
          <w:tcPr>
            <w:tcW w:type="dxa" w:w="2340"/>
            <w:shd w:fill="1A3A6B" w:val="clear"/>
          </w:tcPr>
          <w:p>
            <w:pPr>
              <w:jc w:val="center"/>
            </w:pPr>
            <w:r>
              <w:rPr>
                <w:b/>
                <w:color w:val="FFFFFF"/>
                <w:sz w:val="18"/>
              </w:rPr>
              <w:t>H=1h</w:t>
            </w:r>
          </w:p>
        </w:tc>
        <w:tc>
          <w:tcPr>
            <w:tcW w:type="dxa" w:w="2340"/>
            <w:shd w:fill="1A3A6B" w:val="clear"/>
          </w:tcPr>
          <w:p>
            <w:pPr>
              <w:jc w:val="center"/>
            </w:pPr>
            <w:r>
              <w:rPr>
                <w:b/>
                <w:color w:val="FFFFFF"/>
                <w:sz w:val="18"/>
              </w:rPr>
              <w:t>H=6h</w:t>
            </w:r>
          </w:p>
        </w:tc>
        <w:tc>
          <w:tcPr>
            <w:tcW w:type="dxa" w:w="2340"/>
            <w:shd w:fill="1A3A6B" w:val="clear"/>
          </w:tcPr>
          <w:p>
            <w:pPr>
              <w:jc w:val="center"/>
            </w:pPr>
            <w:r>
              <w:rPr>
                <w:b/>
                <w:color w:val="FFFFFF"/>
                <w:sz w:val="18"/>
              </w:rPr>
              <w:t>H=24h</w:t>
            </w:r>
          </w:p>
        </w:tc>
      </w:tr>
      <w:tr>
        <w:tc>
          <w:tcPr>
            <w:tcW w:type="dxa" w:w="2340"/>
            <w:shd w:fill="EBF0F7" w:val="clear"/>
          </w:tcPr>
          <w:p>
            <w:pPr>
              <w:jc w:val="center"/>
            </w:pPr>
            <w:r>
              <w:rPr>
                <w:sz w:val="18"/>
              </w:rPr>
              <w:t>LSTM</w:t>
            </w:r>
          </w:p>
        </w:tc>
        <w:tc>
          <w:tcPr>
            <w:tcW w:type="dxa" w:w="2340"/>
            <w:shd w:fill="EBF0F7" w:val="clear"/>
          </w:tcPr>
          <w:p>
            <w:pPr>
              <w:jc w:val="center"/>
            </w:pPr>
            <w:r>
              <w:rPr>
                <w:sz w:val="18"/>
              </w:rPr>
              <w:t>26.27%</w:t>
            </w:r>
          </w:p>
        </w:tc>
        <w:tc>
          <w:tcPr>
            <w:tcW w:type="dxa" w:w="2340"/>
            <w:shd w:fill="EBF0F7" w:val="clear"/>
          </w:tcPr>
          <w:p>
            <w:pPr>
              <w:jc w:val="center"/>
            </w:pPr>
            <w:r>
              <w:rPr>
                <w:sz w:val="18"/>
              </w:rPr>
              <w:t>37.64%</w:t>
            </w:r>
          </w:p>
        </w:tc>
        <w:tc>
          <w:tcPr>
            <w:tcW w:type="dxa" w:w="2340"/>
            <w:shd w:fill="EBF0F7" w:val="clear"/>
          </w:tcPr>
          <w:p>
            <w:pPr>
              <w:jc w:val="center"/>
            </w:pPr>
            <w:r>
              <w:rPr>
                <w:sz w:val="18"/>
              </w:rPr>
              <w:t>44.01%</w:t>
            </w:r>
          </w:p>
        </w:tc>
      </w:tr>
      <w:tr>
        <w:tc>
          <w:tcPr>
            <w:tcW w:type="dxa" w:w="2340"/>
          </w:tcPr>
          <w:p>
            <w:pPr>
              <w:jc w:val="center"/>
            </w:pPr>
            <w:r>
              <w:rPr>
                <w:sz w:val="18"/>
              </w:rPr>
              <w:t>TCN</w:t>
            </w:r>
          </w:p>
        </w:tc>
        <w:tc>
          <w:tcPr>
            <w:tcW w:type="dxa" w:w="2340"/>
          </w:tcPr>
          <w:p>
            <w:pPr>
              <w:jc w:val="center"/>
            </w:pPr>
            <w:r>
              <w:rPr>
                <w:sz w:val="18"/>
              </w:rPr>
              <w:t>20.02%</w:t>
            </w:r>
          </w:p>
        </w:tc>
        <w:tc>
          <w:tcPr>
            <w:tcW w:type="dxa" w:w="2340"/>
          </w:tcPr>
          <w:p>
            <w:pPr>
              <w:jc w:val="center"/>
            </w:pPr>
            <w:r>
              <w:rPr>
                <w:sz w:val="18"/>
              </w:rPr>
              <w:t>29.05%</w:t>
            </w:r>
          </w:p>
        </w:tc>
        <w:tc>
          <w:tcPr>
            <w:tcW w:type="dxa" w:w="2340"/>
          </w:tcPr>
          <w:p>
            <w:pPr>
              <w:jc w:val="center"/>
            </w:pPr>
            <w:r>
              <w:rPr>
                <w:sz w:val="18"/>
              </w:rPr>
              <w:t>37.99%</w:t>
            </w:r>
          </w:p>
        </w:tc>
      </w:tr>
      <w:tr>
        <w:tc>
          <w:tcPr>
            <w:tcW w:type="dxa" w:w="2340"/>
            <w:shd w:fill="EBF0F7" w:val="clear"/>
          </w:tcPr>
          <w:p>
            <w:pPr>
              <w:jc w:val="center"/>
            </w:pPr>
            <w:r>
              <w:rPr>
                <w:sz w:val="18"/>
              </w:rPr>
              <w:t>Transformer</w:t>
            </w:r>
          </w:p>
        </w:tc>
        <w:tc>
          <w:tcPr>
            <w:tcW w:type="dxa" w:w="2340"/>
            <w:shd w:fill="EBF0F7" w:val="clear"/>
          </w:tcPr>
          <w:p>
            <w:pPr>
              <w:jc w:val="center"/>
            </w:pPr>
            <w:r>
              <w:rPr>
                <w:sz w:val="18"/>
              </w:rPr>
              <w:t>12.81%</w:t>
            </w:r>
          </w:p>
        </w:tc>
        <w:tc>
          <w:tcPr>
            <w:tcW w:type="dxa" w:w="2340"/>
            <w:shd w:fill="EBF0F7" w:val="clear"/>
          </w:tcPr>
          <w:p>
            <w:pPr>
              <w:jc w:val="center"/>
            </w:pPr>
            <w:r>
              <w:rPr>
                <w:sz w:val="18"/>
              </w:rPr>
              <w:t>21.49%</w:t>
            </w:r>
          </w:p>
        </w:tc>
        <w:tc>
          <w:tcPr>
            <w:tcW w:type="dxa" w:w="2340"/>
            <w:shd w:fill="EBF0F7" w:val="clear"/>
          </w:tcPr>
          <w:p>
            <w:pPr>
              <w:jc w:val="center"/>
            </w:pPr>
            <w:r>
              <w:rPr>
                <w:sz w:val="18"/>
              </w:rPr>
              <w:t>34.73%</w:t>
            </w:r>
          </w:p>
        </w:tc>
      </w:tr>
      <w:tr>
        <w:tc>
          <w:tcPr>
            <w:tcW w:type="dxa" w:w="2340"/>
          </w:tcPr>
          <w:p>
            <w:pPr>
              <w:jc w:val="center"/>
            </w:pPr>
            <w:r>
              <w:rPr>
                <w:sz w:val="18"/>
              </w:rPr>
              <w:t>PatchTST</w:t>
            </w:r>
          </w:p>
        </w:tc>
        <w:tc>
          <w:tcPr>
            <w:tcW w:type="dxa" w:w="2340"/>
          </w:tcPr>
          <w:p>
            <w:pPr>
              <w:jc w:val="center"/>
            </w:pPr>
            <w:r>
              <w:rPr>
                <w:sz w:val="18"/>
              </w:rPr>
              <w:t>13.12%</w:t>
            </w:r>
          </w:p>
        </w:tc>
        <w:tc>
          <w:tcPr>
            <w:tcW w:type="dxa" w:w="2340"/>
          </w:tcPr>
          <w:p>
            <w:pPr>
              <w:jc w:val="center"/>
            </w:pPr>
            <w:r>
              <w:rPr>
                <w:sz w:val="18"/>
              </w:rPr>
              <w:t>33.67%</w:t>
            </w:r>
          </w:p>
        </w:tc>
        <w:tc>
          <w:tcPr>
            <w:tcW w:type="dxa" w:w="2340"/>
          </w:tcPr>
          <w:p>
            <w:pPr>
              <w:jc w:val="center"/>
            </w:pPr>
            <w:r>
              <w:rPr>
                <w:sz w:val="18"/>
              </w:rPr>
              <w:t>43.75%</w:t>
            </w:r>
          </w:p>
        </w:tc>
      </w:tr>
    </w:tbl>
    <w:p>
      <w:pPr>
        <w:spacing w:after="120"/>
      </w:pPr>
      <w:r>
        <w:rPr>
          <w:b w:val="0"/>
          <w:i w:val="0"/>
        </w:rPr>
      </w:r>
    </w:p>
    <w:p>
      <w:pPr>
        <w:spacing w:after="120"/>
      </w:pPr>
      <w:r>
        <w:rPr>
          <w:b w:val="0"/>
          <w:i w:val="0"/>
        </w:rPr>
        <w:t>The Transformer achieves the lowest overall MAPE at all three horizons, with a particularly strong advantage at H=6h (21.49% vs 29.05% for the next best TCN) and H=24h (34.73% vs 37.99%). PatchTST is competitive at H=1h (13.12% vs 12.81%) but falls behind at longer horizons.</w:t>
      </w:r>
    </w:p>
    <w:p>
      <w:pPr>
        <w:pStyle w:val="Heading2"/>
      </w:pPr>
      <w:r>
        <w:rPr>
          <w:color w:val="1A3A6B"/>
        </w:rPr>
        <w:t>8.2 Per-Cluster MAPE Results</w:t>
      </w:r>
    </w:p>
    <w:p>
      <w:pPr>
        <w:spacing w:after="120"/>
      </w:pPr>
      <w:r>
        <w:rPr>
          <w:b/>
          <w:i w:val="0"/>
        </w:rPr>
        <w:t>Detailed per-cluster results for each model:</w:t>
      </w:r>
    </w:p>
    <w:p>
      <w:pPr>
        <w:spacing w:after="40"/>
      </w:pPr>
      <w:r>
        <w:rPr>
          <w:b/>
          <w:i w:val="0"/>
          <w:sz w:val="20"/>
        </w:rPr>
        <w:t>LSTM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A6B" w:val="clear"/>
          </w:tcPr>
          <w:p>
            <w:pPr>
              <w:jc w:val="center"/>
            </w:pPr>
            <w:r>
              <w:rPr>
                <w:b/>
                <w:color w:val="FFFFFF"/>
                <w:sz w:val="18"/>
              </w:rPr>
              <w:t>Cluster</w:t>
            </w:r>
          </w:p>
        </w:tc>
        <w:tc>
          <w:tcPr>
            <w:tcW w:type="dxa" w:w="1872"/>
            <w:shd w:fill="1A3A6B" w:val="clear"/>
          </w:tcPr>
          <w:p>
            <w:pPr>
              <w:jc w:val="center"/>
            </w:pPr>
            <w:r>
              <w:rPr>
                <w:b/>
                <w:color w:val="FFFFFF"/>
                <w:sz w:val="18"/>
              </w:rPr>
              <w:t>Clients</w:t>
            </w:r>
          </w:p>
        </w:tc>
        <w:tc>
          <w:tcPr>
            <w:tcW w:type="dxa" w:w="1872"/>
            <w:shd w:fill="1A3A6B" w:val="clear"/>
          </w:tcPr>
          <w:p>
            <w:pPr>
              <w:jc w:val="center"/>
            </w:pPr>
            <w:r>
              <w:rPr>
                <w:b/>
                <w:color w:val="FFFFFF"/>
                <w:sz w:val="18"/>
              </w:rPr>
              <w:t>H=1h</w:t>
            </w:r>
          </w:p>
        </w:tc>
        <w:tc>
          <w:tcPr>
            <w:tcW w:type="dxa" w:w="1872"/>
            <w:shd w:fill="1A3A6B" w:val="clear"/>
          </w:tcPr>
          <w:p>
            <w:pPr>
              <w:jc w:val="center"/>
            </w:pPr>
            <w:r>
              <w:rPr>
                <w:b/>
                <w:color w:val="FFFFFF"/>
                <w:sz w:val="18"/>
              </w:rPr>
              <w:t>H=6h</w:t>
            </w:r>
          </w:p>
        </w:tc>
        <w:tc>
          <w:tcPr>
            <w:tcW w:type="dxa" w:w="1872"/>
            <w:shd w:fill="1A3A6B" w:val="clear"/>
          </w:tcPr>
          <w:p>
            <w:pPr>
              <w:jc w:val="center"/>
            </w:pPr>
            <w:r>
              <w:rPr>
                <w:b/>
                <w:color w:val="FFFFFF"/>
                <w:sz w:val="18"/>
              </w:rPr>
              <w:t>H=24h</w:t>
            </w:r>
          </w:p>
        </w:tc>
      </w:tr>
      <w:tr>
        <w:tc>
          <w:tcPr>
            <w:tcW w:type="dxa" w:w="1872"/>
            <w:shd w:fill="EBF0F7" w:val="clear"/>
          </w:tcPr>
          <w:p>
            <w:pPr>
              <w:jc w:val="center"/>
            </w:pPr>
            <w:r>
              <w:rPr>
                <w:sz w:val="18"/>
              </w:rPr>
              <w:t>0</w:t>
            </w:r>
          </w:p>
        </w:tc>
        <w:tc>
          <w:tcPr>
            <w:tcW w:type="dxa" w:w="1872"/>
            <w:shd w:fill="EBF0F7" w:val="clear"/>
          </w:tcPr>
          <w:p>
            <w:pPr>
              <w:jc w:val="center"/>
            </w:pPr>
            <w:r>
              <w:rPr>
                <w:sz w:val="18"/>
              </w:rPr>
              <w:t>157</w:t>
            </w:r>
          </w:p>
        </w:tc>
        <w:tc>
          <w:tcPr>
            <w:tcW w:type="dxa" w:w="1872"/>
            <w:shd w:fill="EBF0F7" w:val="clear"/>
          </w:tcPr>
          <w:p>
            <w:pPr>
              <w:jc w:val="center"/>
            </w:pPr>
            <w:r>
              <w:rPr>
                <w:sz w:val="18"/>
              </w:rPr>
              <w:t>30.33%</w:t>
            </w:r>
          </w:p>
        </w:tc>
        <w:tc>
          <w:tcPr>
            <w:tcW w:type="dxa" w:w="1872"/>
            <w:shd w:fill="EBF0F7" w:val="clear"/>
          </w:tcPr>
          <w:p>
            <w:pPr>
              <w:jc w:val="center"/>
            </w:pPr>
            <w:r>
              <w:rPr>
                <w:sz w:val="18"/>
              </w:rPr>
              <w:t>34.22%</w:t>
            </w:r>
          </w:p>
        </w:tc>
        <w:tc>
          <w:tcPr>
            <w:tcW w:type="dxa" w:w="1872"/>
            <w:shd w:fill="EBF0F7" w:val="clear"/>
          </w:tcPr>
          <w:p>
            <w:pPr>
              <w:jc w:val="center"/>
            </w:pPr>
            <w:r>
              <w:rPr>
                <w:sz w:val="18"/>
              </w:rPr>
              <w:t>43.95%</w:t>
            </w:r>
          </w:p>
        </w:tc>
      </w:tr>
      <w:tr>
        <w:tc>
          <w:tcPr>
            <w:tcW w:type="dxa" w:w="1872"/>
          </w:tcPr>
          <w:p>
            <w:pPr>
              <w:jc w:val="center"/>
            </w:pPr>
            <w:r>
              <w:rPr>
                <w:sz w:val="18"/>
              </w:rPr>
              <w:t>1</w:t>
            </w:r>
          </w:p>
        </w:tc>
        <w:tc>
          <w:tcPr>
            <w:tcW w:type="dxa" w:w="1872"/>
          </w:tcPr>
          <w:p>
            <w:pPr>
              <w:jc w:val="center"/>
            </w:pPr>
            <w:r>
              <w:rPr>
                <w:sz w:val="18"/>
              </w:rPr>
              <w:t>71</w:t>
            </w:r>
          </w:p>
        </w:tc>
        <w:tc>
          <w:tcPr>
            <w:tcW w:type="dxa" w:w="1872"/>
          </w:tcPr>
          <w:p>
            <w:pPr>
              <w:jc w:val="center"/>
            </w:pPr>
            <w:r>
              <w:rPr>
                <w:sz w:val="18"/>
              </w:rPr>
              <w:t>26.71%</w:t>
            </w:r>
          </w:p>
        </w:tc>
        <w:tc>
          <w:tcPr>
            <w:tcW w:type="dxa" w:w="1872"/>
          </w:tcPr>
          <w:p>
            <w:pPr>
              <w:jc w:val="center"/>
            </w:pPr>
            <w:r>
              <w:rPr>
                <w:sz w:val="18"/>
              </w:rPr>
              <w:t>40.37%</w:t>
            </w:r>
          </w:p>
        </w:tc>
        <w:tc>
          <w:tcPr>
            <w:tcW w:type="dxa" w:w="1872"/>
          </w:tcPr>
          <w:p>
            <w:pPr>
              <w:jc w:val="center"/>
            </w:pPr>
            <w:r>
              <w:rPr>
                <w:sz w:val="18"/>
              </w:rPr>
              <w:t>36.09%</w:t>
            </w:r>
          </w:p>
        </w:tc>
      </w:tr>
      <w:tr>
        <w:tc>
          <w:tcPr>
            <w:tcW w:type="dxa" w:w="1872"/>
            <w:shd w:fill="EBF0F7" w:val="clear"/>
          </w:tcPr>
          <w:p>
            <w:pPr>
              <w:jc w:val="center"/>
            </w:pPr>
            <w:r>
              <w:rPr>
                <w:sz w:val="18"/>
              </w:rPr>
              <w:t>2</w:t>
            </w:r>
          </w:p>
        </w:tc>
        <w:tc>
          <w:tcPr>
            <w:tcW w:type="dxa" w:w="1872"/>
            <w:shd w:fill="EBF0F7" w:val="clear"/>
          </w:tcPr>
          <w:p>
            <w:pPr>
              <w:jc w:val="center"/>
            </w:pPr>
            <w:r>
              <w:rPr>
                <w:sz w:val="18"/>
              </w:rPr>
              <w:t>86</w:t>
            </w:r>
          </w:p>
        </w:tc>
        <w:tc>
          <w:tcPr>
            <w:tcW w:type="dxa" w:w="1872"/>
            <w:shd w:fill="EBF0F7" w:val="clear"/>
          </w:tcPr>
          <w:p>
            <w:pPr>
              <w:jc w:val="center"/>
            </w:pPr>
            <w:r>
              <w:rPr>
                <w:sz w:val="18"/>
              </w:rPr>
              <w:t>18.48%</w:t>
            </w:r>
          </w:p>
        </w:tc>
        <w:tc>
          <w:tcPr>
            <w:tcW w:type="dxa" w:w="1872"/>
            <w:shd w:fill="EBF0F7" w:val="clear"/>
          </w:tcPr>
          <w:p>
            <w:pPr>
              <w:jc w:val="center"/>
            </w:pPr>
            <w:r>
              <w:rPr>
                <w:sz w:val="18"/>
              </w:rPr>
              <w:t>41.63%</w:t>
            </w:r>
          </w:p>
        </w:tc>
        <w:tc>
          <w:tcPr>
            <w:tcW w:type="dxa" w:w="1872"/>
            <w:shd w:fill="EBF0F7" w:val="clear"/>
          </w:tcPr>
          <w:p>
            <w:pPr>
              <w:jc w:val="center"/>
            </w:pPr>
            <w:r>
              <w:rPr>
                <w:sz w:val="18"/>
              </w:rPr>
              <w:t>50.67%</w:t>
            </w:r>
          </w:p>
        </w:tc>
      </w:tr>
    </w:tbl>
    <w:p>
      <w:pPr>
        <w:spacing w:after="120"/>
      </w:pPr>
      <w:r>
        <w:rPr>
          <w:b w:val="0"/>
          <w:i w:val="0"/>
        </w:rPr>
      </w:r>
    </w:p>
    <w:p>
      <w:pPr>
        <w:spacing w:after="40"/>
      </w:pPr>
      <w:r>
        <w:rPr>
          <w:b/>
          <w:i w:val="0"/>
          <w:sz w:val="20"/>
        </w:rPr>
        <w:t>TCN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A6B" w:val="clear"/>
          </w:tcPr>
          <w:p>
            <w:pPr>
              <w:jc w:val="center"/>
            </w:pPr>
            <w:r>
              <w:rPr>
                <w:b/>
                <w:color w:val="FFFFFF"/>
                <w:sz w:val="18"/>
              </w:rPr>
              <w:t>Cluster</w:t>
            </w:r>
          </w:p>
        </w:tc>
        <w:tc>
          <w:tcPr>
            <w:tcW w:type="dxa" w:w="1872"/>
            <w:shd w:fill="1A3A6B" w:val="clear"/>
          </w:tcPr>
          <w:p>
            <w:pPr>
              <w:jc w:val="center"/>
            </w:pPr>
            <w:r>
              <w:rPr>
                <w:b/>
                <w:color w:val="FFFFFF"/>
                <w:sz w:val="18"/>
              </w:rPr>
              <w:t>Clients</w:t>
            </w:r>
          </w:p>
        </w:tc>
        <w:tc>
          <w:tcPr>
            <w:tcW w:type="dxa" w:w="1872"/>
            <w:shd w:fill="1A3A6B" w:val="clear"/>
          </w:tcPr>
          <w:p>
            <w:pPr>
              <w:jc w:val="center"/>
            </w:pPr>
            <w:r>
              <w:rPr>
                <w:b/>
                <w:color w:val="FFFFFF"/>
                <w:sz w:val="18"/>
              </w:rPr>
              <w:t>H=1h</w:t>
            </w:r>
          </w:p>
        </w:tc>
        <w:tc>
          <w:tcPr>
            <w:tcW w:type="dxa" w:w="1872"/>
            <w:shd w:fill="1A3A6B" w:val="clear"/>
          </w:tcPr>
          <w:p>
            <w:pPr>
              <w:jc w:val="center"/>
            </w:pPr>
            <w:r>
              <w:rPr>
                <w:b/>
                <w:color w:val="FFFFFF"/>
                <w:sz w:val="18"/>
              </w:rPr>
              <w:t>H=6h</w:t>
            </w:r>
          </w:p>
        </w:tc>
        <w:tc>
          <w:tcPr>
            <w:tcW w:type="dxa" w:w="1872"/>
            <w:shd w:fill="1A3A6B" w:val="clear"/>
          </w:tcPr>
          <w:p>
            <w:pPr>
              <w:jc w:val="center"/>
            </w:pPr>
            <w:r>
              <w:rPr>
                <w:b/>
                <w:color w:val="FFFFFF"/>
                <w:sz w:val="18"/>
              </w:rPr>
              <w:t>H=24h</w:t>
            </w:r>
          </w:p>
        </w:tc>
      </w:tr>
      <w:tr>
        <w:tc>
          <w:tcPr>
            <w:tcW w:type="dxa" w:w="1872"/>
            <w:shd w:fill="EBF0F7" w:val="clear"/>
          </w:tcPr>
          <w:p>
            <w:pPr>
              <w:jc w:val="center"/>
            </w:pPr>
            <w:r>
              <w:rPr>
                <w:sz w:val="18"/>
              </w:rPr>
              <w:t>0</w:t>
            </w:r>
          </w:p>
        </w:tc>
        <w:tc>
          <w:tcPr>
            <w:tcW w:type="dxa" w:w="1872"/>
            <w:shd w:fill="EBF0F7" w:val="clear"/>
          </w:tcPr>
          <w:p>
            <w:pPr>
              <w:jc w:val="center"/>
            </w:pPr>
            <w:r>
              <w:rPr>
                <w:sz w:val="18"/>
              </w:rPr>
              <w:t>157</w:t>
            </w:r>
          </w:p>
        </w:tc>
        <w:tc>
          <w:tcPr>
            <w:tcW w:type="dxa" w:w="1872"/>
            <w:shd w:fill="EBF0F7" w:val="clear"/>
          </w:tcPr>
          <w:p>
            <w:pPr>
              <w:jc w:val="center"/>
            </w:pPr>
            <w:r>
              <w:rPr>
                <w:sz w:val="18"/>
              </w:rPr>
              <w:t>24.62%</w:t>
            </w:r>
          </w:p>
        </w:tc>
        <w:tc>
          <w:tcPr>
            <w:tcW w:type="dxa" w:w="1872"/>
            <w:shd w:fill="EBF0F7" w:val="clear"/>
          </w:tcPr>
          <w:p>
            <w:pPr>
              <w:jc w:val="center"/>
            </w:pPr>
            <w:r>
              <w:rPr>
                <w:sz w:val="18"/>
              </w:rPr>
              <w:t>28.83%</w:t>
            </w:r>
          </w:p>
        </w:tc>
        <w:tc>
          <w:tcPr>
            <w:tcW w:type="dxa" w:w="1872"/>
            <w:shd w:fill="EBF0F7" w:val="clear"/>
          </w:tcPr>
          <w:p>
            <w:pPr>
              <w:jc w:val="center"/>
            </w:pPr>
            <w:r>
              <w:rPr>
                <w:sz w:val="18"/>
              </w:rPr>
              <w:t>40.29%</w:t>
            </w:r>
          </w:p>
        </w:tc>
      </w:tr>
      <w:tr>
        <w:tc>
          <w:tcPr>
            <w:tcW w:type="dxa" w:w="1872"/>
          </w:tcPr>
          <w:p>
            <w:pPr>
              <w:jc w:val="center"/>
            </w:pPr>
            <w:r>
              <w:rPr>
                <w:sz w:val="18"/>
              </w:rPr>
              <w:t>1</w:t>
            </w:r>
          </w:p>
        </w:tc>
        <w:tc>
          <w:tcPr>
            <w:tcW w:type="dxa" w:w="1872"/>
          </w:tcPr>
          <w:p>
            <w:pPr>
              <w:jc w:val="center"/>
            </w:pPr>
            <w:r>
              <w:rPr>
                <w:sz w:val="18"/>
              </w:rPr>
              <w:t>71</w:t>
            </w:r>
          </w:p>
        </w:tc>
        <w:tc>
          <w:tcPr>
            <w:tcW w:type="dxa" w:w="1872"/>
          </w:tcPr>
          <w:p>
            <w:pPr>
              <w:jc w:val="center"/>
            </w:pPr>
            <w:r>
              <w:rPr>
                <w:sz w:val="18"/>
              </w:rPr>
              <w:t>20.42%</w:t>
            </w:r>
          </w:p>
        </w:tc>
        <w:tc>
          <w:tcPr>
            <w:tcW w:type="dxa" w:w="1872"/>
          </w:tcPr>
          <w:p>
            <w:pPr>
              <w:jc w:val="center"/>
            </w:pPr>
            <w:r>
              <w:rPr>
                <w:sz w:val="18"/>
              </w:rPr>
              <w:t>21.26%</w:t>
            </w:r>
          </w:p>
        </w:tc>
        <w:tc>
          <w:tcPr>
            <w:tcW w:type="dxa" w:w="1872"/>
          </w:tcPr>
          <w:p>
            <w:pPr>
              <w:jc w:val="center"/>
            </w:pPr>
            <w:r>
              <w:rPr>
                <w:sz w:val="18"/>
              </w:rPr>
              <w:t>28.64%</w:t>
            </w:r>
          </w:p>
        </w:tc>
      </w:tr>
      <w:tr>
        <w:tc>
          <w:tcPr>
            <w:tcW w:type="dxa" w:w="1872"/>
            <w:shd w:fill="EBF0F7" w:val="clear"/>
          </w:tcPr>
          <w:p>
            <w:pPr>
              <w:jc w:val="center"/>
            </w:pPr>
            <w:r>
              <w:rPr>
                <w:sz w:val="18"/>
              </w:rPr>
              <w:t>2</w:t>
            </w:r>
          </w:p>
        </w:tc>
        <w:tc>
          <w:tcPr>
            <w:tcW w:type="dxa" w:w="1872"/>
            <w:shd w:fill="EBF0F7" w:val="clear"/>
          </w:tcPr>
          <w:p>
            <w:pPr>
              <w:jc w:val="center"/>
            </w:pPr>
            <w:r>
              <w:rPr>
                <w:sz w:val="18"/>
              </w:rPr>
              <w:t>86</w:t>
            </w:r>
          </w:p>
        </w:tc>
        <w:tc>
          <w:tcPr>
            <w:tcW w:type="dxa" w:w="1872"/>
            <w:shd w:fill="EBF0F7" w:val="clear"/>
          </w:tcPr>
          <w:p>
            <w:pPr>
              <w:jc w:val="center"/>
            </w:pPr>
            <w:r>
              <w:rPr>
                <w:sz w:val="18"/>
              </w:rPr>
              <w:t>11.29%</w:t>
            </w:r>
          </w:p>
        </w:tc>
        <w:tc>
          <w:tcPr>
            <w:tcW w:type="dxa" w:w="1872"/>
            <w:shd w:fill="EBF0F7" w:val="clear"/>
          </w:tcPr>
          <w:p>
            <w:pPr>
              <w:jc w:val="center"/>
            </w:pPr>
            <w:r>
              <w:rPr>
                <w:sz w:val="18"/>
              </w:rPr>
              <w:t>35.88%</w:t>
            </w:r>
          </w:p>
        </w:tc>
        <w:tc>
          <w:tcPr>
            <w:tcW w:type="dxa" w:w="1872"/>
            <w:shd w:fill="EBF0F7" w:val="clear"/>
          </w:tcPr>
          <w:p>
            <w:pPr>
              <w:jc w:val="center"/>
            </w:pPr>
            <w:r>
              <w:rPr>
                <w:sz w:val="18"/>
              </w:rPr>
              <w:t>41.52%</w:t>
            </w:r>
          </w:p>
        </w:tc>
      </w:tr>
    </w:tbl>
    <w:p>
      <w:pPr>
        <w:spacing w:after="120"/>
      </w:pPr>
      <w:r>
        <w:rPr>
          <w:b w:val="0"/>
          <w:i w:val="0"/>
        </w:rPr>
      </w:r>
    </w:p>
    <w:p>
      <w:pPr>
        <w:spacing w:after="40"/>
      </w:pPr>
      <w:r>
        <w:rPr>
          <w:b/>
          <w:i w:val="0"/>
          <w:sz w:val="20"/>
        </w:rPr>
        <w:t>Transformer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A6B" w:val="clear"/>
          </w:tcPr>
          <w:p>
            <w:pPr>
              <w:jc w:val="center"/>
            </w:pPr>
            <w:r>
              <w:rPr>
                <w:b/>
                <w:color w:val="FFFFFF"/>
                <w:sz w:val="18"/>
              </w:rPr>
              <w:t>Cluster</w:t>
            </w:r>
          </w:p>
        </w:tc>
        <w:tc>
          <w:tcPr>
            <w:tcW w:type="dxa" w:w="1872"/>
            <w:shd w:fill="1A3A6B" w:val="clear"/>
          </w:tcPr>
          <w:p>
            <w:pPr>
              <w:jc w:val="center"/>
            </w:pPr>
            <w:r>
              <w:rPr>
                <w:b/>
                <w:color w:val="FFFFFF"/>
                <w:sz w:val="18"/>
              </w:rPr>
              <w:t>Clients</w:t>
            </w:r>
          </w:p>
        </w:tc>
        <w:tc>
          <w:tcPr>
            <w:tcW w:type="dxa" w:w="1872"/>
            <w:shd w:fill="1A3A6B" w:val="clear"/>
          </w:tcPr>
          <w:p>
            <w:pPr>
              <w:jc w:val="center"/>
            </w:pPr>
            <w:r>
              <w:rPr>
                <w:b/>
                <w:color w:val="FFFFFF"/>
                <w:sz w:val="18"/>
              </w:rPr>
              <w:t>H=1h</w:t>
            </w:r>
          </w:p>
        </w:tc>
        <w:tc>
          <w:tcPr>
            <w:tcW w:type="dxa" w:w="1872"/>
            <w:shd w:fill="1A3A6B" w:val="clear"/>
          </w:tcPr>
          <w:p>
            <w:pPr>
              <w:jc w:val="center"/>
            </w:pPr>
            <w:r>
              <w:rPr>
                <w:b/>
                <w:color w:val="FFFFFF"/>
                <w:sz w:val="18"/>
              </w:rPr>
              <w:t>H=6h</w:t>
            </w:r>
          </w:p>
        </w:tc>
        <w:tc>
          <w:tcPr>
            <w:tcW w:type="dxa" w:w="1872"/>
            <w:shd w:fill="1A3A6B" w:val="clear"/>
          </w:tcPr>
          <w:p>
            <w:pPr>
              <w:jc w:val="center"/>
            </w:pPr>
            <w:r>
              <w:rPr>
                <w:b/>
                <w:color w:val="FFFFFF"/>
                <w:sz w:val="18"/>
              </w:rPr>
              <w:t>H=24h</w:t>
            </w:r>
          </w:p>
        </w:tc>
      </w:tr>
      <w:tr>
        <w:tc>
          <w:tcPr>
            <w:tcW w:type="dxa" w:w="1872"/>
            <w:shd w:fill="EBF0F7" w:val="clear"/>
          </w:tcPr>
          <w:p>
            <w:pPr>
              <w:jc w:val="center"/>
            </w:pPr>
            <w:r>
              <w:rPr>
                <w:sz w:val="18"/>
              </w:rPr>
              <w:t>0</w:t>
            </w:r>
          </w:p>
        </w:tc>
        <w:tc>
          <w:tcPr>
            <w:tcW w:type="dxa" w:w="1872"/>
            <w:shd w:fill="EBF0F7" w:val="clear"/>
          </w:tcPr>
          <w:p>
            <w:pPr>
              <w:jc w:val="center"/>
            </w:pPr>
            <w:r>
              <w:rPr>
                <w:sz w:val="18"/>
              </w:rPr>
              <w:t>157</w:t>
            </w:r>
          </w:p>
        </w:tc>
        <w:tc>
          <w:tcPr>
            <w:tcW w:type="dxa" w:w="1872"/>
            <w:shd w:fill="EBF0F7" w:val="clear"/>
          </w:tcPr>
          <w:p>
            <w:pPr>
              <w:jc w:val="center"/>
            </w:pPr>
            <w:r>
              <w:rPr>
                <w:sz w:val="18"/>
              </w:rPr>
              <w:t>15.58%</w:t>
            </w:r>
          </w:p>
        </w:tc>
        <w:tc>
          <w:tcPr>
            <w:tcW w:type="dxa" w:w="1872"/>
            <w:shd w:fill="EBF0F7" w:val="clear"/>
          </w:tcPr>
          <w:p>
            <w:pPr>
              <w:jc w:val="center"/>
            </w:pPr>
            <w:r>
              <w:rPr>
                <w:sz w:val="18"/>
              </w:rPr>
              <w:t>25.77%</w:t>
            </w:r>
          </w:p>
        </w:tc>
        <w:tc>
          <w:tcPr>
            <w:tcW w:type="dxa" w:w="1872"/>
            <w:shd w:fill="EBF0F7" w:val="clear"/>
          </w:tcPr>
          <w:p>
            <w:pPr>
              <w:jc w:val="center"/>
            </w:pPr>
            <w:r>
              <w:rPr>
                <w:sz w:val="18"/>
              </w:rPr>
              <w:t>38.15%</w:t>
            </w:r>
          </w:p>
        </w:tc>
      </w:tr>
      <w:tr>
        <w:tc>
          <w:tcPr>
            <w:tcW w:type="dxa" w:w="1872"/>
          </w:tcPr>
          <w:p>
            <w:pPr>
              <w:jc w:val="center"/>
            </w:pPr>
            <w:r>
              <w:rPr>
                <w:sz w:val="18"/>
              </w:rPr>
              <w:t>1</w:t>
            </w:r>
          </w:p>
        </w:tc>
        <w:tc>
          <w:tcPr>
            <w:tcW w:type="dxa" w:w="1872"/>
          </w:tcPr>
          <w:p>
            <w:pPr>
              <w:jc w:val="center"/>
            </w:pPr>
            <w:r>
              <w:rPr>
                <w:sz w:val="18"/>
              </w:rPr>
              <w:t>71</w:t>
            </w:r>
          </w:p>
        </w:tc>
        <w:tc>
          <w:tcPr>
            <w:tcW w:type="dxa" w:w="1872"/>
          </w:tcPr>
          <w:p>
            <w:pPr>
              <w:jc w:val="center"/>
            </w:pPr>
            <w:r>
              <w:rPr>
                <w:sz w:val="18"/>
              </w:rPr>
              <w:t>12.93%</w:t>
            </w:r>
          </w:p>
        </w:tc>
        <w:tc>
          <w:tcPr>
            <w:tcW w:type="dxa" w:w="1872"/>
          </w:tcPr>
          <w:p>
            <w:pPr>
              <w:jc w:val="center"/>
            </w:pPr>
            <w:r>
              <w:rPr>
                <w:sz w:val="18"/>
              </w:rPr>
              <w:t>14.67%</w:t>
            </w:r>
          </w:p>
        </w:tc>
        <w:tc>
          <w:tcPr>
            <w:tcW w:type="dxa" w:w="1872"/>
          </w:tcPr>
          <w:p>
            <w:pPr>
              <w:jc w:val="center"/>
            </w:pPr>
            <w:r>
              <w:rPr>
                <w:sz w:val="18"/>
              </w:rPr>
              <w:t>21.40%</w:t>
            </w:r>
          </w:p>
        </w:tc>
      </w:tr>
      <w:tr>
        <w:tc>
          <w:tcPr>
            <w:tcW w:type="dxa" w:w="1872"/>
            <w:shd w:fill="EBF0F7" w:val="clear"/>
          </w:tcPr>
          <w:p>
            <w:pPr>
              <w:jc w:val="center"/>
            </w:pPr>
            <w:r>
              <w:rPr>
                <w:sz w:val="18"/>
              </w:rPr>
              <w:t>2</w:t>
            </w:r>
          </w:p>
        </w:tc>
        <w:tc>
          <w:tcPr>
            <w:tcW w:type="dxa" w:w="1872"/>
            <w:shd w:fill="EBF0F7" w:val="clear"/>
          </w:tcPr>
          <w:p>
            <w:pPr>
              <w:jc w:val="center"/>
            </w:pPr>
            <w:r>
              <w:rPr>
                <w:sz w:val="18"/>
              </w:rPr>
              <w:t>86</w:t>
            </w:r>
          </w:p>
        </w:tc>
        <w:tc>
          <w:tcPr>
            <w:tcW w:type="dxa" w:w="1872"/>
            <w:shd w:fill="EBF0F7" w:val="clear"/>
          </w:tcPr>
          <w:p>
            <w:pPr>
              <w:jc w:val="center"/>
            </w:pPr>
            <w:r>
              <w:rPr>
                <w:sz w:val="18"/>
              </w:rPr>
              <w:t>7.66%</w:t>
            </w:r>
          </w:p>
        </w:tc>
        <w:tc>
          <w:tcPr>
            <w:tcW w:type="dxa" w:w="1872"/>
            <w:shd w:fill="EBF0F7" w:val="clear"/>
          </w:tcPr>
          <w:p>
            <w:pPr>
              <w:jc w:val="center"/>
            </w:pPr>
            <w:r>
              <w:rPr>
                <w:sz w:val="18"/>
              </w:rPr>
              <w:t>19.32%</w:t>
            </w:r>
          </w:p>
        </w:tc>
        <w:tc>
          <w:tcPr>
            <w:tcW w:type="dxa" w:w="1872"/>
            <w:shd w:fill="EBF0F7" w:val="clear"/>
          </w:tcPr>
          <w:p>
            <w:pPr>
              <w:jc w:val="center"/>
            </w:pPr>
            <w:r>
              <w:rPr>
                <w:sz w:val="18"/>
              </w:rPr>
              <w:t>39.49%</w:t>
            </w:r>
          </w:p>
        </w:tc>
      </w:tr>
    </w:tbl>
    <w:p>
      <w:pPr>
        <w:spacing w:after="120"/>
      </w:pPr>
      <w:r>
        <w:rPr>
          <w:b w:val="0"/>
          <w:i w:val="0"/>
        </w:rPr>
      </w:r>
    </w:p>
    <w:p>
      <w:pPr>
        <w:spacing w:after="40"/>
      </w:pPr>
      <w:r>
        <w:rPr>
          <w:b/>
          <w:i w:val="0"/>
          <w:sz w:val="20"/>
        </w:rPr>
        <w:t>PatchTST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A6B" w:val="clear"/>
          </w:tcPr>
          <w:p>
            <w:pPr>
              <w:jc w:val="center"/>
            </w:pPr>
            <w:r>
              <w:rPr>
                <w:b/>
                <w:color w:val="FFFFFF"/>
                <w:sz w:val="18"/>
              </w:rPr>
              <w:t>Cluster</w:t>
            </w:r>
          </w:p>
        </w:tc>
        <w:tc>
          <w:tcPr>
            <w:tcW w:type="dxa" w:w="1872"/>
            <w:shd w:fill="1A3A6B" w:val="clear"/>
          </w:tcPr>
          <w:p>
            <w:pPr>
              <w:jc w:val="center"/>
            </w:pPr>
            <w:r>
              <w:rPr>
                <w:b/>
                <w:color w:val="FFFFFF"/>
                <w:sz w:val="18"/>
              </w:rPr>
              <w:t>Clients</w:t>
            </w:r>
          </w:p>
        </w:tc>
        <w:tc>
          <w:tcPr>
            <w:tcW w:type="dxa" w:w="1872"/>
            <w:shd w:fill="1A3A6B" w:val="clear"/>
          </w:tcPr>
          <w:p>
            <w:pPr>
              <w:jc w:val="center"/>
            </w:pPr>
            <w:r>
              <w:rPr>
                <w:b/>
                <w:color w:val="FFFFFF"/>
                <w:sz w:val="18"/>
              </w:rPr>
              <w:t>H=1h</w:t>
            </w:r>
          </w:p>
        </w:tc>
        <w:tc>
          <w:tcPr>
            <w:tcW w:type="dxa" w:w="1872"/>
            <w:shd w:fill="1A3A6B" w:val="clear"/>
          </w:tcPr>
          <w:p>
            <w:pPr>
              <w:jc w:val="center"/>
            </w:pPr>
            <w:r>
              <w:rPr>
                <w:b/>
                <w:color w:val="FFFFFF"/>
                <w:sz w:val="18"/>
              </w:rPr>
              <w:t>H=6h</w:t>
            </w:r>
          </w:p>
        </w:tc>
        <w:tc>
          <w:tcPr>
            <w:tcW w:type="dxa" w:w="1872"/>
            <w:shd w:fill="1A3A6B" w:val="clear"/>
          </w:tcPr>
          <w:p>
            <w:pPr>
              <w:jc w:val="center"/>
            </w:pPr>
            <w:r>
              <w:rPr>
                <w:b/>
                <w:color w:val="FFFFFF"/>
                <w:sz w:val="18"/>
              </w:rPr>
              <w:t>H=24h</w:t>
            </w:r>
          </w:p>
        </w:tc>
      </w:tr>
      <w:tr>
        <w:tc>
          <w:tcPr>
            <w:tcW w:type="dxa" w:w="1872"/>
            <w:shd w:fill="EBF0F7" w:val="clear"/>
          </w:tcPr>
          <w:p>
            <w:pPr>
              <w:jc w:val="center"/>
            </w:pPr>
            <w:r>
              <w:rPr>
                <w:sz w:val="18"/>
              </w:rPr>
              <w:t>0</w:t>
            </w:r>
          </w:p>
        </w:tc>
        <w:tc>
          <w:tcPr>
            <w:tcW w:type="dxa" w:w="1872"/>
            <w:shd w:fill="EBF0F7" w:val="clear"/>
          </w:tcPr>
          <w:p>
            <w:pPr>
              <w:jc w:val="center"/>
            </w:pPr>
            <w:r>
              <w:rPr>
                <w:sz w:val="18"/>
              </w:rPr>
              <w:t>157</w:t>
            </w:r>
          </w:p>
        </w:tc>
        <w:tc>
          <w:tcPr>
            <w:tcW w:type="dxa" w:w="1872"/>
            <w:shd w:fill="EBF0F7" w:val="clear"/>
          </w:tcPr>
          <w:p>
            <w:pPr>
              <w:jc w:val="center"/>
            </w:pPr>
            <w:r>
              <w:rPr>
                <w:sz w:val="18"/>
              </w:rPr>
              <w:t>13.39%</w:t>
            </w:r>
          </w:p>
        </w:tc>
        <w:tc>
          <w:tcPr>
            <w:tcW w:type="dxa" w:w="1872"/>
            <w:shd w:fill="EBF0F7" w:val="clear"/>
          </w:tcPr>
          <w:p>
            <w:pPr>
              <w:jc w:val="center"/>
            </w:pPr>
            <w:r>
              <w:rPr>
                <w:sz w:val="18"/>
              </w:rPr>
              <w:t>35.87%</w:t>
            </w:r>
          </w:p>
        </w:tc>
        <w:tc>
          <w:tcPr>
            <w:tcW w:type="dxa" w:w="1872"/>
            <w:shd w:fill="EBF0F7" w:val="clear"/>
          </w:tcPr>
          <w:p>
            <w:pPr>
              <w:jc w:val="center"/>
            </w:pPr>
            <w:r>
              <w:rPr>
                <w:sz w:val="18"/>
              </w:rPr>
              <w:t>42.45%</w:t>
            </w:r>
          </w:p>
        </w:tc>
      </w:tr>
      <w:tr>
        <w:tc>
          <w:tcPr>
            <w:tcW w:type="dxa" w:w="1872"/>
          </w:tcPr>
          <w:p>
            <w:pPr>
              <w:jc w:val="center"/>
            </w:pPr>
            <w:r>
              <w:rPr>
                <w:sz w:val="18"/>
              </w:rPr>
              <w:t>1</w:t>
            </w:r>
          </w:p>
        </w:tc>
        <w:tc>
          <w:tcPr>
            <w:tcW w:type="dxa" w:w="1872"/>
          </w:tcPr>
          <w:p>
            <w:pPr>
              <w:jc w:val="center"/>
            </w:pPr>
            <w:r>
              <w:rPr>
                <w:sz w:val="18"/>
              </w:rPr>
              <w:t>71</w:t>
            </w:r>
          </w:p>
        </w:tc>
        <w:tc>
          <w:tcPr>
            <w:tcW w:type="dxa" w:w="1872"/>
          </w:tcPr>
          <w:p>
            <w:pPr>
              <w:jc w:val="center"/>
            </w:pPr>
            <w:r>
              <w:rPr>
                <w:sz w:val="18"/>
              </w:rPr>
              <w:t>14.07%</w:t>
            </w:r>
          </w:p>
        </w:tc>
        <w:tc>
          <w:tcPr>
            <w:tcW w:type="dxa" w:w="1872"/>
          </w:tcPr>
          <w:p>
            <w:pPr>
              <w:jc w:val="center"/>
            </w:pPr>
            <w:r>
              <w:rPr>
                <w:sz w:val="18"/>
              </w:rPr>
              <w:t>22.71%</w:t>
            </w:r>
          </w:p>
        </w:tc>
        <w:tc>
          <w:tcPr>
            <w:tcW w:type="dxa" w:w="1872"/>
          </w:tcPr>
          <w:p>
            <w:pPr>
              <w:jc w:val="center"/>
            </w:pPr>
            <w:r>
              <w:rPr>
                <w:sz w:val="18"/>
              </w:rPr>
              <w:t>34.54%</w:t>
            </w:r>
          </w:p>
        </w:tc>
      </w:tr>
      <w:tr>
        <w:tc>
          <w:tcPr>
            <w:tcW w:type="dxa" w:w="1872"/>
            <w:shd w:fill="EBF0F7" w:val="clear"/>
          </w:tcPr>
          <w:p>
            <w:pPr>
              <w:jc w:val="center"/>
            </w:pPr>
            <w:r>
              <w:rPr>
                <w:sz w:val="18"/>
              </w:rPr>
              <w:t>2</w:t>
            </w:r>
          </w:p>
        </w:tc>
        <w:tc>
          <w:tcPr>
            <w:tcW w:type="dxa" w:w="1872"/>
            <w:shd w:fill="EBF0F7" w:val="clear"/>
          </w:tcPr>
          <w:p>
            <w:pPr>
              <w:jc w:val="center"/>
            </w:pPr>
            <w:r>
              <w:rPr>
                <w:sz w:val="18"/>
              </w:rPr>
              <w:t>86</w:t>
            </w:r>
          </w:p>
        </w:tc>
        <w:tc>
          <w:tcPr>
            <w:tcW w:type="dxa" w:w="1872"/>
            <w:shd w:fill="EBF0F7" w:val="clear"/>
          </w:tcPr>
          <w:p>
            <w:pPr>
              <w:jc w:val="center"/>
            </w:pPr>
            <w:r>
              <w:rPr>
                <w:sz w:val="18"/>
              </w:rPr>
              <w:t>11.83%</w:t>
            </w:r>
          </w:p>
        </w:tc>
        <w:tc>
          <w:tcPr>
            <w:tcW w:type="dxa" w:w="1872"/>
            <w:shd w:fill="EBF0F7" w:val="clear"/>
          </w:tcPr>
          <w:p>
            <w:pPr>
              <w:jc w:val="center"/>
            </w:pPr>
            <w:r>
              <w:rPr>
                <w:sz w:val="18"/>
              </w:rPr>
              <w:t>38.70%</w:t>
            </w:r>
          </w:p>
        </w:tc>
        <w:tc>
          <w:tcPr>
            <w:tcW w:type="dxa" w:w="1872"/>
            <w:shd w:fill="EBF0F7" w:val="clear"/>
          </w:tcPr>
          <w:p>
            <w:pPr>
              <w:jc w:val="center"/>
            </w:pPr>
            <w:r>
              <w:rPr>
                <w:sz w:val="18"/>
              </w:rPr>
              <w:t>53.74%</w:t>
            </w:r>
          </w:p>
        </w:tc>
      </w:tr>
    </w:tbl>
    <w:p>
      <w:pPr>
        <w:spacing w:after="120"/>
      </w:pPr>
      <w:r>
        <w:rPr>
          <w:b w:val="0"/>
          <w:i w:val="0"/>
        </w:rPr>
      </w:r>
    </w:p>
    <w:p>
      <w:pPr>
        <w:pStyle w:val="Heading2"/>
      </w:pPr>
      <w:r>
        <w:rPr>
          <w:color w:val="1A3A6B"/>
        </w:rPr>
        <w:t>8.3 Best Model per Cluster and Horizon</w:t>
      </w:r>
    </w:p>
    <w:tbl>
      <w:tblPr>
        <w:tblW w:type="auto" w:w="0"/>
        <w:jc w:val="center"/>
        <w:tblLook w:firstColumn="1" w:firstRow="1" w:lastColumn="0" w:lastRow="0" w:noHBand="0" w:noVBand="1" w:val="04A0"/>
      </w:tblPr>
      <w:tblGrid>
        <w:gridCol w:w="2340"/>
        <w:gridCol w:w="2340"/>
        <w:gridCol w:w="2340"/>
        <w:gridCol w:w="2340"/>
      </w:tblGrid>
      <w:tr>
        <w:tc>
          <w:tcPr>
            <w:tcW w:type="dxa" w:w="2340"/>
            <w:shd w:fill="1A3A6B" w:val="clear"/>
          </w:tcPr>
          <w:p>
            <w:pPr>
              <w:jc w:val="center"/>
            </w:pPr>
            <w:r>
              <w:rPr>
                <w:b/>
                <w:color w:val="FFFFFF"/>
                <w:sz w:val="18"/>
              </w:rPr>
              <w:t>Cluster</w:t>
            </w:r>
          </w:p>
        </w:tc>
        <w:tc>
          <w:tcPr>
            <w:tcW w:type="dxa" w:w="2340"/>
            <w:shd w:fill="1A3A6B" w:val="clear"/>
          </w:tcPr>
          <w:p>
            <w:pPr>
              <w:jc w:val="center"/>
            </w:pPr>
            <w:r>
              <w:rPr>
                <w:b/>
                <w:color w:val="FFFFFF"/>
                <w:sz w:val="18"/>
              </w:rPr>
              <w:t>H=1h Best</w:t>
            </w:r>
          </w:p>
        </w:tc>
        <w:tc>
          <w:tcPr>
            <w:tcW w:type="dxa" w:w="2340"/>
            <w:shd w:fill="1A3A6B" w:val="clear"/>
          </w:tcPr>
          <w:p>
            <w:pPr>
              <w:jc w:val="center"/>
            </w:pPr>
            <w:r>
              <w:rPr>
                <w:b/>
                <w:color w:val="FFFFFF"/>
                <w:sz w:val="18"/>
              </w:rPr>
              <w:t>H=6h Best</w:t>
            </w:r>
          </w:p>
        </w:tc>
        <w:tc>
          <w:tcPr>
            <w:tcW w:type="dxa" w:w="2340"/>
            <w:shd w:fill="1A3A6B" w:val="clear"/>
          </w:tcPr>
          <w:p>
            <w:pPr>
              <w:jc w:val="center"/>
            </w:pPr>
            <w:r>
              <w:rPr>
                <w:b/>
                <w:color w:val="FFFFFF"/>
                <w:sz w:val="18"/>
              </w:rPr>
              <w:t>H=24h Best</w:t>
            </w:r>
          </w:p>
        </w:tc>
      </w:tr>
      <w:tr>
        <w:tc>
          <w:tcPr>
            <w:tcW w:type="dxa" w:w="2340"/>
            <w:shd w:fill="EBF0F7" w:val="clear"/>
          </w:tcPr>
          <w:p>
            <w:pPr>
              <w:jc w:val="center"/>
            </w:pPr>
            <w:r>
              <w:rPr>
                <w:sz w:val="18"/>
              </w:rPr>
              <w:t>0 (157 clients)</w:t>
            </w:r>
          </w:p>
        </w:tc>
        <w:tc>
          <w:tcPr>
            <w:tcW w:type="dxa" w:w="2340"/>
            <w:shd w:fill="EBF0F7" w:val="clear"/>
          </w:tcPr>
          <w:p>
            <w:pPr>
              <w:jc w:val="center"/>
            </w:pPr>
            <w:r>
              <w:rPr>
                <w:sz w:val="18"/>
              </w:rPr>
              <w:t>PatchTST (13.39%)</w:t>
            </w:r>
          </w:p>
        </w:tc>
        <w:tc>
          <w:tcPr>
            <w:tcW w:type="dxa" w:w="2340"/>
            <w:shd w:fill="EBF0F7" w:val="clear"/>
          </w:tcPr>
          <w:p>
            <w:pPr>
              <w:jc w:val="center"/>
            </w:pPr>
            <w:r>
              <w:rPr>
                <w:sz w:val="18"/>
              </w:rPr>
              <w:t>Transformer (25.77%)</w:t>
            </w:r>
          </w:p>
        </w:tc>
        <w:tc>
          <w:tcPr>
            <w:tcW w:type="dxa" w:w="2340"/>
            <w:shd w:fill="EBF0F7" w:val="clear"/>
          </w:tcPr>
          <w:p>
            <w:pPr>
              <w:jc w:val="center"/>
            </w:pPr>
            <w:r>
              <w:rPr>
                <w:sz w:val="18"/>
              </w:rPr>
              <w:t>Transformer (38.15%)</w:t>
            </w:r>
          </w:p>
        </w:tc>
      </w:tr>
      <w:tr>
        <w:tc>
          <w:tcPr>
            <w:tcW w:type="dxa" w:w="2340"/>
          </w:tcPr>
          <w:p>
            <w:pPr>
              <w:jc w:val="center"/>
            </w:pPr>
            <w:r>
              <w:rPr>
                <w:sz w:val="18"/>
              </w:rPr>
              <w:t>1 (71 clients)</w:t>
            </w:r>
          </w:p>
        </w:tc>
        <w:tc>
          <w:tcPr>
            <w:tcW w:type="dxa" w:w="2340"/>
          </w:tcPr>
          <w:p>
            <w:pPr>
              <w:jc w:val="center"/>
            </w:pPr>
            <w:r>
              <w:rPr>
                <w:sz w:val="18"/>
              </w:rPr>
              <w:t>Transformer (12.93%)</w:t>
            </w:r>
          </w:p>
        </w:tc>
        <w:tc>
          <w:tcPr>
            <w:tcW w:type="dxa" w:w="2340"/>
          </w:tcPr>
          <w:p>
            <w:pPr>
              <w:jc w:val="center"/>
            </w:pPr>
            <w:r>
              <w:rPr>
                <w:sz w:val="18"/>
              </w:rPr>
              <w:t>Transformer (14.67%)</w:t>
            </w:r>
          </w:p>
        </w:tc>
        <w:tc>
          <w:tcPr>
            <w:tcW w:type="dxa" w:w="2340"/>
          </w:tcPr>
          <w:p>
            <w:pPr>
              <w:jc w:val="center"/>
            </w:pPr>
            <w:r>
              <w:rPr>
                <w:sz w:val="18"/>
              </w:rPr>
              <w:t>Transformer (21.40%)</w:t>
            </w:r>
          </w:p>
        </w:tc>
      </w:tr>
      <w:tr>
        <w:tc>
          <w:tcPr>
            <w:tcW w:type="dxa" w:w="2340"/>
            <w:shd w:fill="EBF0F7" w:val="clear"/>
          </w:tcPr>
          <w:p>
            <w:pPr>
              <w:jc w:val="center"/>
            </w:pPr>
            <w:r>
              <w:rPr>
                <w:sz w:val="18"/>
              </w:rPr>
              <w:t>2 (86 clients)</w:t>
            </w:r>
          </w:p>
        </w:tc>
        <w:tc>
          <w:tcPr>
            <w:tcW w:type="dxa" w:w="2340"/>
            <w:shd w:fill="EBF0F7" w:val="clear"/>
          </w:tcPr>
          <w:p>
            <w:pPr>
              <w:jc w:val="center"/>
            </w:pPr>
            <w:r>
              <w:rPr>
                <w:sz w:val="18"/>
              </w:rPr>
              <w:t>Transformer (7.66%)</w:t>
            </w:r>
          </w:p>
        </w:tc>
        <w:tc>
          <w:tcPr>
            <w:tcW w:type="dxa" w:w="2340"/>
            <w:shd w:fill="EBF0F7" w:val="clear"/>
          </w:tcPr>
          <w:p>
            <w:pPr>
              <w:jc w:val="center"/>
            </w:pPr>
            <w:r>
              <w:rPr>
                <w:sz w:val="18"/>
              </w:rPr>
              <w:t>Transformer (19.32%)</w:t>
            </w:r>
          </w:p>
        </w:tc>
        <w:tc>
          <w:tcPr>
            <w:tcW w:type="dxa" w:w="2340"/>
            <w:shd w:fill="EBF0F7" w:val="clear"/>
          </w:tcPr>
          <w:p>
            <w:pPr>
              <w:jc w:val="center"/>
            </w:pPr>
            <w:r>
              <w:rPr>
                <w:sz w:val="18"/>
              </w:rPr>
              <w:t>Transformer (39.49%)</w:t>
            </w:r>
          </w:p>
        </w:tc>
      </w:tr>
    </w:tbl>
    <w:p>
      <w:pPr>
        <w:spacing w:after="120"/>
      </w:pPr>
      <w:r>
        <w:rPr>
          <w:b w:val="0"/>
          <w:i w:val="0"/>
        </w:rPr>
      </w:r>
    </w:p>
    <w:p>
      <w:pPr>
        <w:spacing w:after="120"/>
      </w:pPr>
      <w:r>
        <w:rPr>
          <w:b w:val="0"/>
          <w:i w:val="0"/>
        </w:rPr>
        <w:t>The Transformer wins 8 of 9 cluster-horizon combinations. PatchTST only wins for Cluster 0 at H=1h, where its patch-based local attention captures short-term patterns in the medium-load residential group slightly better than the Transformer's global attention.</w:t>
      </w:r>
    </w:p>
    <w:p>
      <w:pPr>
        <w:pStyle w:val="Heading2"/>
      </w:pPr>
      <w:r>
        <w:rPr>
          <w:color w:val="1A3A6B"/>
        </w:rPr>
        <w:t>8.4 MAPE Comparison Chart</w:t>
      </w:r>
    </w:p>
    <w:p>
      <w:pPr>
        <w:jc w:val="center"/>
      </w:pPr>
      <w:r>
        <w:drawing>
          <wp:inline xmlns:a="http://schemas.openxmlformats.org/drawingml/2006/main" xmlns:pic="http://schemas.openxmlformats.org/drawingml/2006/picture">
            <wp:extent cx="5486400" cy="1815173"/>
            <wp:docPr id="1" name="Picture 1"/>
            <wp:cNvGraphicFramePr>
              <a:graphicFrameLocks noChangeAspect="1"/>
            </wp:cNvGraphicFramePr>
            <a:graphic>
              <a:graphicData uri="http://schemas.openxmlformats.org/drawingml/2006/picture">
                <pic:pic>
                  <pic:nvPicPr>
                    <pic:cNvPr id="0" name="mape_comparison.png"/>
                    <pic:cNvPicPr/>
                  </pic:nvPicPr>
                  <pic:blipFill>
                    <a:blip r:embed="rId9"/>
                    <a:stretch>
                      <a:fillRect/>
                    </a:stretch>
                  </pic:blipFill>
                  <pic:spPr>
                    <a:xfrm>
                      <a:off x="0" y="0"/>
                      <a:ext cx="5486400" cy="1815173"/>
                    </a:xfrm>
                    <a:prstGeom prst="rect"/>
                  </pic:spPr>
                </pic:pic>
              </a:graphicData>
            </a:graphic>
          </wp:inline>
        </w:drawing>
      </w:r>
    </w:p>
    <w:p>
      <w:pPr>
        <w:jc w:val="center"/>
      </w:pPr>
      <w:r>
        <w:rPr>
          <w:i/>
          <w:color w:val="666666"/>
          <w:sz w:val="18"/>
        </w:rPr>
        <w:t>Figure 1: MAPE comparison across all 4 models, 3 clusters, and 3 horizons.</w:t>
      </w:r>
    </w:p>
    <w:p>
      <w:pPr>
        <w:pStyle w:val="Heading2"/>
      </w:pPr>
      <w:r>
        <w:rPr>
          <w:color w:val="1A3A6B"/>
        </w:rPr>
        <w:t>8.5 Sample Forecast Plots (H=24h)</w:t>
      </w:r>
    </w:p>
    <w:p>
      <w:pPr>
        <w:spacing w:after="120"/>
      </w:pPr>
      <w:r>
        <w:rPr>
          <w:b w:val="0"/>
          <w:i w:val="0"/>
        </w:rPr>
        <w:t>The following plots show actual vs. predicted load for the first 200 test samples (first forecast step) using the best-performing model for each cluster at H=24h.</w:t>
      </w:r>
    </w:p>
    <w:p>
      <w:pPr>
        <w:jc w:val="center"/>
      </w:pPr>
      <w:r>
        <w:drawing>
          <wp:inline xmlns:a="http://schemas.openxmlformats.org/drawingml/2006/main" xmlns:pic="http://schemas.openxmlformats.org/drawingml/2006/picture">
            <wp:extent cx="5029200" cy="1766494"/>
            <wp:docPr id="2" name="Picture 2"/>
            <wp:cNvGraphicFramePr>
              <a:graphicFrameLocks noChangeAspect="1"/>
            </wp:cNvGraphicFramePr>
            <a:graphic>
              <a:graphicData uri="http://schemas.openxmlformats.org/drawingml/2006/picture">
                <pic:pic>
                  <pic:nvPicPr>
                    <pic:cNvPr id="0" name="forecast_transformer_cluster0_h24.png"/>
                    <pic:cNvPicPr/>
                  </pic:nvPicPr>
                  <pic:blipFill>
                    <a:blip r:embed="rId10"/>
                    <a:stretch>
                      <a:fillRect/>
                    </a:stretch>
                  </pic:blipFill>
                  <pic:spPr>
                    <a:xfrm>
                      <a:off x="0" y="0"/>
                      <a:ext cx="5029200" cy="1766494"/>
                    </a:xfrm>
                    <a:prstGeom prst="rect"/>
                  </pic:spPr>
                </pic:pic>
              </a:graphicData>
            </a:graphic>
          </wp:inline>
        </w:drawing>
      </w:r>
    </w:p>
    <w:p>
      <w:pPr>
        <w:jc w:val="center"/>
      </w:pPr>
      <w:r>
        <w:rPr>
          <w:i/>
          <w:color w:val="666666"/>
          <w:sz w:val="18"/>
        </w:rPr>
        <w:t>Figure 2: Transformer forecast vs actual — Cluster 0 (medium-load), H=24h.</w:t>
      </w:r>
    </w:p>
    <w:p>
      <w:pPr>
        <w:jc w:val="center"/>
      </w:pPr>
      <w:r>
        <w:drawing>
          <wp:inline xmlns:a="http://schemas.openxmlformats.org/drawingml/2006/main" xmlns:pic="http://schemas.openxmlformats.org/drawingml/2006/picture">
            <wp:extent cx="5029200" cy="1766494"/>
            <wp:docPr id="3" name="Picture 3"/>
            <wp:cNvGraphicFramePr>
              <a:graphicFrameLocks noChangeAspect="1"/>
            </wp:cNvGraphicFramePr>
            <a:graphic>
              <a:graphicData uri="http://schemas.openxmlformats.org/drawingml/2006/picture">
                <pic:pic>
                  <pic:nvPicPr>
                    <pic:cNvPr id="0" name="forecast_transformer_cluster1_h24.png"/>
                    <pic:cNvPicPr/>
                  </pic:nvPicPr>
                  <pic:blipFill>
                    <a:blip r:embed="rId11"/>
                    <a:stretch>
                      <a:fillRect/>
                    </a:stretch>
                  </pic:blipFill>
                  <pic:spPr>
                    <a:xfrm>
                      <a:off x="0" y="0"/>
                      <a:ext cx="5029200" cy="1766494"/>
                    </a:xfrm>
                    <a:prstGeom prst="rect"/>
                  </pic:spPr>
                </pic:pic>
              </a:graphicData>
            </a:graphic>
          </wp:inline>
        </w:drawing>
      </w:r>
    </w:p>
    <w:p>
      <w:pPr>
        <w:jc w:val="center"/>
      </w:pPr>
      <w:r>
        <w:rPr>
          <w:i/>
          <w:color w:val="666666"/>
          <w:sz w:val="18"/>
        </w:rPr>
        <w:t>Figure 3: Transformer forecast vs actual — Cluster 1 (low-load), H=24h.</w:t>
      </w:r>
    </w:p>
    <w:p>
      <w:pPr>
        <w:jc w:val="center"/>
      </w:pPr>
      <w:r>
        <w:drawing>
          <wp:inline xmlns:a="http://schemas.openxmlformats.org/drawingml/2006/main" xmlns:pic="http://schemas.openxmlformats.org/drawingml/2006/picture">
            <wp:extent cx="5029200" cy="1766494"/>
            <wp:docPr id="4" name="Picture 4"/>
            <wp:cNvGraphicFramePr>
              <a:graphicFrameLocks noChangeAspect="1"/>
            </wp:cNvGraphicFramePr>
            <a:graphic>
              <a:graphicData uri="http://schemas.openxmlformats.org/drawingml/2006/picture">
                <pic:pic>
                  <pic:nvPicPr>
                    <pic:cNvPr id="0" name="forecast_transformer_cluster2_h24.png"/>
                    <pic:cNvPicPr/>
                  </pic:nvPicPr>
                  <pic:blipFill>
                    <a:blip r:embed="rId12"/>
                    <a:stretch>
                      <a:fillRect/>
                    </a:stretch>
                  </pic:blipFill>
                  <pic:spPr>
                    <a:xfrm>
                      <a:off x="0" y="0"/>
                      <a:ext cx="5029200" cy="1766494"/>
                    </a:xfrm>
                    <a:prstGeom prst="rect"/>
                  </pic:spPr>
                </pic:pic>
              </a:graphicData>
            </a:graphic>
          </wp:inline>
        </w:drawing>
      </w:r>
    </w:p>
    <w:p>
      <w:pPr>
        <w:jc w:val="center"/>
      </w:pPr>
      <w:r>
        <w:rPr>
          <w:i/>
          <w:color w:val="666666"/>
          <w:sz w:val="18"/>
        </w:rPr>
        <w:t>Figure 4: Transformer forecast vs actual — Cluster 2 (high-load), H=24h.</w:t>
      </w:r>
    </w:p>
    <w:p>
      <w:r>
        <w:br w:type="page"/>
      </w:r>
    </w:p>
    <w:p>
      <w:pPr>
        <w:pStyle w:val="Heading1"/>
      </w:pPr>
      <w:r>
        <w:rPr>
          <w:color w:val="1A3A6B"/>
        </w:rPr>
        <w:t>9. Model Comparison &amp; Analysis</w:t>
      </w:r>
    </w:p>
    <w:p>
      <w:pPr>
        <w:pStyle w:val="Heading2"/>
      </w:pPr>
      <w:r>
        <w:rPr>
          <w:color w:val="1A3A6B"/>
        </w:rPr>
        <w:t>9.1 Why Transformer Wins</w:t>
      </w:r>
    </w:p>
    <w:p>
      <w:pPr>
        <w:spacing w:after="120"/>
      </w:pPr>
      <w:r>
        <w:rPr>
          <w:b w:val="0"/>
          <w:i w:val="0"/>
        </w:rPr>
        <w:t>The encoder-only Transformer's global self-attention mechanism allows it to attend to any position in the 168-step lookback window, capturing long-range weekly seasonality and complex multi-scale patterns that local methods (LSTM, TCN) miss. Key observations:</w:t>
      </w:r>
    </w:p>
    <w:p>
      <w:pPr>
        <w:pStyle w:val="ListBullet"/>
      </w:pPr>
      <w:r>
        <w:rPr>
          <w:b/>
        </w:rPr>
        <w:t xml:space="preserve">Short-horizon: </w:t>
      </w:r>
      <w:r>
        <w:t>At H=1h, the Transformer's advantage is moderate (12.81% vs 13.12% PatchTST) because short-term forecasting relies more on recent local patterns than global context.</w:t>
      </w:r>
    </w:p>
    <w:p>
      <w:pPr>
        <w:pStyle w:val="ListBullet"/>
      </w:pPr>
      <w:r>
        <w:rPr>
          <w:b/>
        </w:rPr>
        <w:t xml:space="preserve">Longer horizons: </w:t>
      </w:r>
      <w:r>
        <w:t>At H=6h and H=24h, the gap widens significantly (21.49% vs 29.05% TCN at H=6h; 34.73% vs 37.99% at H=24h), as longer horizons require understanding broader temporal structure.</w:t>
      </w:r>
    </w:p>
    <w:p>
      <w:pPr>
        <w:pStyle w:val="ListBullet"/>
      </w:pPr>
      <w:r>
        <w:rPr>
          <w:b/>
        </w:rPr>
        <w:t xml:space="preserve">High-load clients: </w:t>
      </w:r>
      <w:r>
        <w:t>Cluster 2 (high-load industrial) shows the most dramatic improvement: Transformer achieves 7.66% vs 11.29% TCN at H=1h, a 32% relative improvement.</w:t>
      </w:r>
    </w:p>
    <w:p>
      <w:pPr>
        <w:pStyle w:val="Heading2"/>
      </w:pPr>
      <w:r>
        <w:rPr>
          <w:color w:val="1A3A6B"/>
        </w:rPr>
        <w:t>9.2 PatchTST: Competitive but Specialized</w:t>
      </w:r>
    </w:p>
    <w:p>
      <w:pPr>
        <w:spacing w:after="120"/>
      </w:pPr>
      <w:r>
        <w:rPr>
          <w:b w:val="0"/>
          <w:i w:val="0"/>
        </w:rPr>
        <w:t>PatchTST's patch tokenization reduces the effective sequence length from 168 to ~20 tokens, making it the fastest model to train (9s/epoch vs 77s for Transformer). It excels at H=1h where local patch patterns suffice, but struggles at longer horizons where cross-patch dependencies become critical. The 50% patch overlap (stride=8, size=16) partially mitigates boundary artifacts but does not fully resolve the information bottleneck at patch boundaries.</w:t>
      </w:r>
    </w:p>
    <w:p>
      <w:pPr>
        <w:pStyle w:val="Heading2"/>
      </w:pPr>
      <w:r>
        <w:rPr>
          <w:color w:val="1A3A6B"/>
        </w:rPr>
        <w:t>9.3 LSTM vs TCN: Classical Comparison</w:t>
      </w:r>
    </w:p>
    <w:p>
      <w:pPr>
        <w:spacing w:after="120"/>
      </w:pPr>
      <w:r>
        <w:rPr>
          <w:b w:val="0"/>
          <w:i w:val="0"/>
        </w:rPr>
        <w:t>The TCN consistently outperforms the LSTM across all horizons (20.02% vs 26.27% at H=1h, 37.99% vs 44.01% at H=24h). This aligns with Bai et al. (2018), who showed that generic convolutional architectures can match or exceed recurrent networks on sequence modeling tasks. The TCN's advantages stem from parallel computation, stable gradient flow via residual connections, and its fixed but explicit receptive field.</w:t>
      </w:r>
    </w:p>
    <w:p>
      <w:pPr>
        <w:pStyle w:val="Heading2"/>
      </w:pPr>
      <w:r>
        <w:rPr>
          <w:color w:val="1A3A6B"/>
        </w:rPr>
        <w:t>9.4 Test Period Stability</w:t>
      </w:r>
    </w:p>
    <w:p>
      <w:pPr>
        <w:spacing w:after="120"/>
      </w:pPr>
      <w:r>
        <w:rPr>
          <w:b w:val="0"/>
          <w:i w:val="0"/>
        </w:rPr>
        <w:t>All models show elevated MAPE in Period 1 (May–June 2014), likely due to the transition from the training period distribution. Periods 2–4 show more stable performance. The Transformer exhibits the most stable period-to-period performance, particularly for Cluster 1 (low-load clients) where period MAPEs range from 9.89% to 16.77% at H=1h compared to LSTM's 24.67% to 30.66%.</w:t>
      </w:r>
    </w:p>
    <w:p>
      <w:pPr>
        <w:pStyle w:val="Heading2"/>
      </w:pPr>
      <w:r>
        <w:rPr>
          <w:color w:val="1A3A6B"/>
        </w:rPr>
        <w:t>9.5 Training Efficiency</w:t>
      </w:r>
    </w:p>
    <w:tbl>
      <w:tblPr>
        <w:tblW w:type="auto" w:w="0"/>
        <w:jc w:val="center"/>
        <w:tblLook w:firstColumn="1" w:firstRow="1" w:lastColumn="0" w:lastRow="0" w:noHBand="0" w:noVBand="1" w:val="04A0"/>
      </w:tblPr>
      <w:tblGrid>
        <w:gridCol w:w="2340"/>
        <w:gridCol w:w="2340"/>
        <w:gridCol w:w="2340"/>
        <w:gridCol w:w="2340"/>
      </w:tblGrid>
      <w:tr>
        <w:tc>
          <w:tcPr>
            <w:tcW w:type="dxa" w:w="2340"/>
            <w:shd w:fill="1A3A6B" w:val="clear"/>
          </w:tcPr>
          <w:p>
            <w:pPr>
              <w:jc w:val="center"/>
            </w:pPr>
            <w:r>
              <w:rPr>
                <w:b/>
                <w:color w:val="FFFFFF"/>
                <w:sz w:val="18"/>
              </w:rPr>
              <w:t>Model</w:t>
            </w:r>
          </w:p>
        </w:tc>
        <w:tc>
          <w:tcPr>
            <w:tcW w:type="dxa" w:w="2340"/>
            <w:shd w:fill="1A3A6B" w:val="clear"/>
          </w:tcPr>
          <w:p>
            <w:pPr>
              <w:jc w:val="center"/>
            </w:pPr>
            <w:r>
              <w:rPr>
                <w:b/>
                <w:color w:val="FFFFFF"/>
                <w:sz w:val="18"/>
              </w:rPr>
              <w:t>Avg Time/Model</w:t>
            </w:r>
          </w:p>
        </w:tc>
        <w:tc>
          <w:tcPr>
            <w:tcW w:type="dxa" w:w="2340"/>
            <w:shd w:fill="1A3A6B" w:val="clear"/>
          </w:tcPr>
          <w:p>
            <w:pPr>
              <w:jc w:val="center"/>
            </w:pPr>
            <w:r>
              <w:rPr>
                <w:b/>
                <w:color w:val="FFFFFF"/>
                <w:sz w:val="18"/>
              </w:rPr>
              <w:t>Total (36 models)</w:t>
            </w:r>
          </w:p>
        </w:tc>
        <w:tc>
          <w:tcPr>
            <w:tcW w:type="dxa" w:w="2340"/>
            <w:shd w:fill="1A3A6B" w:val="clear"/>
          </w:tcPr>
          <w:p>
            <w:pPr>
              <w:jc w:val="center"/>
            </w:pPr>
            <w:r>
              <w:rPr>
                <w:b/>
                <w:color w:val="FFFFFF"/>
                <w:sz w:val="18"/>
              </w:rPr>
              <w:t>Epochs to Converge</w:t>
            </w:r>
          </w:p>
        </w:tc>
      </w:tr>
      <w:tr>
        <w:tc>
          <w:tcPr>
            <w:tcW w:type="dxa" w:w="2340"/>
            <w:shd w:fill="EBF0F7" w:val="clear"/>
          </w:tcPr>
          <w:p>
            <w:pPr>
              <w:jc w:val="center"/>
            </w:pPr>
            <w:r>
              <w:rPr>
                <w:sz w:val="18"/>
              </w:rPr>
              <w:t>LSTM</w:t>
            </w:r>
          </w:p>
        </w:tc>
        <w:tc>
          <w:tcPr>
            <w:tcW w:type="dxa" w:w="2340"/>
            <w:shd w:fill="EBF0F7" w:val="clear"/>
          </w:tcPr>
          <w:p>
            <w:pPr>
              <w:jc w:val="center"/>
            </w:pPr>
            <w:r>
              <w:rPr>
                <w:sz w:val="18"/>
              </w:rPr>
              <w:t>~108s</w:t>
            </w:r>
          </w:p>
        </w:tc>
        <w:tc>
          <w:tcPr>
            <w:tcW w:type="dxa" w:w="2340"/>
            <w:shd w:fill="EBF0F7" w:val="clear"/>
          </w:tcPr>
          <w:p>
            <w:pPr>
              <w:jc w:val="center"/>
            </w:pPr>
            <w:r>
              <w:rPr>
                <w:sz w:val="18"/>
              </w:rPr>
              <w:t>~65 min</w:t>
            </w:r>
          </w:p>
        </w:tc>
        <w:tc>
          <w:tcPr>
            <w:tcW w:type="dxa" w:w="2340"/>
            <w:shd w:fill="EBF0F7" w:val="clear"/>
          </w:tcPr>
          <w:p>
            <w:pPr>
              <w:jc w:val="center"/>
            </w:pPr>
            <w:r>
              <w:rPr>
                <w:sz w:val="18"/>
              </w:rPr>
              <w:t>5–7 (early stop)</w:t>
            </w:r>
          </w:p>
        </w:tc>
      </w:tr>
      <w:tr>
        <w:tc>
          <w:tcPr>
            <w:tcW w:type="dxa" w:w="2340"/>
          </w:tcPr>
          <w:p>
            <w:pPr>
              <w:jc w:val="center"/>
            </w:pPr>
            <w:r>
              <w:rPr>
                <w:sz w:val="18"/>
              </w:rPr>
              <w:t>TCN</w:t>
            </w:r>
          </w:p>
        </w:tc>
        <w:tc>
          <w:tcPr>
            <w:tcW w:type="dxa" w:w="2340"/>
          </w:tcPr>
          <w:p>
            <w:pPr>
              <w:jc w:val="center"/>
            </w:pPr>
            <w:r>
              <w:rPr>
                <w:sz w:val="18"/>
              </w:rPr>
              <w:t>~270s</w:t>
            </w:r>
          </w:p>
        </w:tc>
        <w:tc>
          <w:tcPr>
            <w:tcW w:type="dxa" w:w="2340"/>
          </w:tcPr>
          <w:p>
            <w:pPr>
              <w:jc w:val="center"/>
            </w:pPr>
            <w:r>
              <w:rPr>
                <w:sz w:val="18"/>
              </w:rPr>
              <w:t>~162 min</w:t>
            </w:r>
          </w:p>
        </w:tc>
        <w:tc>
          <w:tcPr>
            <w:tcW w:type="dxa" w:w="2340"/>
          </w:tcPr>
          <w:p>
            <w:pPr>
              <w:jc w:val="center"/>
            </w:pPr>
            <w:r>
              <w:rPr>
                <w:sz w:val="18"/>
              </w:rPr>
              <w:t>7–10</w:t>
            </w:r>
          </w:p>
        </w:tc>
      </w:tr>
      <w:tr>
        <w:tc>
          <w:tcPr>
            <w:tcW w:type="dxa" w:w="2340"/>
            <w:shd w:fill="EBF0F7" w:val="clear"/>
          </w:tcPr>
          <w:p>
            <w:pPr>
              <w:jc w:val="center"/>
            </w:pPr>
            <w:r>
              <w:rPr>
                <w:sz w:val="18"/>
              </w:rPr>
              <w:t>Transformer</w:t>
            </w:r>
          </w:p>
        </w:tc>
        <w:tc>
          <w:tcPr>
            <w:tcW w:type="dxa" w:w="2340"/>
            <w:shd w:fill="EBF0F7" w:val="clear"/>
          </w:tcPr>
          <w:p>
            <w:pPr>
              <w:jc w:val="center"/>
            </w:pPr>
            <w:r>
              <w:rPr>
                <w:sz w:val="18"/>
              </w:rPr>
              <w:t>~421s</w:t>
            </w:r>
          </w:p>
        </w:tc>
        <w:tc>
          <w:tcPr>
            <w:tcW w:type="dxa" w:w="2340"/>
            <w:shd w:fill="EBF0F7" w:val="clear"/>
          </w:tcPr>
          <w:p>
            <w:pPr>
              <w:jc w:val="center"/>
            </w:pPr>
            <w:r>
              <w:rPr>
                <w:sz w:val="18"/>
              </w:rPr>
              <w:t>~252 min</w:t>
            </w:r>
          </w:p>
        </w:tc>
        <w:tc>
          <w:tcPr>
            <w:tcW w:type="dxa" w:w="2340"/>
            <w:shd w:fill="EBF0F7" w:val="clear"/>
          </w:tcPr>
          <w:p>
            <w:pPr>
              <w:jc w:val="center"/>
            </w:pPr>
            <w:r>
              <w:rPr>
                <w:sz w:val="18"/>
              </w:rPr>
              <w:t>5–7 (early stop)</w:t>
            </w:r>
          </w:p>
        </w:tc>
      </w:tr>
      <w:tr>
        <w:tc>
          <w:tcPr>
            <w:tcW w:type="dxa" w:w="2340"/>
          </w:tcPr>
          <w:p>
            <w:pPr>
              <w:jc w:val="center"/>
            </w:pPr>
            <w:r>
              <w:rPr>
                <w:sz w:val="18"/>
              </w:rPr>
              <w:t>PatchTST</w:t>
            </w:r>
          </w:p>
        </w:tc>
        <w:tc>
          <w:tcPr>
            <w:tcW w:type="dxa" w:w="2340"/>
          </w:tcPr>
          <w:p>
            <w:pPr>
              <w:jc w:val="center"/>
            </w:pPr>
            <w:r>
              <w:rPr>
                <w:sz w:val="18"/>
              </w:rPr>
              <w:t>~31s</w:t>
            </w:r>
          </w:p>
        </w:tc>
        <w:tc>
          <w:tcPr>
            <w:tcW w:type="dxa" w:w="2340"/>
          </w:tcPr>
          <w:p>
            <w:pPr>
              <w:jc w:val="center"/>
            </w:pPr>
            <w:r>
              <w:rPr>
                <w:sz w:val="18"/>
              </w:rPr>
              <w:t>~19 min</w:t>
            </w:r>
          </w:p>
        </w:tc>
        <w:tc>
          <w:tcPr>
            <w:tcW w:type="dxa" w:w="2340"/>
          </w:tcPr>
          <w:p>
            <w:pPr>
              <w:jc w:val="center"/>
            </w:pPr>
            <w:r>
              <w:rPr>
                <w:sz w:val="18"/>
              </w:rPr>
              <w:t>6–9</w:t>
            </w:r>
          </w:p>
        </w:tc>
      </w:tr>
    </w:tbl>
    <w:p>
      <w:pPr>
        <w:spacing w:after="120"/>
      </w:pPr>
      <w:r>
        <w:rPr>
          <w:b w:val="0"/>
          <w:i w:val="0"/>
        </w:rPr>
      </w:r>
    </w:p>
    <w:p>
      <w:pPr>
        <w:spacing w:after="120"/>
      </w:pPr>
      <w:r>
        <w:rPr>
          <w:b w:val="0"/>
          <w:i w:val="0"/>
        </w:rPr>
        <w:t>PatchTST is 13x faster than the Transformer while achieving competitive H=1h accuracy. For deployment scenarios where rapid retraining is needed (e.g., online adaptation), PatchTST may be preferred despite its slightly lower accuracy at longer horizons.</w:t>
      </w:r>
    </w:p>
    <w:p>
      <w:pPr>
        <w:pStyle w:val="Heading1"/>
      </w:pPr>
      <w:r>
        <w:rPr>
          <w:color w:val="1A3A6B"/>
        </w:rPr>
        <w:t>10. Agentic AI Interface</w:t>
      </w:r>
    </w:p>
    <w:p>
      <w:pPr>
        <w:spacing w:after="120"/>
      </w:pPr>
      <w:r>
        <w:rPr>
          <w:b w:val="0"/>
          <w:i w:val="0"/>
        </w:rPr>
        <w:t>As part of the deliverable requirements, an Agentic AI interface was built using Streamlit and OpenAI's GPT-4o-mini with function-calling (tool-use). The system enables a non-technical business manager to interact with the trained models via natural language.</w:t>
      </w:r>
    </w:p>
    <w:p>
      <w:pPr>
        <w:pStyle w:val="Heading2"/>
      </w:pPr>
      <w:r>
        <w:rPr>
          <w:color w:val="1A3A6B"/>
        </w:rPr>
        <w:t>10.1 Architecture</w:t>
      </w:r>
    </w:p>
    <w:p>
      <w:pPr>
        <w:spacing w:after="120"/>
      </w:pPr>
      <w:r>
        <w:rPr>
          <w:b w:val="0"/>
          <w:i w:val="0"/>
        </w:rPr>
        <w:t>The agentic system follows a tool-calling pattern:</w:t>
      </w:r>
    </w:p>
    <w:p>
      <w:pPr>
        <w:pStyle w:val="ListBullet"/>
      </w:pPr>
      <w:r>
        <w:t>The user enters a natural language query (e.g., "Get forecast for client MT_042").</w:t>
      </w:r>
    </w:p>
    <w:p>
      <w:pPr>
        <w:pStyle w:val="ListBullet"/>
      </w:pPr>
      <w:r>
        <w:t>The LLM agent determines which tool(s) to call: lookup_client, run_forecast, list_clients, or get_cluster_info.</w:t>
      </w:r>
    </w:p>
    <w:p>
      <w:pPr>
        <w:pStyle w:val="ListBullet"/>
      </w:pPr>
      <w:r>
        <w:t>lookup_client resolves the client ID and returns their cluster assignment and model accuracies for all 4 architectures.</w:t>
      </w:r>
    </w:p>
    <w:p>
      <w:pPr>
        <w:pStyle w:val="ListBullet"/>
      </w:pPr>
      <w:r>
        <w:t>run_forecast loads the best-performing model for that client's cluster and horizon, feeds in the latest 168-hour window of real data, runs inference, inverse-transforms the output, and returns predicted kWh values.</w:t>
      </w:r>
    </w:p>
    <w:p>
      <w:pPr>
        <w:pStyle w:val="ListBullet"/>
      </w:pPr>
      <w:r>
        <w:t>The LLM presents results with business context: peak hours, model accuracy, and actionable recommendations.</w:t>
      </w:r>
    </w:p>
    <w:p>
      <w:pPr>
        <w:spacing w:after="120"/>
      </w:pPr>
      <w:r>
        <w:rPr>
          <w:b w:val="0"/>
          <w:i w:val="0"/>
        </w:rPr>
        <w:t>The tool-calling architecture ensures the LLM never hallucinates forecast values — all numerical predictions come directly from the trained PyTorch models. The system automatically selects the best model per cluster and horizon (typically Transformer) based on test MAPE.</w:t>
      </w:r>
    </w:p>
    <w:p>
      <w:pPr>
        <w:pStyle w:val="Heading2"/>
      </w:pPr>
      <w:r>
        <w:rPr>
          <w:color w:val="1A3A6B"/>
        </w:rPr>
        <w:t>10.2 Available Tools</w:t>
      </w:r>
    </w:p>
    <w:tbl>
      <w:tblPr>
        <w:tblW w:type="auto" w:w="0"/>
        <w:jc w:val="center"/>
        <w:tblLook w:firstColumn="1" w:firstRow="1" w:lastColumn="0" w:lastRow="0" w:noHBand="0" w:noVBand="1" w:val="04A0"/>
      </w:tblPr>
      <w:tblGrid>
        <w:gridCol w:w="3120"/>
        <w:gridCol w:w="3120"/>
        <w:gridCol w:w="3120"/>
      </w:tblGrid>
      <w:tr>
        <w:tc>
          <w:tcPr>
            <w:tcW w:type="dxa" w:w="3120"/>
            <w:shd w:fill="1A3A6B" w:val="clear"/>
          </w:tcPr>
          <w:p>
            <w:pPr>
              <w:jc w:val="center"/>
            </w:pPr>
            <w:r>
              <w:rPr>
                <w:b/>
                <w:color w:val="FFFFFF"/>
                <w:sz w:val="18"/>
              </w:rPr>
              <w:t>Tool</w:t>
            </w:r>
          </w:p>
        </w:tc>
        <w:tc>
          <w:tcPr>
            <w:tcW w:type="dxa" w:w="3120"/>
            <w:shd w:fill="1A3A6B" w:val="clear"/>
          </w:tcPr>
          <w:p>
            <w:pPr>
              <w:jc w:val="center"/>
            </w:pPr>
            <w:r>
              <w:rPr>
                <w:b/>
                <w:color w:val="FFFFFF"/>
                <w:sz w:val="18"/>
              </w:rPr>
              <w:t>Description</w:t>
            </w:r>
          </w:p>
        </w:tc>
        <w:tc>
          <w:tcPr>
            <w:tcW w:type="dxa" w:w="3120"/>
            <w:shd w:fill="1A3A6B" w:val="clear"/>
          </w:tcPr>
          <w:p>
            <w:pPr>
              <w:jc w:val="center"/>
            </w:pPr>
            <w:r>
              <w:rPr>
                <w:b/>
                <w:color w:val="FFFFFF"/>
                <w:sz w:val="18"/>
              </w:rPr>
              <w:t>Example Output</w:t>
            </w:r>
          </w:p>
        </w:tc>
      </w:tr>
      <w:tr>
        <w:tc>
          <w:tcPr>
            <w:tcW w:type="dxa" w:w="3120"/>
            <w:shd w:fill="EBF0F7" w:val="clear"/>
          </w:tcPr>
          <w:p>
            <w:pPr>
              <w:jc w:val="center"/>
            </w:pPr>
            <w:r>
              <w:rPr>
                <w:sz w:val="18"/>
              </w:rPr>
              <w:t>lookup_client</w:t>
            </w:r>
          </w:p>
        </w:tc>
        <w:tc>
          <w:tcPr>
            <w:tcW w:type="dxa" w:w="3120"/>
            <w:shd w:fill="EBF0F7" w:val="clear"/>
          </w:tcPr>
          <w:p>
            <w:pPr>
              <w:jc w:val="center"/>
            </w:pPr>
            <w:r>
              <w:rPr>
                <w:sz w:val="18"/>
              </w:rPr>
              <w:t>Resolve client ID, find cluster, list all model MAPEs</w:t>
            </w:r>
          </w:p>
        </w:tc>
        <w:tc>
          <w:tcPr>
            <w:tcW w:type="dxa" w:w="3120"/>
            <w:shd w:fill="EBF0F7" w:val="clear"/>
          </w:tcPr>
          <w:p>
            <w:pPr>
              <w:jc w:val="center"/>
            </w:pPr>
            <w:r>
              <w:rPr>
                <w:sz w:val="18"/>
              </w:rPr>
              <w:t>Cluster 1, 71 clients, Transformer best</w:t>
            </w:r>
          </w:p>
        </w:tc>
      </w:tr>
      <w:tr>
        <w:tc>
          <w:tcPr>
            <w:tcW w:type="dxa" w:w="3120"/>
          </w:tcPr>
          <w:p>
            <w:pPr>
              <w:jc w:val="center"/>
            </w:pPr>
            <w:r>
              <w:rPr>
                <w:sz w:val="18"/>
              </w:rPr>
              <w:t>run_forecast</w:t>
            </w:r>
          </w:p>
        </w:tc>
        <w:tc>
          <w:tcPr>
            <w:tcW w:type="dxa" w:w="3120"/>
          </w:tcPr>
          <w:p>
            <w:pPr>
              <w:jc w:val="center"/>
            </w:pPr>
            <w:r>
              <w:rPr>
                <w:sz w:val="18"/>
              </w:rPr>
              <w:t>Execute DL model inference, return kWh predictions</w:t>
            </w:r>
          </w:p>
        </w:tc>
        <w:tc>
          <w:tcPr>
            <w:tcW w:type="dxa" w:w="3120"/>
          </w:tcPr>
          <w:p>
            <w:pPr>
              <w:jc w:val="center"/>
            </w:pPr>
            <w:r>
              <w:rPr>
                <w:sz w:val="18"/>
              </w:rPr>
              <w:t>24 predicted values with timestamps</w:t>
            </w:r>
          </w:p>
        </w:tc>
      </w:tr>
      <w:tr>
        <w:tc>
          <w:tcPr>
            <w:tcW w:type="dxa" w:w="3120"/>
            <w:shd w:fill="EBF0F7" w:val="clear"/>
          </w:tcPr>
          <w:p>
            <w:pPr>
              <w:jc w:val="center"/>
            </w:pPr>
            <w:r>
              <w:rPr>
                <w:sz w:val="18"/>
              </w:rPr>
              <w:t>list_clients</w:t>
            </w:r>
          </w:p>
        </w:tc>
        <w:tc>
          <w:tcPr>
            <w:tcW w:type="dxa" w:w="3120"/>
            <w:shd w:fill="EBF0F7" w:val="clear"/>
          </w:tcPr>
          <w:p>
            <w:pPr>
              <w:jc w:val="center"/>
            </w:pPr>
            <w:r>
              <w:rPr>
                <w:sz w:val="18"/>
              </w:rPr>
              <w:t>List all 314 clients grouped by cluster</w:t>
            </w:r>
          </w:p>
        </w:tc>
        <w:tc>
          <w:tcPr>
            <w:tcW w:type="dxa" w:w="3120"/>
            <w:shd w:fill="EBF0F7" w:val="clear"/>
          </w:tcPr>
          <w:p>
            <w:pPr>
              <w:jc w:val="center"/>
            </w:pPr>
            <w:r>
              <w:rPr>
                <w:sz w:val="18"/>
              </w:rPr>
              <w:t>Cluster sizes and accuracy summaries</w:t>
            </w:r>
          </w:p>
        </w:tc>
      </w:tr>
      <w:tr>
        <w:tc>
          <w:tcPr>
            <w:tcW w:type="dxa" w:w="3120"/>
          </w:tcPr>
          <w:p>
            <w:pPr>
              <w:jc w:val="center"/>
            </w:pPr>
            <w:r>
              <w:rPr>
                <w:sz w:val="18"/>
              </w:rPr>
              <w:t>get_cluster_info</w:t>
            </w:r>
          </w:p>
        </w:tc>
        <w:tc>
          <w:tcPr>
            <w:tcW w:type="dxa" w:w="3120"/>
          </w:tcPr>
          <w:p>
            <w:pPr>
              <w:jc w:val="center"/>
            </w:pPr>
            <w:r>
              <w:rPr>
                <w:sz w:val="18"/>
              </w:rPr>
              <w:t>Performance metrics for all 4 models on a cluster</w:t>
            </w:r>
          </w:p>
        </w:tc>
        <w:tc>
          <w:tcPr>
            <w:tcW w:type="dxa" w:w="3120"/>
          </w:tcPr>
          <w:p>
            <w:pPr>
              <w:jc w:val="center"/>
            </w:pPr>
            <w:r>
              <w:rPr>
                <w:sz w:val="18"/>
              </w:rPr>
              <w:t>Full MAPE table per model per horizon</w:t>
            </w:r>
          </w:p>
        </w:tc>
      </w:tr>
    </w:tbl>
    <w:p>
      <w:pPr>
        <w:spacing w:after="120"/>
      </w:pPr>
      <w:r>
        <w:rPr>
          <w:b w:val="0"/>
          <w:i w:val="0"/>
        </w:rPr>
      </w:r>
    </w:p>
    <w:p>
      <w:pPr>
        <w:pStyle w:val="Heading2"/>
      </w:pPr>
      <w:r>
        <w:rPr>
          <w:color w:val="1A3A6B"/>
        </w:rPr>
        <w:t>10.3 Interface Screenshot</w:t>
      </w:r>
    </w:p>
    <w:p>
      <w:pPr>
        <w:jc w:val="center"/>
      </w:pPr>
      <w:r>
        <w:drawing>
          <wp:inline xmlns:a="http://schemas.openxmlformats.org/drawingml/2006/main" xmlns:pic="http://schemas.openxmlformats.org/drawingml/2006/picture">
            <wp:extent cx="5029200" cy="2852683"/>
            <wp:docPr id="5" name="Picture 5"/>
            <wp:cNvGraphicFramePr>
              <a:graphicFrameLocks noChangeAspect="1"/>
            </wp:cNvGraphicFramePr>
            <a:graphic>
              <a:graphicData uri="http://schemas.openxmlformats.org/drawingml/2006/picture">
                <pic:pic>
                  <pic:nvPicPr>
                    <pic:cNvPr id="0" name="agentic_ai_ss.png"/>
                    <pic:cNvPicPr/>
                  </pic:nvPicPr>
                  <pic:blipFill>
                    <a:blip r:embed="rId13"/>
                    <a:stretch>
                      <a:fillRect/>
                    </a:stretch>
                  </pic:blipFill>
                  <pic:spPr>
                    <a:xfrm>
                      <a:off x="0" y="0"/>
                      <a:ext cx="5029200" cy="2852683"/>
                    </a:xfrm>
                    <a:prstGeom prst="rect"/>
                  </pic:spPr>
                </pic:pic>
              </a:graphicData>
            </a:graphic>
          </wp:inline>
        </w:drawing>
      </w:r>
    </w:p>
    <w:p>
      <w:pPr>
        <w:jc w:val="center"/>
      </w:pPr>
      <w:r>
        <w:rPr>
          <w:i/>
          <w:color w:val="666666"/>
          <w:sz w:val="18"/>
        </w:rPr>
        <w:t>Figure 5: Agentic AI interface — Streamlit web app with GPT-4o-mini tool-calling.</w:t>
      </w:r>
    </w:p>
    <w:p>
      <w:pPr>
        <w:spacing w:after="120"/>
      </w:pPr>
      <w:r>
        <w:rPr>
          <w:b w:val="0"/>
          <w:i w:val="0"/>
        </w:rPr>
      </w:r>
    </w:p>
    <w:p>
      <w:pPr>
        <w:spacing w:after="120"/>
      </w:pPr>
      <w:r>
        <w:rPr>
          <w:b/>
          <w:i w:val="0"/>
        </w:rPr>
        <w:t>Demo Video: [Link to be added]</w:t>
      </w:r>
    </w:p>
    <w:p>
      <w:pPr>
        <w:pStyle w:val="Heading1"/>
      </w:pPr>
      <w:r>
        <w:rPr>
          <w:color w:val="1A3A6B"/>
        </w:rPr>
        <w:t>11. Conclusions &amp; Next Steps</w:t>
      </w:r>
    </w:p>
    <w:p>
      <w:pPr>
        <w:pStyle w:val="Heading2"/>
      </w:pPr>
      <w:r>
        <w:rPr>
          <w:color w:val="1A3A6B"/>
        </w:rPr>
        <w:t>11.1 Key Findings</w:t>
      </w:r>
    </w:p>
    <w:p>
      <w:pPr>
        <w:pStyle w:val="ListBullet"/>
      </w:pPr>
      <w:r>
        <w:t>The Transformer architecture achieves the best overall MAPE at all three horizons (12.81% / 21.49% / 34.73% for H=1/6/24h), winning 8 of 9 cluster-horizon combinations.</w:t>
      </w:r>
    </w:p>
    <w:p>
      <w:pPr>
        <w:pStyle w:val="ListBullet"/>
      </w:pPr>
      <w:r>
        <w:t>PatchTST is competitive at short horizons (13.12% at H=1h) and trains 13x faster than Transformer, making it ideal for rapid deployment or online learning scenarios.</w:t>
      </w:r>
    </w:p>
    <w:p>
      <w:pPr>
        <w:pStyle w:val="ListBullet"/>
      </w:pPr>
      <w:r>
        <w:t>TCN provides a solid middle ground — outperforming LSTM consistently while being simpler than attention-based models.</w:t>
      </w:r>
    </w:p>
    <w:p>
      <w:pPr>
        <w:pStyle w:val="ListBullet"/>
      </w:pPr>
      <w:r>
        <w:t>LSTM serves as a useful baseline but underperforms all other architectures across the board.</w:t>
      </w:r>
    </w:p>
    <w:p>
      <w:pPr>
        <w:pStyle w:val="ListBullet"/>
      </w:pPr>
      <w:r>
        <w:t>Cluster-specific training significantly improves performance vs. a single global model, as different client groups exhibit distinct temporal consumption patterns.</w:t>
      </w:r>
    </w:p>
    <w:p>
      <w:pPr>
        <w:pStyle w:val="ListBullet"/>
      </w:pPr>
      <w:r>
        <w:t>Period 1 (May–June) consistently shows higher MAPE across all models, suggesting seasonal distribution shift from the training period (Jan 2012 – Feb 2014).</w:t>
      </w:r>
    </w:p>
    <w:p>
      <w:pPr>
        <w:pStyle w:val="Heading2"/>
      </w:pPr>
      <w:r>
        <w:rPr>
          <w:color w:val="1A3A6B"/>
        </w:rPr>
        <w:t>11.2 Next Steps (Deliverable 3)</w:t>
      </w:r>
    </w:p>
    <w:p>
      <w:pPr>
        <w:pStyle w:val="ListBullet"/>
      </w:pPr>
      <w:r>
        <w:t>Implement the Latent Diffusion Transformer (LDT) from Feng et al. (AAAI 2024) using the Transformer encoder as the backbone for the statistics-aware autoencoder component.</w:t>
      </w:r>
    </w:p>
    <w:p>
      <w:pPr>
        <w:pStyle w:val="ListBullet"/>
      </w:pPr>
      <w:r>
        <w:t>Add probabilistic forecasting with calibrated prediction intervals (CRPS/WIS metrics).</w:t>
      </w:r>
    </w:p>
    <w:p>
      <w:pPr>
        <w:pStyle w:val="ListBullet"/>
      </w:pPr>
      <w:r>
        <w:t>Incorporate external data — Portuguese holiday calendar and weather data — to reduce Period 1 errors and improve performance during seasonal transitions.</w:t>
      </w:r>
    </w:p>
    <w:p>
      <w:pPr>
        <w:pStyle w:val="ListBullet"/>
      </w:pPr>
      <w:r>
        <w:t>Outlier detection and handling for clients with irregular consumption patterns.</w:t>
      </w:r>
    </w:p>
    <w:p>
      <w:pPr>
        <w:pStyle w:val="ListBullet"/>
      </w:pPr>
      <w:r>
        <w:t>Hyperparameter tuning with Optuna across all clusters, horizons, and architectures.</w:t>
      </w:r>
    </w:p>
    <w:p>
      <w:pPr>
        <w:pStyle w:val="ListBullet"/>
      </w:pPr>
      <w:r>
        <w:t>Extend the Agentic AI interface with inline forecast visualization charts and model comparison views.</w:t>
      </w:r>
    </w:p>
    <w:p>
      <w:pPr>
        <w:pStyle w:val="Heading1"/>
      </w:pPr>
      <w:r>
        <w:rPr>
          <w:color w:val="1A3A6B"/>
        </w:rPr>
        <w:t>12. References</w:t>
      </w:r>
    </w:p>
    <w:p>
      <w:pPr>
        <w:pStyle w:val="ListBullet"/>
      </w:pPr>
      <w:r>
        <w:t>Nie, Y., Nguyen, N. H., Sinthong, P., &amp; Kalagnanam, J. (2023). A Time Series is Worth 64 Words: Long-term Forecasting with Transformers. ICLR 2023.</w:t>
      </w:r>
    </w:p>
    <w:p>
      <w:pPr>
        <w:pStyle w:val="ListBullet"/>
      </w:pPr>
      <w:r>
        <w:t>Feng, S., Miao, C., Zhang, Z., &amp; Zhao, P. (2024). Latent Diffusion Transformer for Probabilistic Time Series Forecasting. AAAI 2024.</w:t>
      </w:r>
    </w:p>
    <w:p>
      <w:pPr>
        <w:pStyle w:val="ListBullet"/>
      </w:pPr>
      <w:r>
        <w:t>Bai, S., Kolter, J. Z., &amp; Koltun, V. (2018). An Empirical Evaluation of Generic Convolutional and Recurrent Networks for Sequence Modeling. arXiv:1803.01271.</w:t>
      </w:r>
    </w:p>
    <w:p>
      <w:pPr>
        <w:pStyle w:val="ListBullet"/>
      </w:pPr>
      <w:r>
        <w:t>Vaswani, A., et al. (2017). Attention Is All You Need. NeurIPS 2017.</w:t>
      </w:r>
    </w:p>
    <w:p>
      <w:pPr>
        <w:pStyle w:val="ListBullet"/>
      </w:pPr>
      <w:r>
        <w:t>Lai, G., Chang, W., Yang, Y., &amp; Liu, H. (2017). Modeling Long- and Short-Term Temporal Patterns with Deep Neural Networks. SIGIR 2018.</w:t>
      </w:r>
    </w:p>
    <w:p>
      <w:pPr>
        <w:pStyle w:val="ListBullet"/>
      </w:pPr>
      <w:r>
        <w:t>Zhou, H., et al. (2021). Informer: Beyond Efficient Transformer for Long Sequence Time-Series Forecasting. AAAI 2021.</w:t>
      </w:r>
    </w:p>
    <w:p>
      <w:pPr>
        <w:pStyle w:val="ListBullet"/>
      </w:pPr>
      <w:r>
        <w:t>Trindade, A. (2015). ElectricityLoadDiagrams20112014. UCI Machine Learning Repository. https://doi.org/10.24432/C58C86.</w:t>
      </w:r>
    </w:p>
    <w:p>
      <w:r>
        <w:br w:type="page"/>
      </w:r>
    </w:p>
    <w:p>
      <w:pPr>
        <w:pStyle w:val="Heading1"/>
      </w:pPr>
      <w:r>
        <w:rPr>
          <w:color w:val="1A3A6B"/>
        </w:rPr>
        <w:t>13. Appendix: Per-Period Error Distribution Box Plots</w:t>
      </w:r>
    </w:p>
    <w:p>
      <w:pPr>
        <w:spacing w:after="120"/>
      </w:pPr>
      <w:r>
        <w:rPr>
          <w:b w:val="0"/>
          <w:i w:val="0"/>
        </w:rPr>
        <w:t>Box plots showing the distribution of Absolute Percentage Errors across 4 test periods for the best-performing model (Transformer) at each cluster and horizon.</w:t>
      </w:r>
    </w:p>
    <w:p>
      <w:pPr>
        <w:pStyle w:val="Heading2"/>
      </w:pPr>
      <w:r>
        <w:rPr>
          <w:color w:val="1A3A6B"/>
        </w:rPr>
        <w:t>Cluster 0</w:t>
      </w:r>
    </w:p>
    <w:p>
      <w:pPr>
        <w:jc w:val="center"/>
      </w:pPr>
      <w:r>
        <w:drawing>
          <wp:inline xmlns:a="http://schemas.openxmlformats.org/drawingml/2006/main" xmlns:pic="http://schemas.openxmlformats.org/drawingml/2006/picture">
            <wp:extent cx="4572000" cy="2717321"/>
            <wp:docPr id="6" name="Picture 6"/>
            <wp:cNvGraphicFramePr>
              <a:graphicFrameLocks noChangeAspect="1"/>
            </wp:cNvGraphicFramePr>
            <a:graphic>
              <a:graphicData uri="http://schemas.openxmlformats.org/drawingml/2006/picture">
                <pic:pic>
                  <pic:nvPicPr>
                    <pic:cNvPr id="0" name="boxplot_transformer_cluster0_h1.png"/>
                    <pic:cNvPicPr/>
                  </pic:nvPicPr>
                  <pic:blipFill>
                    <a:blip r:embed="rId14"/>
                    <a:stretch>
                      <a:fillRect/>
                    </a:stretch>
                  </pic:blipFill>
                  <pic:spPr>
                    <a:xfrm>
                      <a:off x="0" y="0"/>
                      <a:ext cx="4572000" cy="2717321"/>
                    </a:xfrm>
                    <a:prstGeom prst="rect"/>
                  </pic:spPr>
                </pic:pic>
              </a:graphicData>
            </a:graphic>
          </wp:inline>
        </w:drawing>
      </w:r>
    </w:p>
    <w:p>
      <w:pPr>
        <w:jc w:val="center"/>
      </w:pPr>
      <w:r>
        <w:rPr>
          <w:i/>
          <w:color w:val="666666"/>
          <w:sz w:val="18"/>
        </w:rPr>
        <w:t>Figure: Transformer error distribution — Cluster 0, H=1h.</w:t>
      </w:r>
    </w:p>
    <w:p>
      <w:pPr>
        <w:jc w:val="center"/>
      </w:pPr>
      <w:r>
        <w:drawing>
          <wp:inline xmlns:a="http://schemas.openxmlformats.org/drawingml/2006/main" xmlns:pic="http://schemas.openxmlformats.org/drawingml/2006/picture">
            <wp:extent cx="4572000" cy="2717321"/>
            <wp:docPr id="7" name="Picture 7"/>
            <wp:cNvGraphicFramePr>
              <a:graphicFrameLocks noChangeAspect="1"/>
            </wp:cNvGraphicFramePr>
            <a:graphic>
              <a:graphicData uri="http://schemas.openxmlformats.org/drawingml/2006/picture">
                <pic:pic>
                  <pic:nvPicPr>
                    <pic:cNvPr id="0" name="boxplot_transformer_cluster0_h6.png"/>
                    <pic:cNvPicPr/>
                  </pic:nvPicPr>
                  <pic:blipFill>
                    <a:blip r:embed="rId15"/>
                    <a:stretch>
                      <a:fillRect/>
                    </a:stretch>
                  </pic:blipFill>
                  <pic:spPr>
                    <a:xfrm>
                      <a:off x="0" y="0"/>
                      <a:ext cx="4572000" cy="2717321"/>
                    </a:xfrm>
                    <a:prstGeom prst="rect"/>
                  </pic:spPr>
                </pic:pic>
              </a:graphicData>
            </a:graphic>
          </wp:inline>
        </w:drawing>
      </w:r>
    </w:p>
    <w:p>
      <w:pPr>
        <w:jc w:val="center"/>
      </w:pPr>
      <w:r>
        <w:rPr>
          <w:i/>
          <w:color w:val="666666"/>
          <w:sz w:val="18"/>
        </w:rPr>
        <w:t>Figure: Transformer error distribution — Cluster 0, H=6h.</w:t>
      </w:r>
    </w:p>
    <w:p>
      <w:pPr>
        <w:jc w:val="center"/>
      </w:pPr>
      <w:r>
        <w:drawing>
          <wp:inline xmlns:a="http://schemas.openxmlformats.org/drawingml/2006/main" xmlns:pic="http://schemas.openxmlformats.org/drawingml/2006/picture">
            <wp:extent cx="4572000" cy="2717321"/>
            <wp:docPr id="8" name="Picture 8"/>
            <wp:cNvGraphicFramePr>
              <a:graphicFrameLocks noChangeAspect="1"/>
            </wp:cNvGraphicFramePr>
            <a:graphic>
              <a:graphicData uri="http://schemas.openxmlformats.org/drawingml/2006/picture">
                <pic:pic>
                  <pic:nvPicPr>
                    <pic:cNvPr id="0" name="boxplot_transformer_cluster0_h24.png"/>
                    <pic:cNvPicPr/>
                  </pic:nvPicPr>
                  <pic:blipFill>
                    <a:blip r:embed="rId16"/>
                    <a:stretch>
                      <a:fillRect/>
                    </a:stretch>
                  </pic:blipFill>
                  <pic:spPr>
                    <a:xfrm>
                      <a:off x="0" y="0"/>
                      <a:ext cx="4572000" cy="2717321"/>
                    </a:xfrm>
                    <a:prstGeom prst="rect"/>
                  </pic:spPr>
                </pic:pic>
              </a:graphicData>
            </a:graphic>
          </wp:inline>
        </w:drawing>
      </w:r>
    </w:p>
    <w:p>
      <w:pPr>
        <w:jc w:val="center"/>
      </w:pPr>
      <w:r>
        <w:rPr>
          <w:i/>
          <w:color w:val="666666"/>
          <w:sz w:val="18"/>
        </w:rPr>
        <w:t>Figure: Transformer error distribution — Cluster 0, H=24h.</w:t>
      </w:r>
    </w:p>
    <w:p>
      <w:pPr>
        <w:pStyle w:val="Heading2"/>
      </w:pPr>
      <w:r>
        <w:rPr>
          <w:color w:val="1A3A6B"/>
        </w:rPr>
        <w:t>Cluster 1</w:t>
      </w:r>
    </w:p>
    <w:p>
      <w:pPr>
        <w:jc w:val="center"/>
      </w:pPr>
      <w:r>
        <w:drawing>
          <wp:inline xmlns:a="http://schemas.openxmlformats.org/drawingml/2006/main" xmlns:pic="http://schemas.openxmlformats.org/drawingml/2006/picture">
            <wp:extent cx="4572000" cy="2717321"/>
            <wp:docPr id="9" name="Picture 9"/>
            <wp:cNvGraphicFramePr>
              <a:graphicFrameLocks noChangeAspect="1"/>
            </wp:cNvGraphicFramePr>
            <a:graphic>
              <a:graphicData uri="http://schemas.openxmlformats.org/drawingml/2006/picture">
                <pic:pic>
                  <pic:nvPicPr>
                    <pic:cNvPr id="0" name="boxplot_transformer_cluster1_h1.png"/>
                    <pic:cNvPicPr/>
                  </pic:nvPicPr>
                  <pic:blipFill>
                    <a:blip r:embed="rId17"/>
                    <a:stretch>
                      <a:fillRect/>
                    </a:stretch>
                  </pic:blipFill>
                  <pic:spPr>
                    <a:xfrm>
                      <a:off x="0" y="0"/>
                      <a:ext cx="4572000" cy="2717321"/>
                    </a:xfrm>
                    <a:prstGeom prst="rect"/>
                  </pic:spPr>
                </pic:pic>
              </a:graphicData>
            </a:graphic>
          </wp:inline>
        </w:drawing>
      </w:r>
    </w:p>
    <w:p>
      <w:pPr>
        <w:jc w:val="center"/>
      </w:pPr>
      <w:r>
        <w:rPr>
          <w:i/>
          <w:color w:val="666666"/>
          <w:sz w:val="18"/>
        </w:rPr>
        <w:t>Figure: Transformer error distribution — Cluster 1, H=1h.</w:t>
      </w:r>
    </w:p>
    <w:p>
      <w:pPr>
        <w:jc w:val="center"/>
      </w:pPr>
      <w:r>
        <w:drawing>
          <wp:inline xmlns:a="http://schemas.openxmlformats.org/drawingml/2006/main" xmlns:pic="http://schemas.openxmlformats.org/drawingml/2006/picture">
            <wp:extent cx="4572000" cy="2717321"/>
            <wp:docPr id="10" name="Picture 10"/>
            <wp:cNvGraphicFramePr>
              <a:graphicFrameLocks noChangeAspect="1"/>
            </wp:cNvGraphicFramePr>
            <a:graphic>
              <a:graphicData uri="http://schemas.openxmlformats.org/drawingml/2006/picture">
                <pic:pic>
                  <pic:nvPicPr>
                    <pic:cNvPr id="0" name="boxplot_transformer_cluster1_h6.png"/>
                    <pic:cNvPicPr/>
                  </pic:nvPicPr>
                  <pic:blipFill>
                    <a:blip r:embed="rId18"/>
                    <a:stretch>
                      <a:fillRect/>
                    </a:stretch>
                  </pic:blipFill>
                  <pic:spPr>
                    <a:xfrm>
                      <a:off x="0" y="0"/>
                      <a:ext cx="4572000" cy="2717321"/>
                    </a:xfrm>
                    <a:prstGeom prst="rect"/>
                  </pic:spPr>
                </pic:pic>
              </a:graphicData>
            </a:graphic>
          </wp:inline>
        </w:drawing>
      </w:r>
    </w:p>
    <w:p>
      <w:pPr>
        <w:jc w:val="center"/>
      </w:pPr>
      <w:r>
        <w:rPr>
          <w:i/>
          <w:color w:val="666666"/>
          <w:sz w:val="18"/>
        </w:rPr>
        <w:t>Figure: Transformer error distribution — Cluster 1, H=6h.</w:t>
      </w:r>
    </w:p>
    <w:p>
      <w:pPr>
        <w:jc w:val="center"/>
      </w:pPr>
      <w:r>
        <w:drawing>
          <wp:inline xmlns:a="http://schemas.openxmlformats.org/drawingml/2006/main" xmlns:pic="http://schemas.openxmlformats.org/drawingml/2006/picture">
            <wp:extent cx="4572000" cy="2717321"/>
            <wp:docPr id="11" name="Picture 11"/>
            <wp:cNvGraphicFramePr>
              <a:graphicFrameLocks noChangeAspect="1"/>
            </wp:cNvGraphicFramePr>
            <a:graphic>
              <a:graphicData uri="http://schemas.openxmlformats.org/drawingml/2006/picture">
                <pic:pic>
                  <pic:nvPicPr>
                    <pic:cNvPr id="0" name="boxplot_transformer_cluster1_h24.png"/>
                    <pic:cNvPicPr/>
                  </pic:nvPicPr>
                  <pic:blipFill>
                    <a:blip r:embed="rId19"/>
                    <a:stretch>
                      <a:fillRect/>
                    </a:stretch>
                  </pic:blipFill>
                  <pic:spPr>
                    <a:xfrm>
                      <a:off x="0" y="0"/>
                      <a:ext cx="4572000" cy="2717321"/>
                    </a:xfrm>
                    <a:prstGeom prst="rect"/>
                  </pic:spPr>
                </pic:pic>
              </a:graphicData>
            </a:graphic>
          </wp:inline>
        </w:drawing>
      </w:r>
    </w:p>
    <w:p>
      <w:pPr>
        <w:jc w:val="center"/>
      </w:pPr>
      <w:r>
        <w:rPr>
          <w:i/>
          <w:color w:val="666666"/>
          <w:sz w:val="18"/>
        </w:rPr>
        <w:t>Figure: Transformer error distribution — Cluster 1, H=24h.</w:t>
      </w:r>
    </w:p>
    <w:p>
      <w:pPr>
        <w:pStyle w:val="Heading2"/>
      </w:pPr>
      <w:r>
        <w:rPr>
          <w:color w:val="1A3A6B"/>
        </w:rPr>
        <w:t>Cluster 2</w:t>
      </w:r>
    </w:p>
    <w:p>
      <w:pPr>
        <w:jc w:val="center"/>
      </w:pPr>
      <w:r>
        <w:drawing>
          <wp:inline xmlns:a="http://schemas.openxmlformats.org/drawingml/2006/main" xmlns:pic="http://schemas.openxmlformats.org/drawingml/2006/picture">
            <wp:extent cx="4572000" cy="2717321"/>
            <wp:docPr id="12" name="Picture 12"/>
            <wp:cNvGraphicFramePr>
              <a:graphicFrameLocks noChangeAspect="1"/>
            </wp:cNvGraphicFramePr>
            <a:graphic>
              <a:graphicData uri="http://schemas.openxmlformats.org/drawingml/2006/picture">
                <pic:pic>
                  <pic:nvPicPr>
                    <pic:cNvPr id="0" name="boxplot_transformer_cluster2_h1.png"/>
                    <pic:cNvPicPr/>
                  </pic:nvPicPr>
                  <pic:blipFill>
                    <a:blip r:embed="rId20"/>
                    <a:stretch>
                      <a:fillRect/>
                    </a:stretch>
                  </pic:blipFill>
                  <pic:spPr>
                    <a:xfrm>
                      <a:off x="0" y="0"/>
                      <a:ext cx="4572000" cy="2717321"/>
                    </a:xfrm>
                    <a:prstGeom prst="rect"/>
                  </pic:spPr>
                </pic:pic>
              </a:graphicData>
            </a:graphic>
          </wp:inline>
        </w:drawing>
      </w:r>
    </w:p>
    <w:p>
      <w:pPr>
        <w:jc w:val="center"/>
      </w:pPr>
      <w:r>
        <w:rPr>
          <w:i/>
          <w:color w:val="666666"/>
          <w:sz w:val="18"/>
        </w:rPr>
        <w:t>Figure: Transformer error distribution — Cluster 2, H=1h.</w:t>
      </w:r>
    </w:p>
    <w:p>
      <w:pPr>
        <w:jc w:val="center"/>
      </w:pPr>
      <w:r>
        <w:drawing>
          <wp:inline xmlns:a="http://schemas.openxmlformats.org/drawingml/2006/main" xmlns:pic="http://schemas.openxmlformats.org/drawingml/2006/picture">
            <wp:extent cx="4572000" cy="2717321"/>
            <wp:docPr id="13" name="Picture 13"/>
            <wp:cNvGraphicFramePr>
              <a:graphicFrameLocks noChangeAspect="1"/>
            </wp:cNvGraphicFramePr>
            <a:graphic>
              <a:graphicData uri="http://schemas.openxmlformats.org/drawingml/2006/picture">
                <pic:pic>
                  <pic:nvPicPr>
                    <pic:cNvPr id="0" name="boxplot_transformer_cluster2_h6.png"/>
                    <pic:cNvPicPr/>
                  </pic:nvPicPr>
                  <pic:blipFill>
                    <a:blip r:embed="rId21"/>
                    <a:stretch>
                      <a:fillRect/>
                    </a:stretch>
                  </pic:blipFill>
                  <pic:spPr>
                    <a:xfrm>
                      <a:off x="0" y="0"/>
                      <a:ext cx="4572000" cy="2717321"/>
                    </a:xfrm>
                    <a:prstGeom prst="rect"/>
                  </pic:spPr>
                </pic:pic>
              </a:graphicData>
            </a:graphic>
          </wp:inline>
        </w:drawing>
      </w:r>
    </w:p>
    <w:p>
      <w:pPr>
        <w:jc w:val="center"/>
      </w:pPr>
      <w:r>
        <w:rPr>
          <w:i/>
          <w:color w:val="666666"/>
          <w:sz w:val="18"/>
        </w:rPr>
        <w:t>Figure: Transformer error distribution — Cluster 2, H=6h.</w:t>
      </w:r>
    </w:p>
    <w:p>
      <w:pPr>
        <w:jc w:val="center"/>
      </w:pPr>
      <w:r>
        <w:drawing>
          <wp:inline xmlns:a="http://schemas.openxmlformats.org/drawingml/2006/main" xmlns:pic="http://schemas.openxmlformats.org/drawingml/2006/picture">
            <wp:extent cx="4572000" cy="2717321"/>
            <wp:docPr id="14" name="Picture 14"/>
            <wp:cNvGraphicFramePr>
              <a:graphicFrameLocks noChangeAspect="1"/>
            </wp:cNvGraphicFramePr>
            <a:graphic>
              <a:graphicData uri="http://schemas.openxmlformats.org/drawingml/2006/picture">
                <pic:pic>
                  <pic:nvPicPr>
                    <pic:cNvPr id="0" name="boxplot_transformer_cluster2_h24.png"/>
                    <pic:cNvPicPr/>
                  </pic:nvPicPr>
                  <pic:blipFill>
                    <a:blip r:embed="rId22"/>
                    <a:stretch>
                      <a:fillRect/>
                    </a:stretch>
                  </pic:blipFill>
                  <pic:spPr>
                    <a:xfrm>
                      <a:off x="0" y="0"/>
                      <a:ext cx="4572000" cy="2717321"/>
                    </a:xfrm>
                    <a:prstGeom prst="rect"/>
                  </pic:spPr>
                </pic:pic>
              </a:graphicData>
            </a:graphic>
          </wp:inline>
        </w:drawing>
      </w:r>
    </w:p>
    <w:p>
      <w:pPr>
        <w:jc w:val="center"/>
      </w:pPr>
      <w:r>
        <w:rPr>
          <w:i/>
          <w:color w:val="666666"/>
          <w:sz w:val="18"/>
        </w:rPr>
        <w:t>Figure: Transformer error distribution — Cluster 2, H=24h.</w:t>
      </w:r>
    </w:p>
    <w:p>
      <w:pPr>
        <w:pStyle w:val="Heading2"/>
      </w:pPr>
      <w:r>
        <w:rPr>
          <w:color w:val="1A3A6B"/>
        </w:rPr>
        <w:t>PatchTST Box Plots (H=1h, Cluster 0 — Best Model)</w:t>
      </w:r>
    </w:p>
    <w:p>
      <w:pPr>
        <w:jc w:val="center"/>
      </w:pPr>
      <w:r>
        <w:drawing>
          <wp:inline xmlns:a="http://schemas.openxmlformats.org/drawingml/2006/main" xmlns:pic="http://schemas.openxmlformats.org/drawingml/2006/picture">
            <wp:extent cx="4572000" cy="2717321"/>
            <wp:docPr id="15" name="Picture 15"/>
            <wp:cNvGraphicFramePr>
              <a:graphicFrameLocks noChangeAspect="1"/>
            </wp:cNvGraphicFramePr>
            <a:graphic>
              <a:graphicData uri="http://schemas.openxmlformats.org/drawingml/2006/picture">
                <pic:pic>
                  <pic:nvPicPr>
                    <pic:cNvPr id="0" name="boxplot_patchtst_cluster0_h1.png"/>
                    <pic:cNvPicPr/>
                  </pic:nvPicPr>
                  <pic:blipFill>
                    <a:blip r:embed="rId23"/>
                    <a:stretch>
                      <a:fillRect/>
                    </a:stretch>
                  </pic:blipFill>
                  <pic:spPr>
                    <a:xfrm>
                      <a:off x="0" y="0"/>
                      <a:ext cx="4572000" cy="2717321"/>
                    </a:xfrm>
                    <a:prstGeom prst="rect"/>
                  </pic:spPr>
                </pic:pic>
              </a:graphicData>
            </a:graphic>
          </wp:inline>
        </w:drawing>
      </w:r>
    </w:p>
    <w:p>
      <w:pPr>
        <w:jc w:val="center"/>
      </w:pPr>
      <w:r>
        <w:rPr>
          <w:i/>
          <w:color w:val="666666"/>
          <w:sz w:val="18"/>
        </w:rPr>
        <w:t>Figure: PatchTST error distribution — Cluster 0, H=1h (best model for this combination).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