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t>Deep Learning Architectures for Multi-Horizon Electricity Load Forecasting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t>Per-Cluster PatchTST Models with Agentic AI Interface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26"/>
          <w:szCs w:val="26"/>
        </w:rPr>
      </w:pPr>
      <w:r>
        <w:t>Process Documentation V2.0 — Deliverable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t>March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Introduction</w:t>
      </w:r>
    </w:p>
    <w:p w:rsidR="00000000" w:rsidDel="00000000" w:rsidP="00000000" w:rsidRDefault="00000000" w:rsidRPr="00000000" w14:paraId="0000000B">
      <w:pPr>
        <w:rPr/>
      </w:pPr>
      <w:r>
        <w:t>This project investigates the performance of deep learning architectures for multi-horizon electricity load forecasting. Electricity load forecasting is a fundamental challenge in power systems management, enabling grid operators, utilities, and energy traders to balance supply and demand efficiently. In Deliverable 1, we compared four architectures (LSTM, TCN, Transformer, PatchTST) on a subset of clients. In Deliverable 2, we scale to all 314 active clients, implement per-cluster PatchTST models using a channel-independent architecture, report MAPE on a 0-100 scale across four test periods, and build an Agentic AI interface that allows business managers to query forecasts via natural language.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project aims 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t>Apply a channel-independent PatchTST architecture with per-cluster training to develop robust multi-horizon forecasting models for all 314 active electricity clients.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advanced deep learning architectures to develop robust multi-horizon forecasting models for electricity consumption.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Standardize a rigorous methodology (including architecture comparisons, data preprocessing pipeline, and evaluation framework) for forecasting at horizons of 1, 6, and 24 hours that will be leveraged in subsequent deliverables.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t>Target clients/consumers: 314 actively monitored electricity consumers (residential, commercial, and industrial) from the UCI dataset, spanning January 2012 to December 2014, clustered into 3 groups by daily load profile similarity.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purpose of this document is to provide a detailed technical overview of:</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specifications and parameters for each model architecture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inclusions, exclusions, and preprocessing pipeline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variable creation and feature engineering process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variable definition across multiple forecast horizons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Iterative model building process and architecture comparisons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evaluation framework and preliminary results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Data Extraction</w:t>
      </w:r>
    </w:p>
    <w:p w:rsidR="00000000" w:rsidDel="00000000" w:rsidP="00000000" w:rsidRDefault="00000000" w:rsidRPr="00000000" w14:paraId="0000001C">
      <w:pPr>
        <w:pStyle w:val="Heading2"/>
        <w:rPr/>
      </w:pPr>
      <w:r w:rsidDel="00000000" w:rsidR="00000000" w:rsidRPr="00000000">
        <w:rPr>
          <w:rtl w:val="0"/>
        </w:rPr>
        <w:t xml:space="preserve">Workflow</w:t>
      </w:r>
    </w:p>
    <w:p w:rsidR="00000000" w:rsidDel="00000000" w:rsidP="00000000" w:rsidRDefault="00000000" w:rsidRPr="00000000" w14:paraId="0000001D">
      <w:pPr>
        <w:rPr/>
      </w:pPr>
      <w:r w:rsidDel="00000000" w:rsidR="00000000" w:rsidRPr="00000000">
        <w:rPr>
          <w:rtl w:val="0"/>
        </w:rPr>
        <w:t xml:space="preserve">Data is received as a single multi-client time series CSV file from the UCI Machine Learning Repository. The workflow below describes how the data is downloaded, validated, and stored for processing.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dataset (UCI ID: 321) was contributed by Artur Trindade and is hosted publicly. For this project, all data processing, modeling, and reporting are performed locally in Python using a modular codebase. Processed files and results are stored in the project directory and version-controlled.</w:t>
      </w:r>
    </w:p>
    <w:p w:rsidR="00000000" w:rsidDel="00000000" w:rsidP="00000000" w:rsidRDefault="00000000" w:rsidRPr="00000000" w14:paraId="00000020">
      <w:pPr>
        <w:rPr/>
      </w:pP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00"/>
        <w:gridCol w:w="1700"/>
        <w:gridCol w:w="1500"/>
        <w:gridCol w:w="1760"/>
        <w:tblGridChange w:id="0">
          <w:tblGrid>
            <w:gridCol w:w="2200"/>
            <w:gridCol w:w="2100"/>
            <w:gridCol w:w="1700"/>
            <w:gridCol w:w="1500"/>
            <w:gridCol w:w="17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rtl w:val="0"/>
              </w:rPr>
              <w:t xml:space="preserve">Data Source</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rtl w:val="0"/>
              </w:rPr>
              <w:t xml:space="preserve">Type</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rtl w:val="0"/>
              </w:rPr>
              <w:t xml:space="preserve">Internal/External</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rtl w:val="0"/>
              </w:rPr>
              <w:t xml:space="preserve">Format</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rtl w:val="0"/>
              </w:rPr>
              <w:t xml:space="preserve">Storage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UCI ElectricityLoadDiagrams 2011–2014 (ID: 321)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Time series electricity consumption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External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CSV (.txt)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data/raw/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Resampled hourly dataset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Preprocessed time series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Internal (derived)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CSV / PyTorch tensors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data/processed/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Train / Val / Test splits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Model-ready sequences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Internal (derived)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PyTorch .pt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data/splits/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Data Processing</w:t>
      </w:r>
    </w:p>
    <w:p w:rsidR="00000000" w:rsidDel="00000000" w:rsidP="00000000" w:rsidRDefault="00000000" w:rsidRPr="00000000" w14:paraId="00000037">
      <w:pPr>
        <w:pStyle w:val="Heading2"/>
        <w:rPr/>
      </w:pPr>
      <w:r w:rsidDel="00000000" w:rsidR="00000000" w:rsidRPr="00000000">
        <w:rPr>
          <w:rtl w:val="0"/>
        </w:rPr>
        <w:t xml:space="preserve">Data Overview</w:t>
      </w:r>
    </w:p>
    <w:p w:rsidR="00000000" w:rsidDel="00000000" w:rsidP="00000000" w:rsidRDefault="00000000" w:rsidRPr="00000000" w14:paraId="00000038">
      <w:pPr>
        <w:rPr/>
      </w:pPr>
      <w:r w:rsidDel="00000000" w:rsidR="00000000" w:rsidRPr="00000000">
        <w:rPr>
          <w:rtl w:val="0"/>
        </w:rPr>
        <w:t xml:space="preserve">All raw data is at 15-minute resolution spanning January 2011 to December 2014. For modeling, data is resampled to hourly resolution. The primary forecasting period covers 2012–2014 (36 months) with train/validation/test splits applied chronologically.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Data Extraction Process</w:t>
      </w:r>
    </w:p>
    <w:p w:rsidR="00000000" w:rsidDel="00000000" w:rsidP="00000000" w:rsidRDefault="00000000" w:rsidRPr="00000000" w14:paraId="0000003B">
      <w:pPr>
        <w:rPr/>
      </w:pPr>
      <w:r w:rsidDel="00000000" w:rsidR="00000000" w:rsidRPr="00000000">
        <w:rPr>
          <w:rtl w:val="0"/>
        </w:rPr>
        <w:t xml:space="preserve">Data extraction is based on the UCI ElectricityLoadDiagrams dataset, which contains time series for 370 Portuguese electricity clients. The following key decisions were made: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 total clients available; 320 clients active throughout 2012–2014 are retained (following LDT paper protocol).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data is excluded from training as many clients have zero-padded leading values that distort model learning.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resampled from 15-minute to hourly by summing four 15-minute readings (converting kW to kWh).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Data Diagnostics</w:t>
      </w:r>
    </w:p>
    <w:p w:rsidR="00000000" w:rsidDel="00000000" w:rsidP="00000000" w:rsidRDefault="00000000" w:rsidRPr="00000000" w14:paraId="00000041">
      <w:pPr>
        <w:rPr/>
      </w:pPr>
      <w:r w:rsidDel="00000000" w:rsidR="00000000" w:rsidRPr="00000000">
        <w:rPr>
          <w:rtl w:val="0"/>
        </w:rPr>
        <w:t xml:space="preserve">A series of quality checks were performed on the extracted data. These checks included: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t>Number of records: 26,305 hourly timestamps x 314 clients after resampling, 2012+ filtering, and removing clients with &gt;5% zero values.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records: None detected; timestamps are unique per client.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 No missing values in the original dataset. DST transitions handled explicitly — March transitions yield zero-padded hours; October transitions aggregate two hours into one.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 of numeric fields: Confirmed total consumption figures are consistent with expected ranges (min ~0.1 kWh/hr residential off-peak to ~120 kWh/hr industrial peak).</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period confirmation: Coverage verified as 2012-01-01 to 2014-12-31 for all 320 active clients.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Modeling Data Creation</w:t>
      </w:r>
    </w:p>
    <w:p w:rsidR="00000000" w:rsidDel="00000000" w:rsidP="00000000" w:rsidRDefault="00000000" w:rsidRPr="00000000" w14:paraId="00000049">
      <w:pPr>
        <w:rPr/>
      </w:pPr>
      <w:r w:rsidDel="00000000" w:rsidR="00000000" w:rsidRPr="00000000">
        <w:rPr>
          <w:rtl w:val="0"/>
        </w:rPr>
        <w:t xml:space="preserve">For each client, modeling data is prepared using the following steps, which also constitute the feature engineering pipeline: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Time-related features: Hour of day, day of week, month, and year are extracted from datetime. These capture intra-day, weekly, and seasonal patterns critical to load forecasting.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 features: Previous 24-hour and 168-hour (1-week) values are included as features to encode daily and weekly autocorrelation, confirmed by ACF/PACF analysis.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Rolling window sequences: A lookback window of 168 hours (1 week) is constructed as input, with targets at horizons H ∈ {1, 6, 24} steps ahead.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Normalization: Z-score standardization (mean=0, std=1) is computed per client using training split statistics only, preventing data leakage.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Target Variables</w:t>
      </w:r>
    </w:p>
    <w:p w:rsidR="00000000" w:rsidDel="00000000" w:rsidP="00000000" w:rsidRDefault="00000000" w:rsidRPr="00000000" w14:paraId="00000050">
      <w:pPr>
        <w:rPr/>
      </w:pPr>
      <w:r w:rsidDel="00000000" w:rsidR="00000000" w:rsidRPr="00000000">
        <w:rPr>
          <w:rtl w:val="0"/>
        </w:rPr>
        <w:t xml:space="preserve">A target variable is the variable to predict as the output of the algorithmic solution. In this project, the target variable 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Electricity Load (kWh/hr): Hourly electricity consumption per client, measured in kilowatt-hours, normalized using Z-score standardization during modeling.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forecasting task is formulated as a multi-horizon problem with three distinct target definitions:</w:t>
      </w:r>
    </w:p>
    <w:p w:rsidR="00000000" w:rsidDel="00000000" w:rsidP="00000000" w:rsidRDefault="00000000" w:rsidRPr="00000000" w14:paraId="00000055">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3300"/>
        <w:gridCol w:w="3360"/>
        <w:tblGridChange w:id="0">
          <w:tblGrid>
            <w:gridCol w:w="1200"/>
            <w:gridCol w:w="1500"/>
            <w:gridCol w:w="3300"/>
            <w:gridCol w:w="3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ffffff"/>
                <w:rtl w:val="0"/>
              </w:rPr>
              <w:t xml:space="preserve">Target</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Horizon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rtl w:val="0"/>
              </w:rPr>
              <w:t xml:space="preserve">Description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H=1 (Short)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1 hour ahead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Next-hour electricity load per 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Real-time grid dispatch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H=6 (Medium)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6 hours ahead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Load over the next 6 hours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Intra-day planning and trading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H=24 (Long)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24 hours ahead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Day-ahead load forecast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Day-ahead market bidding, scheduling</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target output is the normalized load value at the specified future timestep. Each model produces direct multi-step outputs (all H steps simultaneously) to avoid error accumulation from autoregressive prediction.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Predictive Variables</w:t>
      </w:r>
    </w:p>
    <w:p w:rsidR="00000000" w:rsidDel="00000000" w:rsidP="00000000" w:rsidRDefault="00000000" w:rsidRPr="00000000" w14:paraId="0000006A">
      <w:pPr>
        <w:rPr/>
      </w:pPr>
      <w:r w:rsidDel="00000000" w:rsidR="00000000" w:rsidRPr="00000000">
        <w:rPr>
          <w:rtl w:val="0"/>
        </w:rPr>
        <w:t xml:space="preserve">A predictive variable is a variable used in the algorithmic solution to predict the target variable. Variables are categorized into two types: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variables — taken directly from the raw UCI dataset (observed consumption).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Derived variables — engineered from direct variables or external sources to enrich the feature space.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Variable List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Load (Direct): Normalized electricity consumption values over the lookback window of 168 hours (1 week) per client. This is the primary input signal, capturing strong temporal autocorrelation at daily (lag 24h) and weekly (lag 168h) cycles confirmed by ACF/PACF analysis.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Features (Derived): Hour of day, day of week, month, and year extracted from the datetime index. These features are critical for capturing seasonality — e.g., consumption increases during morning/evening peak hours and drops overnight; weekday vs. weekend patterns differ substantially.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 Features (Derived): Explicit lag values at t-24h and t-168h to directly encode periodicity into the model input.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Statistics (Derived): Rolling mean and standard deviation over 24-hour and 168-hour windows, providing the model with recent trend and volatility context.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Identity (Derived): Client index used to distinguish residential, commercial, and industrial usage profiles in multivariate modeling settings.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Pre-Modeling</w:t>
      </w:r>
    </w:p>
    <w:p w:rsidR="00000000" w:rsidDel="00000000" w:rsidP="00000000" w:rsidRDefault="00000000" w:rsidRPr="00000000" w14:paraId="00000076">
      <w:pPr>
        <w:rPr/>
      </w:pPr>
      <w:r w:rsidDel="00000000" w:rsidR="00000000" w:rsidRPr="00000000">
        <w:rPr>
          <w:rtl w:val="0"/>
        </w:rPr>
        <w:t xml:space="preserve">The forecast covers three horizons: 1, 6, and 24 hours ahead, spanning the full 2014 test period. For future horizon inputs (time features, known calendar information), values are deterministically derived from the datetime index and are always available for inference.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timeline of data used spans 2012–2014 (hourly resolution). Data from 2011 was excluded because many clients have zero-padded leading values before their activation date, which would introduce noise during the pre-launch period and distort model learning.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Assumptions made to accommodate data quality issues: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DST transitions in March (clock-forward): Missing hours are zero-padded in the original dataset, and these zero values are retained as-is, consistent with the LDT paper protocol.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DST transitions in October (clock-back): The two-hour overlap is aggregated, and the resulting doubled-hour value is retained.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Instance normalization: Individual client time series are normalized independently, accounting for the high variance in load magnitudes across residential, commercial, and industrial consumers (range: ~0.1 to ~120 kWh/hr).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Training &amp; Testing Split</w:t>
      </w:r>
    </w:p>
    <w:p w:rsidR="00000000" w:rsidDel="00000000" w:rsidP="00000000" w:rsidRDefault="00000000" w:rsidRPr="00000000" w14:paraId="00000080">
      <w:pPr>
        <w:rPr/>
      </w:pPr>
      <w:r w:rsidDel="00000000" w:rsidR="00000000" w:rsidRPr="00000000">
        <w:rPr>
          <w:rtl w:val="0"/>
        </w:rPr>
        <w:t xml:space="preserve">Cross-validation with chronological ordering is used to train and evaluate all models, preventing data leakage. The following fixed split ratios were applied:</w:t>
      </w:r>
    </w:p>
    <w:p w:rsidR="00000000" w:rsidDel="00000000" w:rsidP="00000000" w:rsidRDefault="00000000" w:rsidRPr="00000000" w14:paraId="00000081">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1500"/>
        <w:gridCol w:w="3860"/>
        <w:tblGridChange w:id="0">
          <w:tblGrid>
            <w:gridCol w:w="1500"/>
            <w:gridCol w:w="2500"/>
            <w:gridCol w:w="1500"/>
            <w:gridCol w:w="38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rtl w:val="0"/>
              </w:rPr>
              <w:t xml:space="preserve">Split</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rtl w:val="0"/>
              </w:rPr>
              <w:t xml:space="preserve">Period</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rtl w:val="0"/>
              </w:rPr>
              <w:t xml:space="preserve">Proportion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Training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Jan 2012 - Feb 2014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70%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Model parameter fitting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Validation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Feb 2014 - May 2014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Hyperparameter tuning / early stopping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May 2014 - Dec 2014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Final held-out evaluation (4 periods)</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Rolling window sequences are constructed from each split independently. No data from validation or test sets is used in training normalization statistics. As new data arrives in production, the model can be retrained using the same ratio split on an extended dataset.</w:t>
      </w:r>
    </w:p>
    <w:p w:rsidR="00000000" w:rsidDel="00000000" w:rsidP="00000000" w:rsidRDefault="00000000" w:rsidRPr="00000000" w14:paraId="00000094">
      <w:pPr>
        <w:pStyle w:val="Heading1"/>
        <w:rPr/>
      </w:pPr>
      <w:r w:rsidDel="00000000" w:rsidR="00000000" w:rsidRPr="00000000">
        <w:rPr>
          <w:rtl w:val="0"/>
        </w:rPr>
        <w:t xml:space="preserve">Modeling</w:t>
      </w:r>
    </w:p>
    <w:p w:rsidR="00000000" w:rsidDel="00000000" w:rsidP="00000000" w:rsidRDefault="00000000" w:rsidRPr="00000000" w14:paraId="00000095">
      <w:pPr>
        <w:pStyle w:val="Heading2"/>
        <w:rPr/>
      </w:pPr>
      <w:r w:rsidDel="00000000" w:rsidR="00000000" w:rsidRPr="00000000">
        <w:rPr>
          <w:rtl w:val="0"/>
        </w:rPr>
        <w:t xml:space="preserve">Introduction</w:t>
      </w:r>
    </w:p>
    <w:p w:rsidR="00000000" w:rsidDel="00000000" w:rsidP="00000000" w:rsidRDefault="00000000" w:rsidRPr="00000000" w14:paraId="00000096">
      <w:pPr>
        <w:rPr/>
      </w:pPr>
      <w:r w:rsidDel="00000000" w:rsidR="00000000" w:rsidRPr="00000000">
        <w:rPr>
          <w:rtl w:val="0"/>
        </w:rPr>
        <w:t xml:space="preserve">After candidate predictive variables were finalized in the pre-modeling step, the team performed data mining and statistical iterations to develop and build the algorithmic solutions. Four deep learning architectures were implemented and compared: Long Short-Term Memory (LSTM), Temporal Convolutional Networks (TCN), Vanilla Transformer, and PatchTST (patch-based Transformer).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During each experimental run, all four models are trained and evaluated, and the one with the best performance on the validation set is adopted for further development. The following section details how models are built, what evaluation metrics are used, and comparative results across architectures.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algorithmic solution is built for three forecast horizons (H=1, H=6, H=24 hours) across all 320 active clients. Each model is trained per horizon for a comprehensive multi-horizon evaluation.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Algorithmic Solution Design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800"/>
        <w:gridCol w:w="4460"/>
        <w:tblGridChange w:id="0">
          <w:tblGrid>
            <w:gridCol w:w="2100"/>
            <w:gridCol w:w="2800"/>
            <w:gridCol w:w="44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ffffff"/>
                <w:rtl w:val="0"/>
              </w:rPr>
              <w:t xml:space="preserve">Target Horizon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ffffff"/>
                <w:rtl w:val="0"/>
              </w:rPr>
              <w:t xml:space="preserve">Category</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ffffff"/>
                <w:rtl w:val="0"/>
              </w:rPr>
              <w:t xml:space="preserve">Algorithms /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H=1 (Short-horizon)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Next-hour electricity load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LSTM, TCN, Vanilla Transformer, PatchTST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H=6 (Medium-horizon)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6-hour ahead load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LSTM, TCN, Vanilla Transformer, PatchTST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H=24 (Long-horizon)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Day-ahead load forecast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LSTM, TCN, Vanilla Transformer, PatchTST</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each forecast horizon, all four models are trained independently. The modeling specifications for each architecture are detailed below:</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1. LSTM (Long Short-Term Memory)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Architecture: 2-layer stacked LSTM (hidden size 128 → 64), followed by a fully-connected projection layer.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multi-step output: all H steps predicted simultaneously to avoid autoregressive error accumulation.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Regularization: Dropout (p=0.2) between LSTM layers; L2 weight decay (1e-4).</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limitation: Sequential computation prevents parallelization; may struggle with very long-range dependencies beyond 168 steps.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Temporal Convolutional Network (TCN)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5 TCN blocks with dilation rates {1, 2, 4, 8, 16}; kernel size = 3; 64 filters per layer.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Receptive field: 2 × (3–1) × (1+2+4+8+16) = 248 timesteps — covers the full 168-step lookback.</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Normalization: Weight normalization applied to all convolutional layers.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advantage: Fully parallelizable training; stable gradient flow via residual connections.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3. Vanilla Transformer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Encoder with 4 layers; 8 attention heads; d_model = 256; learned positional encoding.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encoder-decoder Transformer architecture with self-attention for sequence modeling.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advantage: Global attention captures long-range seasonal patterns; strong long-horizon performance.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limitation: Quadratic O(T²) attention complexity is a concern at full 320-client scale.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4. PatchTST (Patch-based Transformer)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Patch size = 16, stride = 8; 3 encoder layers; 8 attention heads; d_model = 128.</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Segments time series into non-overlapping patches before applying self-attention, reducing complexity.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advantage: Patch tokenization reduces sequence length from T to T/P, making attention tractable for large-scale multi-client settings.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with LDT paper: The PatchTST encoder forms a natural backbone for the statistics-aware autoencoder component of the LDT framework.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Comparisons of Algorithmic Solutions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00"/>
        <w:gridCol w:w="3460"/>
        <w:tblGridChange w:id="0">
          <w:tblGrid>
            <w:gridCol w:w="2200"/>
            <w:gridCol w:w="3700"/>
            <w:gridCol w:w="34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ffffff"/>
                <w:rtl w:val="0"/>
              </w:rPr>
              <w:t xml:space="preserve">Algorithm</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color w:val="ffffff"/>
                <w:rtl w:val="0"/>
              </w:rPr>
              <w:t xml:space="preserve">Pros</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1"/>
                <w:bCs w:val="1"/>
                <w:color w:val="ffffff"/>
                <w:rtl w:val="0"/>
              </w:rPr>
              <w:t xml:space="preserve">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t xml:space="preserve">LSTM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Well-understood, stable baseline; established performance on temporal tasks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t xml:space="preserve">Sequential computation limits scalability; steepest degradation at H=24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TCN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Fastest training time; parallelizable; memory-efficient; good short-horizon accuracy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Similar long-horizon limitations to LSTM; fixed receptive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Vanilla Transformer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Superior long-horizon performance; global attention captures seasonal patterns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Quadratic attention complexity; risk of overfitting on smaller subsets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PatchTST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Best overall accuracy across all horizons; lowest degradation; tractable complexity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More complex to implement; interpretability lower than LSTM/TCN</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Hyperparameter Selection</w:t>
      </w:r>
    </w:p>
    <w:p w:rsidR="00000000" w:rsidDel="00000000" w:rsidP="00000000" w:rsidRDefault="00000000" w:rsidRPr="00000000" w14:paraId="000000D6">
      <w:pPr>
        <w:rPr/>
      </w:pPr>
      <w:r w:rsidDel="00000000" w:rsidR="00000000" w:rsidRPr="00000000">
        <w:rPr>
          <w:rtl w:val="0"/>
        </w:rPr>
        <w:t xml:space="preserve">For each of the four models, hyperparameters were configured for normal forecasting conditions where electricity consumption follows expected seasonal and daily trends. The configurations are pre-defined and can be adapted depending on conditions (e.g., anomalous consumption events, grid disruptions, or extreme weather). Training used the Adam optimizer with learning rate 1e-3, batch size 32, and early stopping with patience = 10 epochs (max 50 epochs).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Evaluation Metrics</w:t>
      </w:r>
    </w:p>
    <w:p w:rsidR="00000000" w:rsidDel="00000000" w:rsidP="00000000" w:rsidRDefault="00000000" w:rsidRPr="00000000" w14:paraId="000000D9">
      <w:pPr>
        <w:rPr/>
      </w:pPr>
      <w:r>
        <w:t>MAPE (Mean Absolute Percentage Error) is adopted as the primary evaluation metric for Deliverable 2, reported on a 0-100 scale as required. MAPE is computed on inverse-transformed (original kWh) values per client, excluding near-zero readings (&lt; 0.5 kWh) to avoid division instability. Test results are divided into four equal time periods, with MAPE and box plots of error spread reported for each period.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00"/>
        <w:gridCol w:w="4460"/>
        <w:tblGridChange w:id="0">
          <w:tblGrid>
            <w:gridCol w:w="1400"/>
            <w:gridCol w:w="3500"/>
            <w:gridCol w:w="44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rtl w:val="0"/>
              </w:rPr>
              <w:t xml:space="preserve">Metric</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rtl w:val="0"/>
              </w:rPr>
              <w:t xml:space="preserve">Formula / Description</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2e74b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rtl w:val="0"/>
              </w:rPr>
              <w:t xml:space="preserve">Why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MAE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Mean Absolute Error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Robust to outliers; interpretable in kWh units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RMSE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Root Mean Squared Error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Penalizes large errors; standard benchmark 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MAPE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Mean Absolute Percentage Error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Scale-independent; enables cross-client comparison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SMAPE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Symmetric MAPE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Handles near-zero consumption values better than MAPE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R²</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Coefficient of Determination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Overall explained variance; model fit quality</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t>When selecting the best model, the one with the lowest MAPE on the held-out test set is adopted. Per-client inverse transformation ensures MAPE is computed on the original kWh scale, not normalized values.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Algorithmic Solution Finalization</w:t>
      </w:r>
    </w:p>
    <w:p w:rsidR="00000000" w:rsidDel="00000000" w:rsidP="00000000" w:rsidRDefault="00000000" w:rsidRPr="00000000" w14:paraId="000000F0">
      <w:pPr>
        <w:rPr/>
      </w:pPr>
      <w:r>
        <w:t>Clients are first clustered into 3 groups using K-Means on normalized daily load profiles (24-hour averages). For each cluster and forecast horizon H in {1, 6, 24}, a separate channel-independent PatchTST model is trained. The channel-independent design treats each client as a univariate time series, concatenated with 8 cyclical time features (hour_sin/cos, dow_sin/cos, month_sin/cos, is_weekend, is_business_hour). This approach is both scalable (one model handles all clients in a cluster) and accurate (each client's normalization is preserved via per-client Z-score standardization).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t>PatchTST is selected as the sole architecture for Deliverable 2 based on Deliverable 1 results, where it achieved the lowest MAE across all horizons. The channel-independent variant (Nie et al., ICLR 2023) is used, with d_model=48, nhead=4, num_layers=2, patch_size=16, stride=8. Total parameters: ~67K per model.</w:t>
      </w:r>
    </w:p>
    <w:p w:rsidR="00000000" w:rsidDel="00000000" w:rsidP="00000000" w:rsidRDefault="00000000" w:rsidRPr="00000000" w14:paraId="000000F3">
      <w:pPr>
        <w:pStyle w:val="Heading1"/>
        <w:rPr/>
      </w:pPr>
      <w:r w:rsidDel="00000000" w:rsidR="00000000" w:rsidRPr="00000000">
        <w:rPr>
          <w:rtl w:val="0"/>
        </w:rPr>
        <w:t xml:space="preserve">Deliverables</w:t>
      </w:r>
    </w:p>
    <w:p w:rsidR="00000000" w:rsidDel="00000000" w:rsidP="00000000" w:rsidRDefault="00000000" w:rsidRPr="00000000" w14:paraId="000000F4">
      <w:pPr>
        <w:pStyle w:val="Heading2"/>
        <w:rPr/>
      </w:pPr>
      <w:r w:rsidDel="00000000" w:rsidR="00000000" w:rsidRPr="00000000">
        <w:rPr>
          <w:rtl w:val="0"/>
        </w:rPr>
        <w:t xml:space="preserve">Variables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Electricity Load Forecast (primary output): Normalized per-client hourly electricity consumption predictions at horizons H ∈ {1, 6, 24} hours ahead.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 Accuracy Metrics: MAE, RMSE, MAPE, SMAPE, R² reported per model, per horizon, and aggregated across all 50 (preliminary) / 320 (full) clients.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 Degradation Analysis: Percentage increase in MAE from H=1 to H=24, characterizing model robustness to longer forecasting horizons.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Comparison Report: Multi-criteria evaluation across six dimensions (accuracy, speed, scalability, interpretability, probabilistic extension, degradation).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References</w:t>
      </w:r>
    </w:p>
    <w:p w:rsidR="00000000" w:rsidDel="00000000" w:rsidP="00000000" w:rsidRDefault="00000000" w:rsidRPr="00000000" w14:paraId="000000FB">
      <w:pPr>
        <w:rPr/>
      </w:pPr>
      <w:r w:rsidDel="00000000" w:rsidR="00000000" w:rsidRPr="00000000">
        <w:rPr>
          <w:rtl w:val="0"/>
        </w:rPr>
        <w:t xml:space="preserve">Feng, S., Miao, C., Zhang, Z., &amp; Zhao, P. (2024). Latent Diffusion Transformer for Probabilistic Time Series Forecasting. AAAI 2024, 38(11), 11979–11987.</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Nie, Y., Nguyen, N. H., Sinthong, P., &amp; Kalagnanam, J. (2023). A Time Series is Worth 64 Words: Long-term Forecasting with Transformers (PatchTST). ICLR 2023.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Lai, G., Chang, W., Yang, Y., &amp; Liu, H. (2017). Modeling Long- and Short-Term Temporal Patterns with Deep Neural Networks (LSTNet). SIGIR 2018.</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Bai, S., Kolter, J. Z., &amp; Koltun, V. (2018). An Empirical Evaluation of Generic Convolutional and Recurrent Networks for Sequence Modeling (TCN). arXiv:1803.01271.</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Trindade, A. (2015). ElectricityLoadDiagrams20112014. UCI Machine Learning Repository. https://doi.org/10.24432/C58C86.</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Vaswani, A., et al. (2017). Attention Is All You Need. NeurIPS 2017.</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Zhou, H., et al. (2021). Informer: Beyond Efficient Transformer for Long Sequence Time-Series Forecasting. AAAI 2021.</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Team Information</w:t>
      </w:r>
    </w:p>
    <w:p w:rsidR="00000000" w:rsidDel="00000000" w:rsidP="00000000" w:rsidRDefault="00000000" w:rsidRPr="00000000" w14:paraId="0000010A">
      <w:pPr>
        <w:rPr/>
      </w:pPr>
      <w:hyperlink r:id="rId6">
        <w:r w:rsidDel="00000000" w:rsidR="00000000" w:rsidRPr="00000000">
          <w:rPr>
            <w:color w:val="0000ee"/>
            <w:u w:val="single"/>
            <w:rtl w:val="0"/>
          </w:rPr>
          <w:t xml:space="preserve">Ritika Rajeev Chatterjee</w:t>
        </w:r>
      </w:hyperlink>
      <w:r w:rsidDel="00000000" w:rsidR="00000000" w:rsidRPr="00000000">
        <w:rPr>
          <w:rtl w:val="0"/>
        </w:rPr>
        <w:t xml:space="preserve">, </w:t>
      </w:r>
      <w:hyperlink r:id="rId7">
        <w:r w:rsidDel="00000000" w:rsidR="00000000" w:rsidRPr="00000000">
          <w:rPr>
            <w:color w:val="0000ee"/>
            <w:u w:val="single"/>
            <w:rtl w:val="0"/>
          </w:rPr>
          <w:t xml:space="preserve">Akriti Agarwal</w:t>
        </w:r>
      </w:hyperlink>
      <w:r w:rsidDel="00000000" w:rsidR="00000000" w:rsidRPr="00000000">
        <w:rPr>
          <w:rtl w:val="0"/>
        </w:rPr>
        <w:t xml:space="preserve">and </w:t>
      </w:r>
      <w:hyperlink r:id="rId8">
        <w:r w:rsidDel="00000000" w:rsidR="00000000" w:rsidRPr="00000000">
          <w:rPr>
            <w:color w:val="0000ee"/>
            <w:u w:val="single"/>
            <w:rtl w:val="0"/>
          </w:rPr>
          <w:t xml:space="preserve">Haasita Pinnepu</w:t>
        </w:r>
      </w:hyperlink>
      <w:r w:rsidDel="00000000" w:rsidR="00000000" w:rsidRPr="00000000">
        <w:rPr>
          <w:rtl w:val="0"/>
        </w:rPr>
      </w:r>
    </w:p>
    <w:p>
      <w:pPr>
        <w:pStyle w:val="Heading1"/>
      </w:pPr>
      <w:r>
        <w:t>Deliverable 2 Results</w:t>
      </w:r>
    </w:p>
    <w:p>
      <w:r>
        <w:rPr>
          <w:b/>
          <w:sz w:val="22"/>
        </w:rPr>
        <w:t>Clustering Results</w:t>
      </w:r>
    </w:p>
    <w:p>
      <w:r>
        <w:rPr>
          <w:b w:val="0"/>
          <w:sz w:val="22"/>
        </w:rPr>
        <w:t>314 active clients were clustered into 3 groups using K-Means (K=3) on Z-score normalized 24-hour daily load profiles. The clustering captures distinct consumption patterns:</w:t>
      </w:r>
    </w:p>
    <w:tbl>
      <w:tblPr>
        <w:tblW w:type="auto" w:w="0"/>
        <w:tblLook w:firstColumn="1" w:firstRow="1" w:lastColumn="0" w:lastRow="0" w:noHBand="0" w:noVBand="1" w:val="04A0"/>
      </w:tblPr>
      <w:tblGrid>
        <w:gridCol w:w="2340"/>
        <w:gridCol w:w="2340"/>
        <w:gridCol w:w="2340"/>
        <w:gridCol w:w="2340"/>
      </w:tblGrid>
      <w:tr>
        <w:tc>
          <w:tcPr>
            <w:tcW w:type="dxa" w:w="2340"/>
          </w:tcPr>
          <w:p>
            <w:r>
              <w:rPr>
                <w:b/>
                <w:sz w:val="20"/>
              </w:rPr>
              <w:t>Cluster</w:t>
            </w:r>
          </w:p>
        </w:tc>
        <w:tc>
          <w:tcPr>
            <w:tcW w:type="dxa" w:w="2340"/>
          </w:tcPr>
          <w:p>
            <w:r>
              <w:rPr>
                <w:b/>
                <w:sz w:val="20"/>
              </w:rPr>
              <w:t>Clients</w:t>
            </w:r>
          </w:p>
        </w:tc>
        <w:tc>
          <w:tcPr>
            <w:tcW w:type="dxa" w:w="2340"/>
          </w:tcPr>
          <w:p>
            <w:r>
              <w:rPr>
                <w:b/>
                <w:sz w:val="20"/>
              </w:rPr>
              <w:t>Avg Load</w:t>
            </w:r>
          </w:p>
        </w:tc>
        <w:tc>
          <w:tcPr>
            <w:tcW w:type="dxa" w:w="2340"/>
          </w:tcPr>
          <w:p>
            <w:r>
              <w:rPr>
                <w:b/>
                <w:sz w:val="20"/>
              </w:rPr>
              <w:t>Profile</w:t>
            </w:r>
          </w:p>
        </w:tc>
      </w:tr>
      <w:tr>
        <w:tc>
          <w:tcPr>
            <w:tcW w:type="dxa" w:w="2340"/>
          </w:tcPr>
          <w:p>
            <w:r>
              <w:t>Cluster 0</w:t>
            </w:r>
          </w:p>
        </w:tc>
        <w:tc>
          <w:tcPr>
            <w:tcW w:type="dxa" w:w="2340"/>
          </w:tcPr>
          <w:p>
            <w:r>
              <w:t>157</w:t>
            </w:r>
          </w:p>
        </w:tc>
        <w:tc>
          <w:tcPr>
            <w:tcW w:type="dxa" w:w="2340"/>
          </w:tcPr>
          <w:p>
            <w:r>
              <w:t>2,045 kWh/hr</w:t>
            </w:r>
          </w:p>
        </w:tc>
        <w:tc>
          <w:tcPr>
            <w:tcW w:type="dxa" w:w="2340"/>
          </w:tcPr>
          <w:p>
            <w:r>
              <w:t>Medium-load: mixed commercial/residential</w:t>
            </w:r>
          </w:p>
        </w:tc>
      </w:tr>
      <w:tr>
        <w:tc>
          <w:tcPr>
            <w:tcW w:type="dxa" w:w="2340"/>
          </w:tcPr>
          <w:p>
            <w:r>
              <w:t>Cluster 1</w:t>
            </w:r>
          </w:p>
        </w:tc>
        <w:tc>
          <w:tcPr>
            <w:tcW w:type="dxa" w:w="2340"/>
          </w:tcPr>
          <w:p>
            <w:r>
              <w:t>71</w:t>
            </w:r>
          </w:p>
        </w:tc>
        <w:tc>
          <w:tcPr>
            <w:tcW w:type="dxa" w:w="2340"/>
          </w:tcPr>
          <w:p>
            <w:r>
              <w:t>515 kWh/hr</w:t>
            </w:r>
          </w:p>
        </w:tc>
        <w:tc>
          <w:tcPr>
            <w:tcW w:type="dxa" w:w="2340"/>
          </w:tcPr>
          <w:p>
            <w:r>
              <w:t>Low-load: primarily residential</w:t>
            </w:r>
          </w:p>
        </w:tc>
      </w:tr>
      <w:tr>
        <w:tc>
          <w:tcPr>
            <w:tcW w:type="dxa" w:w="2340"/>
          </w:tcPr>
          <w:p>
            <w:r>
              <w:t>Cluster 2</w:t>
            </w:r>
          </w:p>
        </w:tc>
        <w:tc>
          <w:tcPr>
            <w:tcW w:type="dxa" w:w="2340"/>
          </w:tcPr>
          <w:p>
            <w:r>
              <w:t>86</w:t>
            </w:r>
          </w:p>
        </w:tc>
        <w:tc>
          <w:tcPr>
            <w:tcW w:type="dxa" w:w="2340"/>
          </w:tcPr>
          <w:p>
            <w:r>
              <w:t>5,293 kWh/hr</w:t>
            </w:r>
          </w:p>
        </w:tc>
        <w:tc>
          <w:tcPr>
            <w:tcW w:type="dxa" w:w="2340"/>
          </w:tcPr>
          <w:p>
            <w:r>
              <w:t>High-load: industrial/large commercial</w:t>
            </w:r>
          </w:p>
        </w:tc>
      </w:tr>
    </w:tbl>
    <w:p/>
    <w:p>
      <w:r>
        <w:rPr>
          <w:b/>
          <w:sz w:val="22"/>
        </w:rPr>
        <w:t>MAPE Results on Test Set (May 2014 - Dec 2014)</w:t>
      </w:r>
    </w:p>
    <w:p>
      <w:r>
        <w:rPr>
          <w:b w:val="0"/>
          <w:sz w:val="22"/>
        </w:rPr>
        <w:t>All results are reported as MAPE (%) on the 0-100 scale, computed on original kWh values after per-client inverse transformation. The test set is divided into 4 equal time periods.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Cluster</w:t>
            </w:r>
          </w:p>
        </w:tc>
        <w:tc>
          <w:tcPr>
            <w:tcW w:type="dxa" w:w="1872"/>
          </w:tcPr>
          <w:p>
            <w:r>
              <w:rPr>
                <w:b/>
                <w:sz w:val="20"/>
              </w:rPr>
              <w:t>Clients</w:t>
            </w:r>
          </w:p>
        </w:tc>
        <w:tc>
          <w:tcPr>
            <w:tcW w:type="dxa" w:w="1872"/>
          </w:tcPr>
          <w:p>
            <w:r>
              <w:rPr>
                <w:b/>
                <w:sz w:val="20"/>
              </w:rPr>
              <w:t>H=1h MAPE</w:t>
            </w:r>
          </w:p>
        </w:tc>
        <w:tc>
          <w:tcPr>
            <w:tcW w:type="dxa" w:w="1872"/>
          </w:tcPr>
          <w:p>
            <w:r>
              <w:rPr>
                <w:b/>
                <w:sz w:val="20"/>
              </w:rPr>
              <w:t>H=6h MAPE</w:t>
            </w:r>
          </w:p>
        </w:tc>
        <w:tc>
          <w:tcPr>
            <w:tcW w:type="dxa" w:w="1872"/>
          </w:tcPr>
          <w:p>
            <w:r>
              <w:rPr>
                <w:b/>
                <w:sz w:val="20"/>
              </w:rPr>
              <w:t>H=24h MAPE</w:t>
            </w:r>
          </w:p>
        </w:tc>
      </w:tr>
      <w:tr>
        <w:tc>
          <w:tcPr>
            <w:tcW w:type="dxa" w:w="1872"/>
          </w:tcPr>
          <w:p>
            <w:r>
              <w:t>Cluster 0</w:t>
            </w:r>
          </w:p>
        </w:tc>
        <w:tc>
          <w:tcPr>
            <w:tcW w:type="dxa" w:w="1872"/>
          </w:tcPr>
          <w:p>
            <w:r>
              <w:t>157</w:t>
            </w:r>
          </w:p>
        </w:tc>
        <w:tc>
          <w:tcPr>
            <w:tcW w:type="dxa" w:w="1872"/>
          </w:tcPr>
          <w:p>
            <w:r>
              <w:t>20.47%</w:t>
            </w:r>
          </w:p>
        </w:tc>
        <w:tc>
          <w:tcPr>
            <w:tcW w:type="dxa" w:w="1872"/>
          </w:tcPr>
          <w:p>
            <w:r>
              <w:t>45.04%</w:t>
            </w:r>
          </w:p>
        </w:tc>
        <w:tc>
          <w:tcPr>
            <w:tcW w:type="dxa" w:w="1872"/>
          </w:tcPr>
          <w:p>
            <w:r>
              <w:t>45.76%</w:t>
            </w:r>
          </w:p>
        </w:tc>
      </w:tr>
      <w:tr>
        <w:tc>
          <w:tcPr>
            <w:tcW w:type="dxa" w:w="1872"/>
          </w:tcPr>
          <w:p>
            <w:r>
              <w:t>Cluster 1</w:t>
            </w:r>
          </w:p>
        </w:tc>
        <w:tc>
          <w:tcPr>
            <w:tcW w:type="dxa" w:w="1872"/>
          </w:tcPr>
          <w:p>
            <w:r>
              <w:t>71</w:t>
            </w:r>
          </w:p>
        </w:tc>
        <w:tc>
          <w:tcPr>
            <w:tcW w:type="dxa" w:w="1872"/>
          </w:tcPr>
          <w:p>
            <w:r>
              <w:t>11.96%</w:t>
            </w:r>
          </w:p>
        </w:tc>
        <w:tc>
          <w:tcPr>
            <w:tcW w:type="dxa" w:w="1872"/>
          </w:tcPr>
          <w:p>
            <w:r>
              <w:t>21.06%</w:t>
            </w:r>
          </w:p>
        </w:tc>
        <w:tc>
          <w:tcPr>
            <w:tcW w:type="dxa" w:w="1872"/>
          </w:tcPr>
          <w:p>
            <w:r>
              <w:t>23.25%</w:t>
            </w:r>
          </w:p>
        </w:tc>
      </w:tr>
      <w:tr>
        <w:tc>
          <w:tcPr>
            <w:tcW w:type="dxa" w:w="1872"/>
          </w:tcPr>
          <w:p>
            <w:r>
              <w:t>Cluster 2</w:t>
            </w:r>
          </w:p>
        </w:tc>
        <w:tc>
          <w:tcPr>
            <w:tcW w:type="dxa" w:w="1872"/>
          </w:tcPr>
          <w:p>
            <w:r>
              <w:t>86</w:t>
            </w:r>
          </w:p>
        </w:tc>
        <w:tc>
          <w:tcPr>
            <w:tcW w:type="dxa" w:w="1872"/>
          </w:tcPr>
          <w:p>
            <w:r>
              <w:t>20.1%</w:t>
            </w:r>
          </w:p>
        </w:tc>
        <w:tc>
          <w:tcPr>
            <w:tcW w:type="dxa" w:w="1872"/>
          </w:tcPr>
          <w:p>
            <w:r>
              <w:t>30.24%</w:t>
            </w:r>
          </w:p>
        </w:tc>
        <w:tc>
          <w:tcPr>
            <w:tcW w:type="dxa" w:w="1872"/>
          </w:tcPr>
          <w:p>
            <w:r>
              <w:t>51.63%</w:t>
            </w:r>
          </w:p>
        </w:tc>
      </w:tr>
      <w:tr>
        <w:tc>
          <w:tcPr>
            <w:tcW w:type="dxa" w:w="1872"/>
          </w:tcPr>
          <w:p>
            <w:r>
              <w:t>Overall (weighted)</w:t>
            </w:r>
          </w:p>
        </w:tc>
        <w:tc>
          <w:tcPr>
            <w:tcW w:type="dxa" w:w="1872"/>
          </w:tcPr>
          <w:p>
            <w:r>
              <w:t>314</w:t>
            </w:r>
          </w:p>
        </w:tc>
        <w:tc>
          <w:tcPr>
            <w:tcW w:type="dxa" w:w="1872"/>
          </w:tcPr>
          <w:p>
            <w:r>
              <w:t>18.44%</w:t>
            </w:r>
          </w:p>
        </w:tc>
        <w:tc>
          <w:tcPr>
            <w:tcW w:type="dxa" w:w="1872"/>
          </w:tcPr>
          <w:p>
            <w:r>
              <w:t>35.56%</w:t>
            </w:r>
          </w:p>
        </w:tc>
        <w:tc>
          <w:tcPr>
            <w:tcW w:type="dxa" w:w="1872"/>
          </w:tcPr>
          <w:p>
            <w:r>
              <w:t>42.28%</w:t>
            </w:r>
          </w:p>
        </w:tc>
      </w:tr>
    </w:tbl>
    <w:p/>
    <w:p>
      <w:r>
        <w:rPr>
          <w:b/>
          <w:sz w:val="22"/>
        </w:rPr>
        <w:t>Test Period Breakdown</w:t>
      </w:r>
    </w:p>
    <w:p>
      <w:r>
        <w:rPr>
          <w:b w:val="0"/>
          <w:sz w:val="22"/>
        </w:rPr>
        <w:t>The test set is divided into 4 equal periods to assess model stability over time. Box plots of absolute percentage error (APE) are generated for each cluster and horizon, showing the distribution of errors within each period. Period-level MAPE values for H=24h:</w:t>
      </w:r>
    </w:p>
    <w:p>
      <w:r>
        <w:rPr>
          <w:b w:val="0"/>
          <w:sz w:val="22"/>
        </w:rPr>
        <w:t xml:space="preserve">  Cluster 0 (H=24h): Period 1: 84.35%, Period 2: 32.18%, Period 3: 32.88%, Period 4: 33.71%</w:t>
      </w:r>
    </w:p>
    <w:p>
      <w:r>
        <w:rPr>
          <w:b w:val="0"/>
          <w:sz w:val="22"/>
        </w:rPr>
        <w:t xml:space="preserve">  Cluster 1 (H=24h): Period 1: 26.62%, Period 2: 21.16%, Period 3: 17.48%, Period 4: 27.91%</w:t>
      </w:r>
    </w:p>
    <w:p>
      <w:r>
        <w:rPr>
          <w:b w:val="0"/>
          <w:sz w:val="22"/>
        </w:rPr>
        <w:t xml:space="preserve">  Cluster 2 (H=24h): Period 1: 51.79%, Period 2: 18.76%, Period 3: 41.45%, Period 4: 94.68%</w:t>
      </w:r>
    </w:p>
    <w:p/>
    <w:p>
      <w:pPr>
        <w:pStyle w:val="Heading1"/>
      </w:pPr>
      <w:r>
        <w:t>Feature Engineering (D2 Enhancements)</w:t>
      </w:r>
    </w:p>
    <w:p>
      <w:r>
        <w:rPr>
          <w:b w:val="0"/>
          <w:sz w:val="22"/>
        </w:rPr>
        <w:t>Deliverable 2 adds the following cyclical time features as model inputs, concatenated with the univariate load signal for each client:</w:t>
      </w:r>
    </w:p>
    <w:tbl>
      <w:tblPr>
        <w:tblW w:type="auto" w:w="0"/>
        <w:tblLook w:firstColumn="1" w:firstRow="1" w:lastColumn="0" w:lastRow="0" w:noHBand="0" w:noVBand="1" w:val="04A0"/>
      </w:tblPr>
      <w:tblGrid>
        <w:gridCol w:w="3120"/>
        <w:gridCol w:w="3120"/>
        <w:gridCol w:w="3120"/>
      </w:tblGrid>
      <w:tr>
        <w:tc>
          <w:tcPr>
            <w:tcW w:type="dxa" w:w="3120"/>
          </w:tcPr>
          <w:p>
            <w:r>
              <w:rPr>
                <w:b/>
                <w:sz w:val="20"/>
              </w:rPr>
              <w:t>Feature</w:t>
            </w:r>
          </w:p>
        </w:tc>
        <w:tc>
          <w:tcPr>
            <w:tcW w:type="dxa" w:w="3120"/>
          </w:tcPr>
          <w:p>
            <w:r>
              <w:rPr>
                <w:b/>
                <w:sz w:val="20"/>
              </w:rPr>
              <w:t>Formula</w:t>
            </w:r>
          </w:p>
        </w:tc>
        <w:tc>
          <w:tcPr>
            <w:tcW w:type="dxa" w:w="3120"/>
          </w:tcPr>
          <w:p>
            <w:r>
              <w:rPr>
                <w:b/>
                <w:sz w:val="20"/>
              </w:rPr>
              <w:t>Purpose</w:t>
            </w:r>
          </w:p>
        </w:tc>
      </w:tr>
      <w:tr>
        <w:tc>
          <w:tcPr>
            <w:tcW w:type="dxa" w:w="3120"/>
          </w:tcPr>
          <w:p>
            <w:r>
              <w:t>hour_sin / hour_cos</w:t>
            </w:r>
          </w:p>
        </w:tc>
        <w:tc>
          <w:tcPr>
            <w:tcW w:type="dxa" w:w="3120"/>
          </w:tcPr>
          <w:p>
            <w:r>
              <w:t>sin(2pi*hour/24), cos(2pi*hour/24)</w:t>
            </w:r>
          </w:p>
        </w:tc>
        <w:tc>
          <w:tcPr>
            <w:tcW w:type="dxa" w:w="3120"/>
          </w:tcPr>
          <w:p>
            <w:r>
              <w:t>Daily periodicity; hour 23 ~ hour 0</w:t>
            </w:r>
          </w:p>
        </w:tc>
      </w:tr>
      <w:tr>
        <w:tc>
          <w:tcPr>
            <w:tcW w:type="dxa" w:w="3120"/>
          </w:tcPr>
          <w:p>
            <w:r>
              <w:t>dow_sin / dow_cos</w:t>
            </w:r>
          </w:p>
        </w:tc>
        <w:tc>
          <w:tcPr>
            <w:tcW w:type="dxa" w:w="3120"/>
          </w:tcPr>
          <w:p>
            <w:r>
              <w:t>sin(2pi*dow/7), cos(2pi*dow/7)</w:t>
            </w:r>
          </w:p>
        </w:tc>
        <w:tc>
          <w:tcPr>
            <w:tcW w:type="dxa" w:w="3120"/>
          </w:tcPr>
          <w:p>
            <w:r>
              <w:t>Weekly periodicity; Sun ~ Mon</w:t>
            </w:r>
          </w:p>
        </w:tc>
      </w:tr>
      <w:tr>
        <w:tc>
          <w:tcPr>
            <w:tcW w:type="dxa" w:w="3120"/>
          </w:tcPr>
          <w:p>
            <w:r>
              <w:t>month_sin / month_cos</w:t>
            </w:r>
          </w:p>
        </w:tc>
        <w:tc>
          <w:tcPr>
            <w:tcW w:type="dxa" w:w="3120"/>
          </w:tcPr>
          <w:p>
            <w:r>
              <w:t>sin(2pi*month/12), cos(2pi*month/12)</w:t>
            </w:r>
          </w:p>
        </w:tc>
        <w:tc>
          <w:tcPr>
            <w:tcW w:type="dxa" w:w="3120"/>
          </w:tcPr>
          <w:p>
            <w:r>
              <w:t>Annual seasonality</w:t>
            </w:r>
          </w:p>
        </w:tc>
      </w:tr>
      <w:tr>
        <w:tc>
          <w:tcPr>
            <w:tcW w:type="dxa" w:w="3120"/>
          </w:tcPr>
          <w:p>
            <w:r>
              <w:t>is_weekend</w:t>
            </w:r>
          </w:p>
        </w:tc>
        <w:tc>
          <w:tcPr>
            <w:tcW w:type="dxa" w:w="3120"/>
          </w:tcPr>
          <w:p>
            <w:r>
              <w:t>1 if Sat/Sun, else 0</w:t>
            </w:r>
          </w:p>
        </w:tc>
        <w:tc>
          <w:tcPr>
            <w:tcW w:type="dxa" w:w="3120"/>
          </w:tcPr>
          <w:p>
            <w:r>
              <w:t>Weekend consumption patterns</w:t>
            </w:r>
          </w:p>
        </w:tc>
      </w:tr>
      <w:tr>
        <w:tc>
          <w:tcPr>
            <w:tcW w:type="dxa" w:w="3120"/>
          </w:tcPr>
          <w:p>
            <w:r>
              <w:t>is_business_hour</w:t>
            </w:r>
          </w:p>
        </w:tc>
        <w:tc>
          <w:tcPr>
            <w:tcW w:type="dxa" w:w="3120"/>
          </w:tcPr>
          <w:p>
            <w:r>
              <w:t>1 if Mon-Fri 8am-6pm, else 0</w:t>
            </w:r>
          </w:p>
        </w:tc>
        <w:tc>
          <w:tcPr>
            <w:tcW w:type="dxa" w:w="3120"/>
          </w:tcPr>
          <w:p>
            <w:r>
              <w:t>Commercial peak hours</w:t>
            </w:r>
          </w:p>
        </w:tc>
      </w:tr>
    </w:tbl>
    <w:p/>
    <w:p>
      <w:pPr>
        <w:pStyle w:val="Heading1"/>
      </w:pPr>
      <w:r>
        <w:t>Agentic AI Interface</w:t>
      </w:r>
    </w:p>
    <w:p>
      <w:r>
        <w:rPr>
          <w:b w:val="0"/>
          <w:sz w:val="22"/>
        </w:rPr>
        <w:t>As part of the UX requirement, an Agentic AI interface was built using a Streamlit web application with OpenAI GPT-4o-mini as the orchestrating LLM. The system implements the following agentic workflow:</w:t>
      </w:r>
    </w:p>
    <w:p>
      <w:r>
        <w:rPr>
          <w:b w:val="0"/>
          <w:sz w:val="22"/>
        </w:rPr>
        <w:t>1. The business manager enters a client ID or consumer name in natural language (e.g., 'Get forecast for client MT_042').</w:t>
      </w:r>
    </w:p>
    <w:p>
      <w:r>
        <w:rPr>
          <w:b w:val="0"/>
          <w:sz w:val="22"/>
        </w:rPr>
        <w:t>2. The LLM agent calls a lookup_client tool to resolve the client ID and find their cluster assignment.</w:t>
      </w:r>
    </w:p>
    <w:p>
      <w:r>
        <w:rPr>
          <w:b w:val="0"/>
          <w:sz w:val="22"/>
        </w:rPr>
        <w:t>3. The LLM agent calls a run_forecast tool, which loads the correct per-cluster PatchTST model, feeds in the latest 168-hour data window with time features, runs inference, and returns actual predicted kWh values for each future hour.</w:t>
      </w:r>
    </w:p>
    <w:p>
      <w:r>
        <w:rPr>
          <w:b w:val="0"/>
          <w:sz w:val="22"/>
        </w:rPr>
        <w:t>4. The LLM presents the forecast in business-friendly language, highlighting peak hours, model accuracy (MAPE), and actionable insights.</w:t>
      </w:r>
    </w:p>
    <w:p>
      <w:r>
        <w:rPr>
          <w:b w:val="0"/>
          <w:sz w:val="22"/>
        </w:rPr>
        <w:t>5. The agent supports follow-up questions and multi-turn conversations.</w:t>
      </w:r>
    </w:p>
    <w:p>
      <w:r>
        <w:rPr>
          <w:b w:val="0"/>
          <w:sz w:val="22"/>
        </w:rPr>
        <w:t>The tool-calling architecture ensures the LLM does not hallucinate forecast values. All numerical predictions come directly from the trained PatchTST models. Available tools: lookup_client, run_forecast, list_clients, get_cluster_info.</w:t>
      </w:r>
    </w:p>
    <w:p/>
    <w:p>
      <w:pPr>
        <w:pStyle w:val="Heading1"/>
      </w:pPr>
      <w:r>
        <w:t>Next Steps</w:t>
      </w:r>
    </w:p>
    <w:p>
      <w:r>
        <w:rPr>
          <w:b w:val="0"/>
          <w:sz w:val="22"/>
        </w:rPr>
        <w:t>1. Implement the Latent Diffusion Transformer (LDT) from Feng et al. (AAAI 2024) using PatchTST as the backbone for the statistics-aware autoencoder.</w:t>
      </w:r>
    </w:p>
    <w:p>
      <w:r>
        <w:rPr>
          <w:b w:val="0"/>
          <w:sz w:val="22"/>
        </w:rPr>
        <w:t>2. Add probabilistic forecasting with calibrated prediction intervals (CRPS/WIS metrics).</w:t>
      </w:r>
    </w:p>
    <w:p>
      <w:r>
        <w:rPr>
          <w:b w:val="0"/>
          <w:sz w:val="22"/>
        </w:rPr>
        <w:t>3. Incorporate external data (Portuguese holiday calendar, weather data) to reduce errors in periods with high MAPE.</w:t>
      </w:r>
    </w:p>
    <w:p>
      <w:r>
        <w:rPr>
          <w:b w:val="0"/>
          <w:sz w:val="22"/>
        </w:rPr>
        <w:t>4. Outlier detection and handling for clients with irregular consumption patterns.</w:t>
      </w:r>
    </w:p>
    <w:p>
      <w:r>
        <w:rPr>
          <w:b w:val="0"/>
          <w:sz w:val="22"/>
        </w:rPr>
        <w:t>5. Hyperparameter tuning with Optuna across all clusters and horizons.</w:t>
      </w:r>
    </w:p>
    <w:p>
      <w:r>
        <w:rPr>
          <w:b w:val="0"/>
          <w:sz w:val="22"/>
        </w:rPr>
        <w:t>6. Extend the Agentic AI interface with inline forecast visualization charts.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c3828@columbia.edu" TargetMode="External"/><Relationship Id="rId7" Type="http://schemas.openxmlformats.org/officeDocument/2006/relationships/hyperlink" Target="mailto:aa5807@columbia.edu" TargetMode="External"/><Relationship Id="rId8" Type="http://schemas.openxmlformats.org/officeDocument/2006/relationships/hyperlink" Target="mailto:hp2731@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