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73021" w14:textId="1A690AE5" w:rsidR="008719F2" w:rsidRDefault="007D5FF3">
      <w:pPr>
        <w:pStyle w:val="Title"/>
      </w:pPr>
      <w:r>
        <w:t>Kin Dependency Ratios: An Extension and Application of the Goodman Method for Estimating the Availability of Kin</w:t>
      </w:r>
    </w:p>
    <w:p w14:paraId="4AD3AD1C" w14:textId="1D92CE6D" w:rsidR="00E13BA6" w:rsidRPr="00E13BA6" w:rsidRDefault="00D448E5" w:rsidP="00E13BA6">
      <w:pPr>
        <w:pStyle w:val="Author"/>
      </w:pPr>
      <w:r>
        <w:t>Pil H. Chung</w:t>
      </w:r>
      <w:r w:rsidR="00436061">
        <w:rPr>
          <w:rStyle w:val="FootnoteReference"/>
        </w:rPr>
        <w:footnoteReference w:id="1"/>
      </w:r>
      <w:r>
        <w:t xml:space="preserve"> &amp; Monica J. Alexander</w:t>
      </w:r>
      <w:r w:rsidR="00436061">
        <w:rPr>
          <w:rStyle w:val="FootnoteReference"/>
        </w:rPr>
        <w:footnoteReference w:id="2"/>
      </w:r>
    </w:p>
    <w:p w14:paraId="51C73022" w14:textId="77777777" w:rsidR="008719F2" w:rsidRDefault="007D5FF3">
      <w:pPr>
        <w:pStyle w:val="Abstract"/>
      </w:pPr>
      <w:r>
        <w:t xml:space="preserve">We introduce a set of life table equations for estimating the number of living kin over ages using readily-available data on </w:t>
      </w:r>
      <w:r>
        <w:t>fertility and mortality. These equations extend the classic measurement strategy of Goodman et al. (1974, 1975) by offering a way to estimate kin counts under demographic conditions that may vary over time. We demonstrate a practical application of this te</w:t>
      </w:r>
      <w:r>
        <w:t xml:space="preserve">chnique: the derivation of a </w:t>
      </w:r>
      <w:r>
        <w:rPr>
          <w:i/>
        </w:rPr>
        <w:t>kin dependency ratio</w:t>
      </w:r>
      <w:r>
        <w:t xml:space="preserve"> (KDR)—a measure of expected kin support burden—which we compare to the </w:t>
      </w:r>
      <w:r>
        <w:rPr>
          <w:i/>
        </w:rPr>
        <w:t>total age dependency ratio</w:t>
      </w:r>
      <w:r>
        <w:t xml:space="preserve"> (TADR), a commonly-reported measure of public support burden in aging populations. We end with a discussion </w:t>
      </w:r>
      <w:r>
        <w:t>about the strengths and limitations of our method, and ways that future work may improve it.</w:t>
      </w:r>
    </w:p>
    <w:p w14:paraId="5F73A6C5" w14:textId="77777777" w:rsidR="00D448E5" w:rsidRDefault="00D448E5">
      <w:pPr>
        <w:pStyle w:val="Heading1"/>
        <w:sectPr w:rsidR="00D448E5" w:rsidSect="00870F66">
          <w:headerReference w:type="default" r:id="rId8"/>
          <w:footerReference w:type="default" r:id="rId9"/>
          <w:footerReference w:type="first" r:id="rId10"/>
          <w:footnotePr>
            <w:numFmt w:val="chicago"/>
          </w:footnotePr>
          <w:pgSz w:w="12240" w:h="15840"/>
          <w:pgMar w:top="2016" w:right="2016" w:bottom="2016" w:left="2016" w:header="720" w:footer="720" w:gutter="0"/>
          <w:cols w:space="720"/>
          <w:titlePg/>
          <w:docGrid w:linePitch="326"/>
        </w:sectPr>
      </w:pPr>
      <w:bookmarkStart w:id="0" w:name="introduction"/>
    </w:p>
    <w:p w14:paraId="51C73023" w14:textId="429EC18A" w:rsidR="008719F2" w:rsidRDefault="007D5FF3">
      <w:pPr>
        <w:pStyle w:val="Heading1"/>
      </w:pPr>
      <w:r>
        <w:lastRenderedPageBreak/>
        <w:t>Introduction</w:t>
      </w:r>
      <w:bookmarkEnd w:id="0"/>
    </w:p>
    <w:p w14:paraId="51C73024" w14:textId="77777777" w:rsidR="008719F2" w:rsidRDefault="007D5FF3">
      <w:r>
        <w:t>Starting in the mid-1960s a line of demographic research began to develop a formal measurement strategy for estimating the number of living kin (herea</w:t>
      </w:r>
      <w:r>
        <w:t xml:space="preserve">fter: kin availability) from fundamental demographic rates. Recognizing that kinship (biologically-defined) was heavily determined by rates of fertility and mortality, population researchers began to elaborate a set of methods to estimate kin availability </w:t>
      </w:r>
      <w:r>
        <w:t>from these quantities. This research culminated in a set of formal life table equations by Goodman, Keyfitz, and Pullum (1974) that enabled this estimation under stable population assumptions. These equations represented the strongest effort, at that time,</w:t>
      </w:r>
      <w:r>
        <w:t xml:space="preserve"> to formally relate the structure of kinship to its demographic determinants; and they opened up exciting new possibilities for systematically exploring the relationship between fertility, mortality, and kinship wherever data on such quantities could be fo</w:t>
      </w:r>
      <w:r>
        <w:t>und.</w:t>
      </w:r>
      <w:r>
        <w:rPr>
          <w:rStyle w:val="FootnoteReference"/>
        </w:rPr>
        <w:footnoteReference w:id="3"/>
      </w:r>
    </w:p>
    <w:p w14:paraId="51C73025" w14:textId="77777777" w:rsidR="008719F2" w:rsidRDefault="007D5FF3">
      <w:pPr>
        <w:pStyle w:val="BodyText"/>
      </w:pPr>
      <w:r>
        <w:t>In recent years, interest in demographic measurements of kin availability has been increasingly driven by material concerns surrounding the aging of national populations. A 2015 report by the United Nations Population Division predicts that by the ye</w:t>
      </w:r>
      <w:r>
        <w:t>ar 2050, the world’s share of people aged 60 years or older will increase almost two-fold from one-in-eight persons to one-in-five (United Nations, Department of Economic and Social Affairs 2015). This unprecedented shift in the age distribution raises the</w:t>
      </w:r>
      <w:r>
        <w:t xml:space="preserve"> question of how society will organize to materially support the post-retirement population as its growth outpaces that of the working-age population.</w:t>
      </w:r>
    </w:p>
    <w:p w14:paraId="51C73026" w14:textId="77777777" w:rsidR="008719F2" w:rsidRDefault="007D5FF3">
      <w:pPr>
        <w:pStyle w:val="BodyText"/>
      </w:pPr>
      <w:r>
        <w:t>A diverse literature has emerged surrounding this issue.</w:t>
      </w:r>
      <w:r>
        <w:rPr>
          <w:rStyle w:val="FootnoteReference"/>
        </w:rPr>
        <w:footnoteReference w:id="4"/>
      </w:r>
      <w:r>
        <w:t xml:space="preserve"> Broadly speaking, researchers distinguish betwe</w:t>
      </w:r>
      <w:r>
        <w:t xml:space="preserve">en public and private mechanisms of old-age support. Public support systems, in this context, typically refer to public pension programs (e.g. </w:t>
      </w:r>
      <w:r>
        <w:rPr>
          <w:i/>
        </w:rPr>
        <w:t>Social Security</w:t>
      </w:r>
      <w:r>
        <w:t xml:space="preserve"> in the United States) or other in-kind transfer programs that are largely funded by the working a</w:t>
      </w:r>
      <w:r>
        <w:t xml:space="preserve">ge population. The </w:t>
      </w:r>
      <w:r>
        <w:rPr>
          <w:i/>
        </w:rPr>
        <w:t>old age dependency ratio</w:t>
      </w:r>
      <w:r>
        <w:t xml:space="preserve"> (OADR)—usually defined as the number of individuals 65 years or older divided by the number of “working-age” individuals (15-64 years old)—provides a rough measure of the likely support burden faced by these publ</w:t>
      </w:r>
      <w:r>
        <w:t>ic systems.</w:t>
      </w:r>
      <w:r>
        <w:rPr>
          <w:rStyle w:val="FootnoteReference"/>
        </w:rPr>
        <w:footnoteReference w:id="5"/>
      </w:r>
    </w:p>
    <w:p w14:paraId="51C73027" w14:textId="77777777" w:rsidR="008719F2" w:rsidRDefault="007D5FF3">
      <w:pPr>
        <w:pStyle w:val="BodyText"/>
      </w:pPr>
      <w:r>
        <w:t xml:space="preserve">As for private mechanisms of old-age support, the family is the principal vehicle (R. Lee and Donehower 2011). Especially in nations where public old age support is scarce, the family is likely to be the primary source of material support for </w:t>
      </w:r>
      <w:r>
        <w:t xml:space="preserve">dependent elders. Curiously, there are no widely-reported measures of expected family support burden like there are for </w:t>
      </w:r>
      <w:r>
        <w:lastRenderedPageBreak/>
        <w:t>the expected public support burden (i.e. the OADR just mentioned). This is likely due to the general dearth of data on kinship structure</w:t>
      </w:r>
      <w:r>
        <w:t xml:space="preserve">s. While the OADR derives entirely from readily-observed population age distributions, an analogous </w:t>
      </w:r>
      <w:r>
        <w:rPr>
          <w:i/>
        </w:rPr>
        <w:t>kin dependency ratio</w:t>
      </w:r>
      <w:r>
        <w:t xml:space="preserve"> (KDR) would require information, not only about the age of individuals in a population, but also about how those individuals are relate</w:t>
      </w:r>
      <w:r>
        <w:t>d to one another via familial ties.</w:t>
      </w:r>
    </w:p>
    <w:p w14:paraId="51C73028" w14:textId="77777777" w:rsidR="008719F2" w:rsidRDefault="007D5FF3">
      <w:pPr>
        <w:pStyle w:val="BodyText"/>
      </w:pPr>
      <w:r>
        <w:t>In this paper, we present an extended version of Goodman and Colleague’s classic method of calculating kin availability as a reasonable alternative when actual data on kinship is absent. Our method relies solely on readi</w:t>
      </w:r>
      <w:r>
        <w:t>ly-available age-specific fertility and mortality data and a set of easily-calculable life table equations. We improve on Goodman’s original method by dropping the stable population assumption, thus allowing for the estimation of kin availability as a func</w:t>
      </w:r>
      <w:r>
        <w:t xml:space="preserve">tion of demographic rates that need not be constant over time.  Then, as a demonstration of the practical applicability of this type of estimation, we define a </w:t>
      </w:r>
      <w:r>
        <w:rPr>
          <w:i/>
        </w:rPr>
        <w:t>kin dependency ratio</w:t>
      </w:r>
      <w:r>
        <w:t xml:space="preserve"> as a measure of expected kin support burden, which we compare to existing </w:t>
      </w:r>
      <w:r>
        <w:rPr>
          <w:i/>
        </w:rPr>
        <w:t>t</w:t>
      </w:r>
      <w:r>
        <w:rPr>
          <w:i/>
        </w:rPr>
        <w:t>otal age support ratios</w:t>
      </w:r>
      <w:r>
        <w:t xml:space="preserve"> (a generalization of the OADR) across a sample of countries at different points in time. We end with a discussion about the strengths and limitations of this technique in modern populations, and future opportunities for improvements</w:t>
      </w:r>
      <w:r>
        <w:t xml:space="preserve"> to kinship measurement in demographic research.</w:t>
      </w:r>
    </w:p>
    <w:p w14:paraId="51C73029" w14:textId="77777777" w:rsidR="008719F2" w:rsidRDefault="007D5FF3">
      <w:pPr>
        <w:pStyle w:val="Heading1"/>
      </w:pPr>
      <w:bookmarkStart w:id="1" w:name="measuring-kin-availability"/>
      <w:r>
        <w:t>Measuring Kin Availability</w:t>
      </w:r>
      <w:bookmarkEnd w:id="1"/>
    </w:p>
    <w:p w14:paraId="51C7302A" w14:textId="77777777" w:rsidR="008719F2" w:rsidRDefault="007D5FF3">
      <w:r>
        <w:t>The formal demography of kinship estimation has had a long history. Perhaps the earliest example is work published in 1931 by Alfred Lotka, which derived life table equations to es</w:t>
      </w:r>
      <w:r>
        <w:t xml:space="preserve">timate orphanhood rates from data on mortality and the mean age of childbearing (Lotka 1931). Subsequent work by Jean Fourastié, derived estimates of marital duration (joint survival time of husband and wife) from data on mortality rates (Fourastie 1959); </w:t>
      </w:r>
      <w:r>
        <w:t>and Heer and Smith used similar methods to estimate the likelihood of elderly parents having surviving children (Heer and Smith 1968).</w:t>
      </w:r>
    </w:p>
    <w:p w14:paraId="51C7302B" w14:textId="77777777" w:rsidR="008719F2" w:rsidRDefault="007D5FF3">
      <w:pPr>
        <w:pStyle w:val="BodyText"/>
      </w:pPr>
      <w:r>
        <w:t>By the mid-1960s, Goodman, Keyfitz, and Pullum (1974, 1975) had elaborated a set of life table equations that allowed for</w:t>
      </w:r>
      <w:r>
        <w:t xml:space="preserve"> the calculation of age-specific survival for a wide range of kin relations (henceforth: the “Goodman Equations”). These equations provided perhaps the most complete formalization of these methods up to that point (we discuss these equations in detail in a</w:t>
      </w:r>
      <w:r>
        <w:t>n upcoming section). However, these equations operated under a set of strong assumptions that limited the generalizability of the estimates they produced.</w:t>
      </w:r>
    </w:p>
    <w:p w14:paraId="51C7302C" w14:textId="77777777" w:rsidR="008719F2" w:rsidRDefault="007D5FF3">
      <w:pPr>
        <w:pStyle w:val="BodyText"/>
      </w:pPr>
      <w:r>
        <w:t>Three limitations, in particular, are worth highlighting here. First, the Goodman Equations (in their</w:t>
      </w:r>
      <w:r>
        <w:t xml:space="preserve"> original formulation) assume stable fertility and mortality rates. This makes estimates of kinship derived for populations experiencing substantial real fluctuation in their fertility and/or mortality much less reliable. Second, these equations assume tha</w:t>
      </w:r>
      <w:r>
        <w:t xml:space="preserve">t fertility rates are parity-agnostic (i.e. all women have the same probability of childbearing no matter how many children they’ve already had). This has the potential to bias the estimated </w:t>
      </w:r>
      <w:r>
        <w:lastRenderedPageBreak/>
        <w:t>number of kin depending on the level and parity-distribution of f</w:t>
      </w:r>
      <w:r>
        <w:t>ertility control exercised in a population. Finally, these equations only account for women and their female kin.</w:t>
      </w:r>
    </w:p>
    <w:p w14:paraId="51C7302D" w14:textId="77777777" w:rsidR="008719F2" w:rsidRDefault="007D5FF3">
      <w:pPr>
        <w:pStyle w:val="BodyText"/>
      </w:pPr>
      <w:r>
        <w:t>These limitations were later addressed by a line of computational demography starting in the 1970s that sought to leverage computer-driven mic</w:t>
      </w:r>
      <w:r>
        <w:t>rosimulation techniques to estimate various kinship quantities (Zhao 2006). The two most prominent microsimulation systems to emerge from this work were SOCSIM and CAMSIM</w:t>
      </w:r>
      <w:r>
        <w:rPr>
          <w:rStyle w:val="FootnoteReference"/>
        </w:rPr>
        <w:footnoteReference w:id="6"/>
      </w:r>
      <w:r>
        <w:t xml:space="preserve"> (though in recent years, SOCSIM has seen much more active use in published research</w:t>
      </w:r>
      <w:r>
        <w:rPr>
          <w:rStyle w:val="FootnoteReference"/>
        </w:rPr>
        <w:footnoteReference w:id="7"/>
      </w:r>
      <w:r>
        <w:t xml:space="preserve">). Both were designed to allow for the modeling of population composition and dynamics by </w:t>
      </w:r>
      <w:r>
        <w:rPr>
          <w:i/>
        </w:rPr>
        <w:t>aggregating up</w:t>
      </w:r>
      <w:r>
        <w:t xml:space="preserve"> the behavior of simulated individuals constrained to reproduce and die according to known fertility and mortality rate inputs. Notably, these microsimu</w:t>
      </w:r>
      <w:r>
        <w:t>lation systems could account for time-varying demographic rate schedules, parity-specific fertility, and two-sex populations.</w:t>
      </w:r>
    </w:p>
    <w:p w14:paraId="51C7302E" w14:textId="77777777" w:rsidR="008719F2" w:rsidRDefault="007D5FF3">
      <w:pPr>
        <w:pStyle w:val="Heading1"/>
      </w:pPr>
      <w:bookmarkStart w:id="2" w:name="re-introducing-a-lifetable-approach-to-k"/>
      <w:r>
        <w:t>Re-introducing a Lifetable Approach to Kinship Measurement</w:t>
      </w:r>
      <w:bookmarkEnd w:id="2"/>
    </w:p>
    <w:p w14:paraId="51C7302F" w14:textId="77777777" w:rsidR="008719F2" w:rsidRDefault="007D5FF3">
      <w:r>
        <w:t>Today, there remain plenty of uses for reliable measurements of kin ava</w:t>
      </w:r>
      <w:r>
        <w:t xml:space="preserve">ilability. However, the current state-of-the-art—i.e. microsimulation—methods for deriving these measurements are computationally expensive and difficult to properly set up and calibrate. Even if the computational resources are available, many researchers </w:t>
      </w:r>
      <w:r>
        <w:t>are unlikely to have the time or desire to spend the requisite number of hours to learn, design, implement, and validate a demographic microsimulation model. Thus, it seems worth considering alternative measurement strategies that might be able to get us “</w:t>
      </w:r>
      <w:r>
        <w:t>close enough” without the extreme up-front cost demanded by a microsimulation strategy.</w:t>
      </w:r>
    </w:p>
    <w:p w14:paraId="51C73030" w14:textId="77777777" w:rsidR="008719F2" w:rsidRDefault="007D5FF3">
      <w:pPr>
        <w:pStyle w:val="BodyText"/>
      </w:pPr>
      <w:r>
        <w:t>One option—the one we advocate in this article—is to re-visit the Goodman Equations. In the previous section, we had noted that these equations provided a relatively st</w:t>
      </w:r>
      <w:r>
        <w:t>raightforward method for estimating kin availability given readily-available data on population-level fertility and mortality. However, we also noted the three primary limitations of these equations: (a) the assumption of constant demographic rates; (b) pa</w:t>
      </w:r>
      <w:r>
        <w:t>rity-agnostic fertility rates; and (c) female-only estimates. The first of these, the assumption of constant demographic rates, arguably pose the most serious issues when considering the utility of the resulting estimates. This is because mortality and fer</w:t>
      </w:r>
      <w:r>
        <w:t>tility rates have changed quite markedly for most countries over recent history. .</w:t>
      </w:r>
    </w:p>
    <w:p w14:paraId="51C73031" w14:textId="77777777" w:rsidR="008719F2" w:rsidRDefault="007D5FF3">
      <w:pPr>
        <w:pStyle w:val="BodyText"/>
      </w:pPr>
      <w:r>
        <w:t>In order to leverage the convenience of the Goodman Equations, while mitigating this primary limitation, we propose an extension of these equations, which allows for time-</w:t>
      </w:r>
      <w:r>
        <w:lastRenderedPageBreak/>
        <w:t>va</w:t>
      </w:r>
      <w:r>
        <w:t>rying fertility and mortality rate inputs. In the following sections, we first describe the original Goodman method. Second, we explain our proposed extension of the original method; and then we formally compare estimates of kin availability derived from t</w:t>
      </w:r>
      <w:r>
        <w:t>he original method to estimates derived from the extended method.</w:t>
      </w:r>
    </w:p>
    <w:p w14:paraId="51C73032" w14:textId="77777777" w:rsidR="008719F2" w:rsidRDefault="007D5FF3">
      <w:pPr>
        <w:pStyle w:val="Heading2"/>
      </w:pPr>
      <w:bookmarkStart w:id="3" w:name="the-original-method"/>
      <w:r>
        <w:t>The Original Method</w:t>
      </w:r>
      <w:bookmarkEnd w:id="3"/>
    </w:p>
    <w:p w14:paraId="51C73033" w14:textId="5E51C822" w:rsidR="008719F2" w:rsidRDefault="007D5FF3">
      <w:r>
        <w:t>In Goodman, Keyfitz, and Pullum (1974), a method is laid out by which the expected number of living female relatives of different relations (e.g. mothers, daughters, etc.</w:t>
      </w:r>
      <w:r>
        <w:t xml:space="preserve">) is derived from age-specific rates of survival and fertility. For example, the number of surviving daughters to a woman of age </w:t>
      </w:r>
      <m:oMath>
        <m:r>
          <w:rPr>
            <w:rFonts w:ascii="Cambria Math" w:hAnsi="Cambria Math"/>
          </w:rPr>
          <m:t>a</m:t>
        </m:r>
      </m:oMath>
      <w:r>
        <w:t xml:space="preserve"> (</w:t>
      </w:r>
      <m:oMath>
        <m:r>
          <w:rPr>
            <w:rFonts w:ascii="Cambria Math" w:hAnsi="Cambria Math"/>
          </w:rPr>
          <m:t>a</m:t>
        </m:r>
        <m:r>
          <w:rPr>
            <w:rFonts w:ascii="Cambria Math" w:hAnsi="Cambria Math"/>
          </w:rPr>
          <m:t>&gt;</m:t>
        </m:r>
        <m:r>
          <w:rPr>
            <w:rFonts w:ascii="Cambria Math" w:hAnsi="Cambria Math"/>
          </w:rPr>
          <m:t>α</m:t>
        </m:r>
      </m:oMath>
      <w:r>
        <w:t xml:space="preserve">) at time </w:t>
      </w:r>
      <m:oMath>
        <m:r>
          <w:rPr>
            <w:rFonts w:ascii="Cambria Math" w:hAnsi="Cambria Math"/>
          </w:rPr>
          <m:t>t</m:t>
        </m:r>
      </m:oMath>
      <w:r>
        <w:t xml:space="preserve"> is given by the formula:</w:t>
      </w:r>
    </w:p>
    <w:p w14:paraId="0277B7CB" w14:textId="77777777" w:rsidR="00D448E5" w:rsidRPr="00D448E5" w:rsidRDefault="00D448E5" w:rsidP="00D448E5">
      <w:pPr>
        <w:pStyle w:val="BodyText"/>
      </w:pPr>
    </w:p>
    <w:p w14:paraId="51C73034" w14:textId="77777777" w:rsidR="008719F2" w:rsidRDefault="007D5FF3">
      <w:pPr>
        <w:pStyle w:val="BodyText"/>
      </w:pPr>
      <m:oMathPara>
        <m:oMathParaPr>
          <m:jc m:val="center"/>
        </m:oMathParaPr>
        <m:oMath>
          <m:nary>
            <m:naryPr>
              <m:limLoc m:val="subSup"/>
              <m:ctrlPr>
                <w:rPr>
                  <w:rFonts w:ascii="Cambria Math" w:hAnsi="Cambria Math"/>
                </w:rPr>
              </m:ctrlPr>
            </m:naryPr>
            <m:sub>
              <m:r>
                <w:rPr>
                  <w:rFonts w:ascii="Cambria Math" w:hAnsi="Cambria Math"/>
                </w:rPr>
                <m:t>α</m:t>
              </m:r>
            </m:sub>
            <m:sup>
              <m:r>
                <w:rPr>
                  <w:rFonts w:ascii="Cambria Math" w:hAnsi="Cambria Math"/>
                </w:rPr>
                <m:t>a</m:t>
              </m:r>
            </m:sup>
            <m:e>
              <m:sSub>
                <m:sSubPr>
                  <m:ctrlPr>
                    <w:rPr>
                      <w:rFonts w:ascii="Cambria Math" w:hAnsi="Cambria Math"/>
                    </w:rPr>
                  </m:ctrlPr>
                </m:sSubPr>
                <m:e>
                  <m:r>
                    <w:rPr>
                      <w:rFonts w:ascii="Cambria Math" w:hAnsi="Cambria Math"/>
                    </w:rPr>
                    <m:t>l</m:t>
                  </m:r>
                </m:e>
                <m:sub>
                  <m:r>
                    <w:rPr>
                      <w:rFonts w:ascii="Cambria Math" w:hAnsi="Cambria Math"/>
                    </w:rPr>
                    <m:t>a</m:t>
                  </m:r>
                  <m:r>
                    <w:rPr>
                      <w:rFonts w:ascii="Cambria Math" w:hAnsi="Cambria Math"/>
                    </w:rPr>
                    <m:t>-</m:t>
                  </m:r>
                  <m:r>
                    <w:rPr>
                      <w:rFonts w:ascii="Cambria Math" w:hAnsi="Cambria Math"/>
                    </w:rPr>
                    <m:t>x</m:t>
                  </m:r>
                </m:sub>
              </m:sSub>
            </m:e>
          </m:nary>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dx</m:t>
          </m:r>
        </m:oMath>
      </m:oMathPara>
    </w:p>
    <w:p w14:paraId="38C72D29" w14:textId="77777777" w:rsidR="00D448E5" w:rsidRDefault="00D448E5"/>
    <w:p w14:paraId="51C73035" w14:textId="45D28864" w:rsidR="008719F2" w:rsidRDefault="007D5FF3">
      <w:r>
        <w:t xml:space="preserve">Here, </w:t>
      </w:r>
      <m:oMath>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is the number of female births to a woman of age </w:t>
      </w:r>
      <m:oMath>
        <m:r>
          <w:rPr>
            <w:rFonts w:ascii="Cambria Math" w:hAnsi="Cambria Math"/>
          </w:rPr>
          <m:t>x</m:t>
        </m:r>
      </m:oMath>
      <w:r>
        <w:t xml:space="preserve"> and </w:t>
      </w:r>
      <m:oMath>
        <m:sSub>
          <m:sSubPr>
            <m:ctrlPr>
              <w:rPr>
                <w:rFonts w:ascii="Cambria Math" w:hAnsi="Cambria Math"/>
              </w:rPr>
            </m:ctrlPr>
          </m:sSubPr>
          <m:e>
            <m:r>
              <w:rPr>
                <w:rFonts w:ascii="Cambria Math" w:hAnsi="Cambria Math"/>
              </w:rPr>
              <m:t>l</m:t>
            </m:r>
          </m:e>
          <m:sub>
            <m:r>
              <w:rPr>
                <w:rFonts w:ascii="Cambria Math" w:hAnsi="Cambria Math"/>
              </w:rPr>
              <m:t>a</m:t>
            </m:r>
            <m:r>
              <w:rPr>
                <w:rFonts w:ascii="Cambria Math" w:hAnsi="Cambria Math"/>
              </w:rPr>
              <m:t>-</m:t>
            </m:r>
            <m:r>
              <w:rPr>
                <w:rFonts w:ascii="Cambria Math" w:hAnsi="Cambria Math"/>
              </w:rPr>
              <m:t>x</m:t>
            </m:r>
          </m:sub>
        </m:sSub>
      </m:oMath>
      <w:r>
        <w:t xml:space="preserve"> is the proportion of girls surviving to age </w:t>
      </w:r>
      <m:oMath>
        <m:r>
          <w:rPr>
            <w:rFonts w:ascii="Cambria Math" w:hAnsi="Cambria Math"/>
          </w:rPr>
          <m:t>a</m:t>
        </m:r>
        <m:r>
          <w:rPr>
            <w:rFonts w:ascii="Cambria Math" w:hAnsi="Cambria Math"/>
          </w:rPr>
          <m:t>-</m:t>
        </m:r>
        <m:r>
          <w:rPr>
            <w:rFonts w:ascii="Cambria Math" w:hAnsi="Cambria Math"/>
          </w:rPr>
          <m:t>x</m:t>
        </m:r>
      </m:oMath>
      <w:r>
        <w:t xml:space="preserve"> (i.e. alive when mother is age </w:t>
      </w:r>
      <m:oMath>
        <m:r>
          <w:rPr>
            <w:rFonts w:ascii="Cambria Math" w:hAnsi="Cambria Math"/>
          </w:rPr>
          <m:t>a</m:t>
        </m:r>
      </m:oMath>
      <w:r>
        <w:t>).</w:t>
      </w:r>
    </w:p>
    <w:p w14:paraId="51C73036" w14:textId="4C1C5DA7" w:rsidR="008719F2" w:rsidRDefault="007D5FF3">
      <w:pPr>
        <w:pStyle w:val="BodyText"/>
      </w:pPr>
      <w:r>
        <w:t>Applying the same logic recursively, a formula for the number of grand-daughters can be derived:</w:t>
      </w:r>
    </w:p>
    <w:p w14:paraId="7741AEC0" w14:textId="77777777" w:rsidR="00D448E5" w:rsidRDefault="00D448E5">
      <w:pPr>
        <w:pStyle w:val="BodyText"/>
      </w:pPr>
    </w:p>
    <w:p w14:paraId="51C73037" w14:textId="77777777" w:rsidR="008719F2" w:rsidRDefault="007D5FF3">
      <w:pPr>
        <w:pStyle w:val="BodyText"/>
      </w:pPr>
      <m:oMathPara>
        <m:oMathParaPr>
          <m:jc m:val="center"/>
        </m:oMathParaPr>
        <m:oMath>
          <m:nary>
            <m:naryPr>
              <m:limLoc m:val="subSup"/>
              <m:ctrlPr>
                <w:rPr>
                  <w:rFonts w:ascii="Cambria Math" w:hAnsi="Cambria Math"/>
                </w:rPr>
              </m:ctrlPr>
            </m:naryPr>
            <m:sub>
              <m:r>
                <w:rPr>
                  <w:rFonts w:ascii="Cambria Math" w:hAnsi="Cambria Math"/>
                </w:rPr>
                <m:t>α</m:t>
              </m:r>
            </m:sub>
            <m:sup>
              <m:r>
                <w:rPr>
                  <w:rFonts w:ascii="Cambria Math" w:hAnsi="Cambria Math"/>
                </w:rPr>
                <m:t>a</m:t>
              </m:r>
            </m:sup>
            <m:e>
              <m:d>
                <m:dPr>
                  <m:begChr m:val="["/>
                  <m:endChr m:val="]"/>
                  <m:ctrlPr>
                    <w:rPr>
                      <w:rFonts w:ascii="Cambria Math" w:hAnsi="Cambria Math"/>
                    </w:rPr>
                  </m:ctrlPr>
                </m:dPr>
                <m:e>
                  <m:nary>
                    <m:naryPr>
                      <m:limLoc m:val="subSup"/>
                      <m:ctrlPr>
                        <w:rPr>
                          <w:rFonts w:ascii="Cambria Math" w:hAnsi="Cambria Math"/>
                        </w:rPr>
                      </m:ctrlPr>
                    </m:naryPr>
                    <m:sub>
                      <m:r>
                        <w:rPr>
                          <w:rFonts w:ascii="Cambria Math" w:hAnsi="Cambria Math"/>
                        </w:rPr>
                        <m:t>α</m:t>
                      </m:r>
                    </m:sub>
                    <m:sup>
                      <m:r>
                        <w:rPr>
                          <w:rFonts w:ascii="Cambria Math" w:hAnsi="Cambria Math"/>
                        </w:rPr>
                        <m:t>a</m:t>
                      </m:r>
                      <m:r>
                        <w:rPr>
                          <w:rFonts w:ascii="Cambria Math" w:hAnsi="Cambria Math"/>
                        </w:rPr>
                        <m:t>-</m:t>
                      </m:r>
                      <m:r>
                        <w:rPr>
                          <w:rFonts w:ascii="Cambria Math" w:hAnsi="Cambria Math"/>
                        </w:rPr>
                        <m:t>x</m:t>
                      </m:r>
                    </m:sup>
                    <m:e>
                      <m:sSub>
                        <m:sSubPr>
                          <m:ctrlPr>
                            <w:rPr>
                              <w:rFonts w:ascii="Cambria Math" w:hAnsi="Cambria Math"/>
                            </w:rPr>
                          </m:ctrlPr>
                        </m:sSubPr>
                        <m:e>
                          <m:r>
                            <w:rPr>
                              <w:rFonts w:ascii="Cambria Math" w:hAnsi="Cambria Math"/>
                            </w:rPr>
                            <m:t>l</m:t>
                          </m:r>
                        </m:e>
                        <m:sub>
                          <m:r>
                            <w:rPr>
                              <w:rFonts w:ascii="Cambria Math" w:hAnsi="Cambria Math"/>
                            </w:rPr>
                            <m:t>y</m:t>
                          </m:r>
                        </m:sub>
                      </m:sSub>
                    </m:e>
                  </m:nary>
                  <m:sSub>
                    <m:sSubPr>
                      <m:ctrlPr>
                        <w:rPr>
                          <w:rFonts w:ascii="Cambria Math" w:hAnsi="Cambria Math"/>
                        </w:rPr>
                      </m:ctrlPr>
                    </m:sSubPr>
                    <m:e>
                      <m:r>
                        <w:rPr>
                          <w:rFonts w:ascii="Cambria Math" w:hAnsi="Cambria Math"/>
                        </w:rPr>
                        <m:t>m</m:t>
                      </m:r>
                    </m:e>
                    <m:sub>
                      <m:r>
                        <w:rPr>
                          <w:rFonts w:ascii="Cambria Math" w:hAnsi="Cambria Math"/>
                        </w:rPr>
                        <m:t>y</m:t>
                      </m:r>
                    </m:sub>
                  </m:sSub>
                  <m:sSub>
                    <m:sSubPr>
                      <m:ctrlPr>
                        <w:rPr>
                          <w:rFonts w:ascii="Cambria Math" w:hAnsi="Cambria Math"/>
                        </w:rPr>
                      </m:ctrlPr>
                    </m:sSubPr>
                    <m:e>
                      <m:r>
                        <w:rPr>
                          <w:rFonts w:ascii="Cambria Math" w:hAnsi="Cambria Math"/>
                        </w:rPr>
                        <m:t>l</m:t>
                      </m:r>
                    </m:e>
                    <m:sub>
                      <m:r>
                        <w:rPr>
                          <w:rFonts w:ascii="Cambria Math" w:hAnsi="Cambria Math"/>
                        </w:rPr>
                        <m:t>a</m:t>
                      </m:r>
                      <m:r>
                        <w:rPr>
                          <w:rFonts w:ascii="Cambria Math" w:hAnsi="Cambria Math"/>
                        </w:rPr>
                        <m:t>-</m:t>
                      </m:r>
                      <m:r>
                        <w:rPr>
                          <w:rFonts w:ascii="Cambria Math" w:hAnsi="Cambria Math"/>
                        </w:rPr>
                        <m:t>x</m:t>
                      </m:r>
                      <m:r>
                        <w:rPr>
                          <w:rFonts w:ascii="Cambria Math" w:hAnsi="Cambria Math"/>
                        </w:rPr>
                        <m:t>-</m:t>
                      </m:r>
                      <m:r>
                        <w:rPr>
                          <w:rFonts w:ascii="Cambria Math" w:hAnsi="Cambria Math"/>
                        </w:rPr>
                        <m:t>y</m:t>
                      </m:r>
                    </m:sub>
                  </m:sSub>
                  <m:r>
                    <w:rPr>
                      <w:rFonts w:ascii="Cambria Math" w:hAnsi="Cambria Math"/>
                    </w:rPr>
                    <m:t>dy</m:t>
                  </m:r>
                </m:e>
              </m:d>
            </m:e>
          </m:nary>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dx</m:t>
          </m:r>
        </m:oMath>
      </m:oMathPara>
    </w:p>
    <w:p w14:paraId="5E2C2344" w14:textId="77777777" w:rsidR="00D448E5" w:rsidRDefault="00D448E5"/>
    <w:p w14:paraId="51C73038" w14:textId="2E67C638" w:rsidR="008719F2" w:rsidRDefault="007D5FF3">
      <w:r>
        <w:t xml:space="preserve">Here, </w:t>
      </w:r>
      <m:oMath>
        <m:r>
          <w:rPr>
            <w:rFonts w:ascii="Cambria Math" w:hAnsi="Cambria Math"/>
          </w:rPr>
          <m:t>y</m:t>
        </m:r>
      </m:oMath>
      <w:r>
        <w:t xml:space="preserve"> indexes</w:t>
      </w:r>
      <w:r>
        <w:t xml:space="preserve"> the daughter’s age (i.e. the age of the mothers of the grand-daughters being counted).</w:t>
      </w:r>
    </w:p>
    <w:p w14:paraId="51C73039" w14:textId="2DD9E8D9" w:rsidR="008719F2" w:rsidRDefault="007D5FF3">
      <w:pPr>
        <w:pStyle w:val="BodyText"/>
      </w:pPr>
      <w:r>
        <w:t xml:space="preserve">Now moving </w:t>
      </w:r>
      <w:r>
        <w:rPr>
          <w:i/>
        </w:rPr>
        <w:t>up</w:t>
      </w:r>
      <w:r>
        <w:t xml:space="preserve"> generations, the probability of mother’s survival can also be written in terms of age-specific survival and fertility:</w:t>
      </w:r>
    </w:p>
    <w:p w14:paraId="1BC6924B" w14:textId="77777777" w:rsidR="00D448E5" w:rsidRDefault="00D448E5">
      <w:pPr>
        <w:pStyle w:val="BodyText"/>
      </w:pPr>
    </w:p>
    <w:p w14:paraId="51C7303A" w14:textId="2BE70956" w:rsidR="008719F2" w:rsidRPr="00D448E5" w:rsidRDefault="007D5FF3">
      <w:pPr>
        <w:pStyle w:val="BodyText"/>
        <w:rPr>
          <w:rFonts w:eastAsiaTheme="minorEastAsia"/>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r>
            <w:rPr>
              <w:rFonts w:ascii="Cambria Math" w:hAnsi="Cambria Math"/>
            </w:rPr>
            <m:t>a</m:t>
          </m:r>
          <m:r>
            <w:rPr>
              <w:rFonts w:ascii="Cambria Math" w:hAnsi="Cambria Math"/>
            </w:rPr>
            <m:t>)=</m:t>
          </m:r>
          <m:nary>
            <m:naryPr>
              <m:limLoc m:val="subSup"/>
              <m:ctrlPr>
                <w:rPr>
                  <w:rFonts w:ascii="Cambria Math" w:hAnsi="Cambria Math"/>
                </w:rPr>
              </m:ctrlPr>
            </m:naryPr>
            <m:sub>
              <m:r>
                <w:rPr>
                  <w:rFonts w:ascii="Cambria Math" w:hAnsi="Cambria Math"/>
                </w:rPr>
                <m:t>α</m:t>
              </m:r>
            </m:sub>
            <m:sup>
              <m:r>
                <w:rPr>
                  <w:rFonts w:ascii="Cambria Math" w:hAnsi="Cambria Math"/>
                </w:rPr>
                <m:t>β</m:t>
              </m:r>
            </m:sup>
            <m:e>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x</m:t>
                      </m:r>
                      <m:r>
                        <w:rPr>
                          <w:rFonts w:ascii="Cambria Math" w:hAnsi="Cambria Math"/>
                        </w:rPr>
                        <m:t>+</m:t>
                      </m:r>
                      <m:r>
                        <w:rPr>
                          <w:rFonts w:ascii="Cambria Math" w:hAnsi="Cambria Math"/>
                        </w:rPr>
                        <m:t>a</m:t>
                      </m:r>
                    </m:sub>
                  </m:sSub>
                </m:num>
                <m:den>
                  <m:sSub>
                    <m:sSubPr>
                      <m:ctrlPr>
                        <w:rPr>
                          <w:rFonts w:ascii="Cambria Math" w:hAnsi="Cambria Math"/>
                        </w:rPr>
                      </m:ctrlPr>
                    </m:sSubPr>
                    <m:e>
                      <m:r>
                        <w:rPr>
                          <w:rFonts w:ascii="Cambria Math" w:hAnsi="Cambria Math"/>
                        </w:rPr>
                        <m:t>l</m:t>
                      </m:r>
                    </m:e>
                    <m:sub>
                      <m:r>
                        <w:rPr>
                          <w:rFonts w:ascii="Cambria Math" w:hAnsi="Cambria Math"/>
                        </w:rPr>
                        <m:t>x</m:t>
                      </m:r>
                    </m:sub>
                  </m:sSub>
                </m:den>
              </m:f>
            </m:e>
          </m:nary>
          <m:r>
            <w:rPr>
              <w:rFonts w:ascii="Cambria Math" w:hAnsi="Cambria Math"/>
            </w:rPr>
            <m:t>W</m:t>
          </m:r>
          <m:r>
            <w:rPr>
              <w:rFonts w:ascii="Cambria Math" w:hAnsi="Cambria Math"/>
            </w:rPr>
            <m:t>(</m:t>
          </m:r>
          <m:r>
            <w:rPr>
              <w:rFonts w:ascii="Cambria Math" w:hAnsi="Cambria Math"/>
            </w:rPr>
            <m:t>x</m:t>
          </m:r>
          <m:r>
            <w:rPr>
              <w:rFonts w:ascii="Cambria Math" w:hAnsi="Cambria Math"/>
            </w:rPr>
            <m:t>|</m:t>
          </m:r>
          <m:r>
            <w:rPr>
              <w:rFonts w:ascii="Cambria Math" w:hAnsi="Cambria Math"/>
            </w:rPr>
            <m:t>t</m:t>
          </m:r>
          <m:r>
            <w:rPr>
              <w:rFonts w:ascii="Cambria Math" w:hAnsi="Cambria Math"/>
            </w:rPr>
            <m:t>-</m:t>
          </m:r>
          <m:r>
            <w:rPr>
              <w:rFonts w:ascii="Cambria Math" w:hAnsi="Cambria Math"/>
            </w:rPr>
            <m:t>a</m:t>
          </m:r>
          <m:r>
            <w:rPr>
              <w:rFonts w:ascii="Cambria Math" w:hAnsi="Cambria Math"/>
            </w:rPr>
            <m:t>)</m:t>
          </m:r>
          <m:r>
            <w:rPr>
              <w:rFonts w:ascii="Cambria Math" w:hAnsi="Cambria Math"/>
            </w:rPr>
            <m:t>dx</m:t>
          </m:r>
        </m:oMath>
      </m:oMathPara>
    </w:p>
    <w:p w14:paraId="595DE3A9" w14:textId="77777777" w:rsidR="00D448E5" w:rsidRDefault="00D448E5">
      <w:pPr>
        <w:pStyle w:val="BodyText"/>
      </w:pPr>
    </w:p>
    <w:p w14:paraId="51C7303B" w14:textId="01F3A5D0" w:rsidR="008719F2" w:rsidRDefault="007D5FF3">
      <w:r>
        <w:t xml:space="preserve">Here, </w:t>
      </w:r>
      <m:oMath>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x</m:t>
                </m:r>
                <m:r>
                  <w:rPr>
                    <w:rFonts w:ascii="Cambria Math" w:hAnsi="Cambria Math"/>
                  </w:rPr>
                  <m:t>+</m:t>
                </m:r>
                <m:r>
                  <w:rPr>
                    <w:rFonts w:ascii="Cambria Math" w:hAnsi="Cambria Math"/>
                  </w:rPr>
                  <m:t>a</m:t>
                </m:r>
              </m:sub>
            </m:sSub>
          </m:num>
          <m:den>
            <m:sSub>
              <m:sSubPr>
                <m:ctrlPr>
                  <w:rPr>
                    <w:rFonts w:ascii="Cambria Math" w:hAnsi="Cambria Math"/>
                  </w:rPr>
                </m:ctrlPr>
              </m:sSubPr>
              <m:e>
                <m:r>
                  <w:rPr>
                    <w:rFonts w:ascii="Cambria Math" w:hAnsi="Cambria Math"/>
                  </w:rPr>
                  <m:t>l</m:t>
                </m:r>
              </m:e>
              <m:sub>
                <m:r>
                  <w:rPr>
                    <w:rFonts w:ascii="Cambria Math" w:hAnsi="Cambria Math"/>
                  </w:rPr>
                  <m:t>x</m:t>
                </m:r>
              </m:sub>
            </m:sSub>
          </m:den>
        </m:f>
      </m:oMath>
      <w:r>
        <w:t xml:space="preserve"> is the mean probability that a mother who gave birth to a girl who is now age </w:t>
      </w:r>
      <m:oMath>
        <m:r>
          <w:rPr>
            <w:rFonts w:ascii="Cambria Math" w:hAnsi="Cambria Math"/>
          </w:rPr>
          <m:t>a</m:t>
        </m:r>
      </m:oMath>
      <w:r>
        <w:t xml:space="preserve"> (when the mother was age </w:t>
      </w:r>
      <m:oMath>
        <m:r>
          <w:rPr>
            <w:rFonts w:ascii="Cambria Math" w:hAnsi="Cambria Math"/>
          </w:rPr>
          <m:t>x</m:t>
        </m:r>
      </m:oMath>
      <w:r>
        <w:t xml:space="preserve">) is still alive; and </w:t>
      </w:r>
      <m:oMath>
        <m:r>
          <w:rPr>
            <w:rFonts w:ascii="Cambria Math" w:hAnsi="Cambria Math"/>
          </w:rPr>
          <m:t>W</m:t>
        </m:r>
        <m:r>
          <w:rPr>
            <w:rFonts w:ascii="Cambria Math" w:hAnsi="Cambria Math"/>
          </w:rPr>
          <m:t>(</m:t>
        </m:r>
        <m:r>
          <w:rPr>
            <w:rFonts w:ascii="Cambria Math" w:hAnsi="Cambria Math"/>
          </w:rPr>
          <m:t>x</m:t>
        </m:r>
        <m:r>
          <w:rPr>
            <w:rFonts w:ascii="Cambria Math" w:hAnsi="Cambria Math"/>
          </w:rPr>
          <m:t>|</m:t>
        </m:r>
        <m:r>
          <w:rPr>
            <w:rFonts w:ascii="Cambria Math" w:hAnsi="Cambria Math"/>
          </w:rPr>
          <m:t>t</m:t>
        </m:r>
        <m:r>
          <w:rPr>
            <w:rFonts w:ascii="Cambria Math" w:hAnsi="Cambria Math"/>
          </w:rPr>
          <m:t>-</m:t>
        </m:r>
        <m:r>
          <w:rPr>
            <w:rFonts w:ascii="Cambria Math" w:hAnsi="Cambria Math"/>
          </w:rPr>
          <m:t>a</m:t>
        </m:r>
        <m:r>
          <w:rPr>
            <w:rFonts w:ascii="Cambria Math" w:hAnsi="Cambria Math"/>
          </w:rPr>
          <m:t>)</m:t>
        </m:r>
      </m:oMath>
      <w:r>
        <w:t xml:space="preserve"> is the age distribution (at time </w:t>
      </w:r>
      <m:oMath>
        <m:r>
          <w:rPr>
            <w:rFonts w:ascii="Cambria Math" w:hAnsi="Cambria Math"/>
          </w:rPr>
          <m:t>t</m:t>
        </m:r>
        <m:r>
          <w:rPr>
            <w:rFonts w:ascii="Cambria Math" w:hAnsi="Cambria Math"/>
          </w:rPr>
          <m:t>-</m:t>
        </m:r>
        <m:r>
          <w:rPr>
            <w:rFonts w:ascii="Cambria Math" w:hAnsi="Cambria Math"/>
          </w:rPr>
          <m:t>a</m:t>
        </m:r>
      </m:oMath>
      <w:r>
        <w:t xml:space="preserve">) of women who gave birth to a daughter at time </w:t>
      </w:r>
      <m:oMath>
        <m:r>
          <w:rPr>
            <w:rFonts w:ascii="Cambria Math" w:hAnsi="Cambria Math"/>
          </w:rPr>
          <m:t>t</m:t>
        </m:r>
        <m:r>
          <w:rPr>
            <w:rFonts w:ascii="Cambria Math" w:hAnsi="Cambria Math"/>
          </w:rPr>
          <m:t>-</m:t>
        </m:r>
        <m:r>
          <w:rPr>
            <w:rFonts w:ascii="Cambria Math" w:hAnsi="Cambria Math"/>
          </w:rPr>
          <m:t>a</m:t>
        </m:r>
      </m:oMath>
      <w:r>
        <w:t>. In their original paper, the authors assume a stable population, such that</w:t>
      </w:r>
    </w:p>
    <w:p w14:paraId="7B2CC0C0" w14:textId="77777777" w:rsidR="00D448E5" w:rsidRPr="00D448E5" w:rsidRDefault="00D448E5" w:rsidP="00D448E5">
      <w:pPr>
        <w:pStyle w:val="BodyText"/>
      </w:pPr>
    </w:p>
    <w:p w14:paraId="51C7303C" w14:textId="77777777" w:rsidR="008719F2" w:rsidRDefault="007D5FF3">
      <w:pPr>
        <w:pStyle w:val="BodyText"/>
      </w:pPr>
      <m:oMathPara>
        <m:oMathParaPr>
          <m:jc m:val="center"/>
        </m:oMathParaPr>
        <m:oMath>
          <m:r>
            <w:rPr>
              <w:rFonts w:ascii="Cambria Math" w:hAnsi="Cambria Math"/>
            </w:rPr>
            <m:t>W</m:t>
          </m:r>
          <m:r>
            <w:rPr>
              <w:rFonts w:ascii="Cambria Math" w:hAnsi="Cambria Math"/>
            </w:rPr>
            <m:t>(</m:t>
          </m:r>
          <m:r>
            <w:rPr>
              <w:rFonts w:ascii="Cambria Math" w:hAnsi="Cambria Math"/>
            </w:rPr>
            <m:t>x</m:t>
          </m:r>
          <m:r>
            <w:rPr>
              <w:rFonts w:ascii="Cambria Math" w:hAnsi="Cambria Math"/>
            </w:rPr>
            <m:t>|</m:t>
          </m:r>
          <m:r>
            <w:rPr>
              <w:rFonts w:ascii="Cambria Math" w:hAnsi="Cambria Math"/>
            </w:rPr>
            <m:t>t</m:t>
          </m:r>
          <m:r>
            <w:rPr>
              <w:rFonts w:ascii="Cambria Math" w:hAnsi="Cambria Math"/>
            </w:rPr>
            <m:t>-</m:t>
          </m:r>
          <m:r>
            <w:rPr>
              <w:rFonts w:ascii="Cambria Math" w:hAnsi="Cambria Math"/>
            </w:rPr>
            <m:t>a</m:t>
          </m:r>
          <m:r>
            <w:rPr>
              <w:rFonts w:ascii="Cambria Math" w:hAnsi="Cambria Math"/>
            </w:rPr>
            <m:t>)=</m:t>
          </m:r>
          <m:r>
            <w:rPr>
              <w:rFonts w:ascii="Cambria Math" w:hAnsi="Cambria Math"/>
            </w:rPr>
            <m:t>W</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x</m:t>
              </m:r>
            </m:sub>
          </m:sSub>
          <m:sSub>
            <m:sSubPr>
              <m:ctrlPr>
                <w:rPr>
                  <w:rFonts w:ascii="Cambria Math" w:hAnsi="Cambria Math"/>
                </w:rPr>
              </m:ctrlPr>
            </m:sSubPr>
            <m:e>
              <m:r>
                <w:rPr>
                  <w:rFonts w:ascii="Cambria Math" w:hAnsi="Cambria Math"/>
                </w:rPr>
                <m:t>m</m:t>
              </m:r>
            </m:e>
            <m:sub>
              <m:r>
                <w:rPr>
                  <w:rFonts w:ascii="Cambria Math" w:hAnsi="Cambria Math"/>
                </w:rPr>
                <m:t>x</m:t>
              </m:r>
            </m:sub>
          </m:sSub>
          <m:sSup>
            <m:sSupPr>
              <m:ctrlPr>
                <w:rPr>
                  <w:rFonts w:ascii="Cambria Math" w:hAnsi="Cambria Math"/>
                </w:rPr>
              </m:ctrlPr>
            </m:sSupPr>
            <m:e>
              <m:r>
                <w:rPr>
                  <w:rFonts w:ascii="Cambria Math" w:hAnsi="Cambria Math"/>
                </w:rPr>
                <m:t>e</m:t>
              </m:r>
            </m:e>
            <m:sup>
              <m:r>
                <w:rPr>
                  <w:rFonts w:ascii="Cambria Math" w:hAnsi="Cambria Math"/>
                </w:rPr>
                <m:t>rx</m:t>
              </m:r>
            </m:sup>
          </m:sSup>
        </m:oMath>
      </m:oMathPara>
    </w:p>
    <w:p w14:paraId="51C7303D" w14:textId="7EEB7BB0" w:rsidR="008719F2" w:rsidRDefault="007D5FF3">
      <w:r>
        <w:lastRenderedPageBreak/>
        <w:t xml:space="preserve">where </w:t>
      </w:r>
      <m:oMath>
        <m:r>
          <w:rPr>
            <w:rFonts w:ascii="Cambria Math" w:hAnsi="Cambria Math"/>
          </w:rPr>
          <m:t>r</m:t>
        </m:r>
      </m:oMath>
      <w:r>
        <w:t xml:space="preserve"> is the intrinsic population growth rate. Conveniently, the </w:t>
      </w:r>
      <m:oMath>
        <m:r>
          <w:rPr>
            <w:rFonts w:ascii="Cambria Math" w:hAnsi="Cambria Math"/>
          </w:rPr>
          <m:t>M</m:t>
        </m:r>
        <m:r>
          <w:rPr>
            <w:rFonts w:ascii="Cambria Math" w:hAnsi="Cambria Math"/>
          </w:rPr>
          <m:t>(</m:t>
        </m:r>
        <m:r>
          <w:rPr>
            <w:rFonts w:ascii="Cambria Math" w:hAnsi="Cambria Math"/>
          </w:rPr>
          <m:t>a</m:t>
        </m:r>
        <m:r>
          <w:rPr>
            <w:rFonts w:ascii="Cambria Math" w:hAnsi="Cambria Math"/>
          </w:rPr>
          <m:t>)</m:t>
        </m:r>
      </m:oMath>
      <w:r>
        <w:t xml:space="preserve"> </w:t>
      </w:r>
      <w:r>
        <w:t>function can be recursively re-written to characterize the probability of any older-generation maternal ancestor. For example, grandmother’s survival is given by:</w:t>
      </w:r>
    </w:p>
    <w:p w14:paraId="2AF4FC1C" w14:textId="77777777" w:rsidR="00D448E5" w:rsidRPr="00D448E5" w:rsidRDefault="00D448E5" w:rsidP="00D448E5">
      <w:pPr>
        <w:pStyle w:val="BodyText"/>
      </w:pPr>
    </w:p>
    <w:p w14:paraId="51C7303E" w14:textId="13788AAD" w:rsidR="008719F2" w:rsidRPr="00D448E5" w:rsidRDefault="007D5FF3">
      <w:pPr>
        <w:pStyle w:val="BodyText"/>
        <w:rPr>
          <w:rFonts w:eastAsiaTheme="minorEastAsia"/>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r>
            <w:rPr>
              <w:rFonts w:ascii="Cambria Math" w:hAnsi="Cambria Math"/>
            </w:rPr>
            <m:t>a</m:t>
          </m:r>
          <m:r>
            <w:rPr>
              <w:rFonts w:ascii="Cambria Math" w:hAnsi="Cambria Math"/>
            </w:rPr>
            <m:t>)=</m:t>
          </m:r>
          <m:nary>
            <m:naryPr>
              <m:limLoc m:val="subSup"/>
              <m:ctrlPr>
                <w:rPr>
                  <w:rFonts w:ascii="Cambria Math" w:hAnsi="Cambria Math"/>
                </w:rPr>
              </m:ctrlPr>
            </m:naryPr>
            <m:sub>
              <m:r>
                <w:rPr>
                  <w:rFonts w:ascii="Cambria Math" w:hAnsi="Cambria Math"/>
                </w:rPr>
                <m:t>α</m:t>
              </m:r>
            </m:sub>
            <m:sup>
              <m:r>
                <w:rPr>
                  <w:rFonts w:ascii="Cambria Math" w:hAnsi="Cambria Math"/>
                </w:rPr>
                <m:t>β</m:t>
              </m:r>
            </m:sup>
            <m:e>
              <m:sSub>
                <m:sSubPr>
                  <m:ctrlPr>
                    <w:rPr>
                      <w:rFonts w:ascii="Cambria Math" w:hAnsi="Cambria Math"/>
                    </w:rPr>
                  </m:ctrlPr>
                </m:sSubPr>
                <m:e>
                  <m:r>
                    <w:rPr>
                      <w:rFonts w:ascii="Cambria Math" w:hAnsi="Cambria Math"/>
                    </w:rPr>
                    <m:t>M</m:t>
                  </m:r>
                </m:e>
                <m:sub>
                  <m:r>
                    <w:rPr>
                      <w:rFonts w:ascii="Cambria Math" w:hAnsi="Cambria Math"/>
                    </w:rPr>
                    <m:t>1</m:t>
                  </m:r>
                </m:sub>
              </m:sSub>
            </m:e>
          </m:nary>
          <m:r>
            <w:rPr>
              <w:rFonts w:ascii="Cambria Math" w:hAnsi="Cambria Math"/>
            </w:rPr>
            <m:t>(</m:t>
          </m:r>
          <m:r>
            <w:rPr>
              <w:rFonts w:ascii="Cambria Math" w:hAnsi="Cambria Math"/>
            </w:rPr>
            <m:t>a</m:t>
          </m:r>
          <m:r>
            <w:rPr>
              <w:rFonts w:ascii="Cambria Math" w:hAnsi="Cambria Math"/>
            </w:rPr>
            <m:t>+</m:t>
          </m:r>
          <m:r>
            <w:rPr>
              <w:rFonts w:ascii="Cambria Math" w:hAnsi="Cambria Math"/>
            </w:rPr>
            <m:t>x</m:t>
          </m:r>
          <m:r>
            <w:rPr>
              <w:rFonts w:ascii="Cambria Math" w:hAnsi="Cambria Math"/>
            </w:rPr>
            <m:t>)</m:t>
          </m:r>
          <m:r>
            <w:rPr>
              <w:rFonts w:ascii="Cambria Math" w:hAnsi="Cambria Math"/>
            </w:rPr>
            <m:t>W</m:t>
          </m:r>
          <m:r>
            <w:rPr>
              <w:rFonts w:ascii="Cambria Math" w:hAnsi="Cambria Math"/>
            </w:rPr>
            <m:t>(</m:t>
          </m:r>
          <m:r>
            <w:rPr>
              <w:rFonts w:ascii="Cambria Math" w:hAnsi="Cambria Math"/>
            </w:rPr>
            <m:t>x</m:t>
          </m:r>
          <m:r>
            <w:rPr>
              <w:rFonts w:ascii="Cambria Math" w:hAnsi="Cambria Math"/>
            </w:rPr>
            <m:t>|</m:t>
          </m:r>
          <m:r>
            <w:rPr>
              <w:rFonts w:ascii="Cambria Math" w:hAnsi="Cambria Math"/>
            </w:rPr>
            <m:t>t</m:t>
          </m:r>
          <m:r>
            <w:rPr>
              <w:rFonts w:ascii="Cambria Math" w:hAnsi="Cambria Math"/>
            </w:rPr>
            <m:t>-</m:t>
          </m:r>
          <m:r>
            <w:rPr>
              <w:rFonts w:ascii="Cambria Math" w:hAnsi="Cambria Math"/>
            </w:rPr>
            <m:t>a</m:t>
          </m:r>
          <m:r>
            <w:rPr>
              <w:rFonts w:ascii="Cambria Math" w:hAnsi="Cambria Math"/>
            </w:rPr>
            <m:t>)</m:t>
          </m:r>
          <m:r>
            <w:rPr>
              <w:rFonts w:ascii="Cambria Math" w:hAnsi="Cambria Math"/>
            </w:rPr>
            <m:t>dx</m:t>
          </m:r>
        </m:oMath>
      </m:oMathPara>
    </w:p>
    <w:p w14:paraId="126CD3C9" w14:textId="77777777" w:rsidR="00D448E5" w:rsidRDefault="00D448E5">
      <w:pPr>
        <w:pStyle w:val="BodyText"/>
      </w:pPr>
    </w:p>
    <w:p w14:paraId="51C7303F" w14:textId="77777777" w:rsidR="008719F2" w:rsidRDefault="007D5FF3">
      <w:r>
        <w:t>Additional equations for the survival of sisters, aunt</w:t>
      </w:r>
      <w:r>
        <w:t>s, nieces, and female cousins are also provided in Goodman, Keyfitz, and Pullum (1974). However, for the purposes of the present study, we limit our focus to just the following vertically-nuclear kin relations: grandmothers, mothers, daughters, and grandda</w:t>
      </w:r>
      <w:r>
        <w:t>ughters.</w:t>
      </w:r>
    </w:p>
    <w:p w14:paraId="51C73040" w14:textId="77777777" w:rsidR="008719F2" w:rsidRDefault="007D5FF3">
      <w:pPr>
        <w:pStyle w:val="Heading2"/>
      </w:pPr>
      <w:bookmarkStart w:id="4" w:name="a-non-stable-method"/>
      <w:r>
        <w:t>A Non-Stable Method</w:t>
      </w:r>
      <w:bookmarkEnd w:id="4"/>
    </w:p>
    <w:p w14:paraId="51C73041" w14:textId="77777777" w:rsidR="008719F2" w:rsidRDefault="007D5FF3">
      <w:r>
        <w:t>The main extension of Goodman’s method, which we present here, is to allow rates of fertility and mortality to vary over time. Accounting for this variation is important because: (a) rates of fertility and mortality across much</w:t>
      </w:r>
      <w:r>
        <w:t xml:space="preserve"> of the world have shifted dramatically over the last several decades; and (b) the availability of living kin is likely to be highly sensitive to generational changes in these rates. As written and presented, the original kin availability equations by Good</w:t>
      </w:r>
      <w:r>
        <w:t>man, Keyfitz, and Pullum (1974) assume that age-specific rates of survival and fertility remain constant. In order to derive more historically-plausible estimates of kin availability from these data, we propose a simple set of adjustments that allow time t</w:t>
      </w:r>
      <w:r>
        <w:t>o enter the equation in an intuitive way.</w:t>
      </w:r>
    </w:p>
    <w:p w14:paraId="51C73042" w14:textId="77777777" w:rsidR="008719F2" w:rsidRDefault="007D5FF3">
      <w:pPr>
        <w:pStyle w:val="BodyText"/>
      </w:pPr>
      <w:r>
        <w:t>If cohort rates were readily available, we would be able to calculate the above expressions representing the true changes in fertility and mortality over time. However, in practice usually only period data are read</w:t>
      </w:r>
      <w:r>
        <w:t>ily available across a wide range of counties. In addition, the cohort approach quickly becomes rather data intensive, given the number of different cohorts involved in each of the calculations. For example, if we were trying to calculate the expected numb</w:t>
      </w:r>
      <w:r>
        <w:t>er of daughters to a mother aged 50, we would need the full set of cohort fertility rates for that mother, plus survival information for seven separate cohorts for the daughters.</w:t>
      </w:r>
    </w:p>
    <w:p w14:paraId="51C73043" w14:textId="74057DB0" w:rsidR="008719F2" w:rsidRDefault="007D5FF3">
      <w:pPr>
        <w:pStyle w:val="BodyText"/>
      </w:pPr>
      <w:r>
        <w:t>To best utilize the period data available, we index Goodman’s method to the m</w:t>
      </w:r>
      <w:r>
        <w:t>ean age at childbearing. This centers the period fertility schedule so that the fertility rates at the time of peak childbearing (25-30 years) is correct for that particular cohort of women. For daughters, the equation becomes</w:t>
      </w:r>
    </w:p>
    <w:p w14:paraId="11B3C792" w14:textId="77777777" w:rsidR="00D448E5" w:rsidRDefault="00D448E5">
      <w:pPr>
        <w:pStyle w:val="BodyText"/>
      </w:pPr>
    </w:p>
    <w:p w14:paraId="51C73044" w14:textId="77777777" w:rsidR="008719F2" w:rsidRDefault="007D5FF3">
      <w:pPr>
        <w:pStyle w:val="BodyText"/>
      </w:pPr>
      <m:oMathPara>
        <m:oMathParaPr>
          <m:jc m:val="center"/>
        </m:oMathParaPr>
        <m:oMath>
          <m:nary>
            <m:naryPr>
              <m:limLoc m:val="subSup"/>
              <m:ctrlPr>
                <w:rPr>
                  <w:rFonts w:ascii="Cambria Math" w:hAnsi="Cambria Math"/>
                </w:rPr>
              </m:ctrlPr>
            </m:naryPr>
            <m:sub>
              <m:r>
                <w:rPr>
                  <w:rFonts w:ascii="Cambria Math" w:hAnsi="Cambria Math"/>
                </w:rPr>
                <m:t>α</m:t>
              </m:r>
            </m:sub>
            <m:sup>
              <m:r>
                <w:rPr>
                  <w:rFonts w:ascii="Cambria Math" w:hAnsi="Cambria Math"/>
                </w:rPr>
                <m:t>a</m:t>
              </m:r>
            </m:sup>
            <m:e>
              <m:sSub>
                <m:sSubPr>
                  <m:ctrlPr>
                    <w:rPr>
                      <w:rFonts w:ascii="Cambria Math" w:hAnsi="Cambria Math"/>
                    </w:rPr>
                  </m:ctrlPr>
                </m:sSubPr>
                <m:e>
                  <m:r>
                    <w:rPr>
                      <w:rFonts w:ascii="Cambria Math" w:hAnsi="Cambria Math"/>
                    </w:rPr>
                    <m:t>l</m:t>
                  </m:r>
                </m:e>
                <m:sub>
                  <m:r>
                    <w:rPr>
                      <w:rFonts w:ascii="Cambria Math" w:hAnsi="Cambria Math"/>
                    </w:rPr>
                    <m:t>a</m:t>
                  </m:r>
                  <m:r>
                    <w:rPr>
                      <w:rFonts w:ascii="Cambria Math" w:hAnsi="Cambria Math"/>
                    </w:rPr>
                    <m:t>-</m:t>
                  </m:r>
                  <m:r>
                    <w:rPr>
                      <w:rFonts w:ascii="Cambria Math" w:hAnsi="Cambria Math"/>
                    </w:rPr>
                    <m:t>x</m:t>
                  </m:r>
                </m:sub>
              </m:sSub>
            </m:e>
          </m:nary>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rPr>
            <m:t>d</m:t>
          </m:r>
          <m:r>
            <w:rPr>
              <w:rFonts w:ascii="Cambria Math" w:hAnsi="Cambria Math"/>
            </w:rPr>
            <m:t>x</m:t>
          </m:r>
        </m:oMath>
      </m:oMathPara>
    </w:p>
    <w:p w14:paraId="31981E2E" w14:textId="77777777" w:rsidR="00D448E5" w:rsidRDefault="00D448E5"/>
    <w:p w14:paraId="51C73045" w14:textId="38FBDE9E" w:rsidR="008719F2" w:rsidRDefault="007D5FF3">
      <w:r>
        <w:lastRenderedPageBreak/>
        <w:t xml:space="preserve">where </w:t>
      </w:r>
      <m:oMath>
        <m:sSup>
          <m:sSupPr>
            <m:ctrlPr>
              <w:rPr>
                <w:rFonts w:ascii="Cambria Math" w:hAnsi="Cambria Math"/>
              </w:rPr>
            </m:ctrlPr>
          </m:sSupPr>
          <m:e>
            <m:r>
              <w:rPr>
                <w:rFonts w:ascii="Cambria Math" w:hAnsi="Cambria Math"/>
              </w:rPr>
              <m:t>t</m:t>
            </m:r>
          </m:e>
          <m:sup>
            <m:r>
              <w:rPr>
                <w:rFonts w:ascii="Cambria Math" w:hAnsi="Cambria Math"/>
              </w:rPr>
              <m:t>*</m:t>
            </m:r>
          </m:sup>
        </m:sSup>
      </m:oMath>
      <w:r>
        <w:t xml:space="preserve"> is the year in which the woman of age </w:t>
      </w:r>
      <m:oMath>
        <m:r>
          <w:rPr>
            <w:rFonts w:ascii="Cambria Math" w:hAnsi="Cambria Math"/>
          </w:rPr>
          <m:t>a</m:t>
        </m:r>
      </m:oMath>
      <w:r>
        <w:t xml:space="preserve"> achieved the mean age at childbearing </w:t>
      </w:r>
      <m:oMath>
        <m:r>
          <w:rPr>
            <w:rFonts w:ascii="Cambria Math" w:hAnsi="Cambria Math"/>
          </w:rPr>
          <m:t>A</m:t>
        </m:r>
      </m:oMath>
      <w:r>
        <w:t xml:space="preserve">. Thus </w:t>
      </w:r>
      <m:oMath>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oMath>
      <w:r>
        <w:t xml:space="preserve"> is the fertility rate at age </w:t>
      </w:r>
      <m:oMath>
        <m:r>
          <w:rPr>
            <w:rFonts w:ascii="Cambria Math" w:hAnsi="Cambria Math"/>
          </w:rPr>
          <m:t>x</m:t>
        </m:r>
      </m:oMath>
      <w:r>
        <w:t xml:space="preserve"> in the year </w:t>
      </w:r>
      <m:oMath>
        <m:sSup>
          <m:sSupPr>
            <m:ctrlPr>
              <w:rPr>
                <w:rFonts w:ascii="Cambria Math" w:hAnsi="Cambria Math"/>
              </w:rPr>
            </m:ctrlPr>
          </m:sSupPr>
          <m:e>
            <m:r>
              <w:rPr>
                <w:rFonts w:ascii="Cambria Math" w:hAnsi="Cambria Math"/>
              </w:rPr>
              <m:t>t</m:t>
            </m:r>
          </m:e>
          <m:sup>
            <m:r>
              <w:rPr>
                <w:rFonts w:ascii="Cambria Math" w:hAnsi="Cambria Math"/>
              </w:rPr>
              <m:t>*</m:t>
            </m:r>
          </m:sup>
        </m:sSup>
      </m:oMath>
      <w:r>
        <w:t xml:space="preserve">. If age </w:t>
      </w:r>
      <m:oMath>
        <m:r>
          <w:rPr>
            <w:rFonts w:ascii="Cambria Math" w:hAnsi="Cambria Math"/>
          </w:rPr>
          <m:t>a</m:t>
        </m:r>
      </m:oMath>
      <w:r>
        <w:t xml:space="preserve"> is less than </w:t>
      </w:r>
      <m:oMath>
        <m:r>
          <w:rPr>
            <w:rFonts w:ascii="Cambria Math" w:hAnsi="Cambria Math"/>
          </w:rPr>
          <m:t>A</m:t>
        </m:r>
      </m:oMath>
      <w:r>
        <w:t xml:space="preserve">, then </w:t>
      </w:r>
      <m:oMath>
        <m:sSup>
          <m:sSupPr>
            <m:ctrlPr>
              <w:rPr>
                <w:rFonts w:ascii="Cambria Math" w:hAnsi="Cambria Math"/>
              </w:rPr>
            </m:ctrlPr>
          </m:sSupPr>
          <m:e>
            <m:r>
              <w:rPr>
                <w:rFonts w:ascii="Cambria Math" w:hAnsi="Cambria Math"/>
              </w:rPr>
              <m:t>t</m:t>
            </m:r>
          </m:e>
          <m:sup>
            <m:r>
              <w:rPr>
                <w:rFonts w:ascii="Cambria Math" w:hAnsi="Cambria Math"/>
              </w:rPr>
              <m:t>*</m:t>
            </m:r>
          </m:sup>
        </m:sSup>
      </m:oMath>
      <w:r>
        <w:t xml:space="preserve"> is just set to be the current period. Note that the mean age </w:t>
      </w:r>
      <w:r>
        <w:t>of childbearing may vary depending on the population and time period being considered.</w:t>
      </w:r>
    </w:p>
    <w:p w14:paraId="51C73046" w14:textId="33CA88D4" w:rsidR="008719F2" w:rsidRDefault="007D5FF3">
      <w:pPr>
        <w:pStyle w:val="BodyText"/>
      </w:pPr>
      <w:r>
        <w:t>In a similar way, the expected number of surviving granddaughters is estimated as:</w:t>
      </w:r>
    </w:p>
    <w:p w14:paraId="7BEFF6BE" w14:textId="77777777" w:rsidR="00D448E5" w:rsidRDefault="00D448E5">
      <w:pPr>
        <w:pStyle w:val="BodyText"/>
      </w:pPr>
    </w:p>
    <w:p w14:paraId="51C73047" w14:textId="3FD9CD09" w:rsidR="008719F2" w:rsidRPr="00D448E5" w:rsidRDefault="007D5FF3">
      <w:pPr>
        <w:pStyle w:val="BodyText"/>
        <w:rPr>
          <w:rFonts w:eastAsiaTheme="minorEastAsia"/>
        </w:rPr>
      </w:pPr>
      <m:oMathPara>
        <m:oMathParaPr>
          <m:jc m:val="center"/>
        </m:oMathParaPr>
        <m:oMath>
          <m:nary>
            <m:naryPr>
              <m:limLoc m:val="subSup"/>
              <m:ctrlPr>
                <w:rPr>
                  <w:rFonts w:ascii="Cambria Math" w:hAnsi="Cambria Math"/>
                </w:rPr>
              </m:ctrlPr>
            </m:naryPr>
            <m:sub>
              <m:r>
                <w:rPr>
                  <w:rFonts w:ascii="Cambria Math" w:hAnsi="Cambria Math"/>
                </w:rPr>
                <m:t>α</m:t>
              </m:r>
            </m:sub>
            <m:sup>
              <m:r>
                <w:rPr>
                  <w:rFonts w:ascii="Cambria Math" w:hAnsi="Cambria Math"/>
                </w:rPr>
                <m:t>a</m:t>
              </m:r>
            </m:sup>
            <m:e>
              <m:d>
                <m:dPr>
                  <m:begChr m:val="["/>
                  <m:endChr m:val="]"/>
                  <m:ctrlPr>
                    <w:rPr>
                      <w:rFonts w:ascii="Cambria Math" w:hAnsi="Cambria Math"/>
                    </w:rPr>
                  </m:ctrlPr>
                </m:dPr>
                <m:e>
                  <m:nary>
                    <m:naryPr>
                      <m:limLoc m:val="subSup"/>
                      <m:ctrlPr>
                        <w:rPr>
                          <w:rFonts w:ascii="Cambria Math" w:hAnsi="Cambria Math"/>
                        </w:rPr>
                      </m:ctrlPr>
                    </m:naryPr>
                    <m:sub>
                      <m:r>
                        <w:rPr>
                          <w:rFonts w:ascii="Cambria Math" w:hAnsi="Cambria Math"/>
                        </w:rPr>
                        <m:t>α</m:t>
                      </m:r>
                    </m:sub>
                    <m:sup>
                      <m:r>
                        <w:rPr>
                          <w:rFonts w:ascii="Cambria Math" w:hAnsi="Cambria Math"/>
                        </w:rPr>
                        <m:t>a</m:t>
                      </m:r>
                      <m:r>
                        <w:rPr>
                          <w:rFonts w:ascii="Cambria Math" w:hAnsi="Cambria Math"/>
                        </w:rPr>
                        <m:t>-</m:t>
                      </m:r>
                      <m:r>
                        <w:rPr>
                          <w:rFonts w:ascii="Cambria Math" w:hAnsi="Cambria Math"/>
                        </w:rPr>
                        <m:t>x</m:t>
                      </m:r>
                    </m:sup>
                    <m:e>
                      <m:sSub>
                        <m:sSubPr>
                          <m:ctrlPr>
                            <w:rPr>
                              <w:rFonts w:ascii="Cambria Math" w:hAnsi="Cambria Math"/>
                            </w:rPr>
                          </m:ctrlPr>
                        </m:sSubPr>
                        <m:e>
                          <m:r>
                            <w:rPr>
                              <w:rFonts w:ascii="Cambria Math" w:hAnsi="Cambria Math"/>
                            </w:rPr>
                            <m:t>l</m:t>
                          </m:r>
                        </m:e>
                        <m:sub>
                          <m:r>
                            <w:rPr>
                              <w:rFonts w:ascii="Cambria Math" w:hAnsi="Cambria Math"/>
                            </w:rPr>
                            <m:t>y</m:t>
                          </m:r>
                        </m:sub>
                      </m:sSub>
                    </m:e>
                  </m:nary>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y</m:t>
                      </m:r>
                    </m:sub>
                  </m:sSub>
                  <m: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a</m:t>
                      </m:r>
                      <m:r>
                        <w:rPr>
                          <w:rFonts w:ascii="Cambria Math" w:hAnsi="Cambria Math"/>
                        </w:rPr>
                        <m:t>-</m:t>
                      </m:r>
                      <m:r>
                        <w:rPr>
                          <w:rFonts w:ascii="Cambria Math" w:hAnsi="Cambria Math"/>
                        </w:rPr>
                        <m:t>x</m:t>
                      </m:r>
                      <m:r>
                        <w:rPr>
                          <w:rFonts w:ascii="Cambria Math" w:hAnsi="Cambria Math"/>
                        </w:rPr>
                        <m:t>-</m:t>
                      </m:r>
                      <m:r>
                        <w:rPr>
                          <w:rFonts w:ascii="Cambria Math" w:hAnsi="Cambria Math"/>
                        </w:rPr>
                        <m:t>y</m:t>
                      </m:r>
                    </m:sub>
                  </m:sSub>
                  <m: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m:t>
                      </m:r>
                    </m:e>
                    <m:sub>
                      <m:r>
                        <w:rPr>
                          <w:rFonts w:ascii="Cambria Math" w:hAnsi="Cambria Math"/>
                        </w:rPr>
                        <m:t>x</m:t>
                      </m:r>
                    </m:sub>
                  </m:sSub>
                  <m:r>
                    <w:rPr>
                      <w:rFonts w:ascii="Cambria Math" w:hAnsi="Cambria Math"/>
                    </w:rPr>
                    <m:t>)</m:t>
                  </m:r>
                  <m:r>
                    <w:rPr>
                      <w:rFonts w:ascii="Cambria Math" w:hAnsi="Cambria Math"/>
                    </w:rPr>
                    <m:t>dy</m:t>
                  </m:r>
                </m:e>
              </m:d>
            </m:e>
          </m:nary>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rPr>
            <m:t>dx</m:t>
          </m:r>
        </m:oMath>
      </m:oMathPara>
    </w:p>
    <w:p w14:paraId="219BAF68" w14:textId="77777777" w:rsidR="00D448E5" w:rsidRDefault="00D448E5">
      <w:pPr>
        <w:pStyle w:val="BodyText"/>
      </w:pPr>
    </w:p>
    <w:p w14:paraId="51C73048" w14:textId="77777777" w:rsidR="008719F2" w:rsidRDefault="007D5FF3">
      <w:r>
        <w:t xml:space="preserve">where </w:t>
      </w:r>
      <m:oMath>
        <m:r>
          <w:rPr>
            <w:rFonts w:ascii="Cambria Math" w:hAnsi="Cambria Math"/>
          </w:rPr>
          <m:t>t</m:t>
        </m:r>
        <m:r>
          <w:rPr>
            <w:rFonts w:ascii="Cambria Math" w:hAnsi="Cambria Math"/>
          </w:rPr>
          <m:t>'</m:t>
        </m:r>
      </m:oMath>
      <w:r>
        <w:t xml:space="preserve"> is the y</w:t>
      </w:r>
      <w:r>
        <w:t xml:space="preserve">ear in which the daughters who were born when the woman was age </w:t>
      </w:r>
      <m:oMath>
        <m:r>
          <w:rPr>
            <w:rFonts w:ascii="Cambria Math" w:hAnsi="Cambria Math"/>
          </w:rPr>
          <m:t>x</m:t>
        </m:r>
      </m:oMath>
      <w:r>
        <w:t xml:space="preserve"> reach mean child bearing age. This year changes based on the age </w:t>
      </w:r>
      <m:oMath>
        <m:r>
          <w:rPr>
            <w:rFonts w:ascii="Cambria Math" w:hAnsi="Cambria Math"/>
          </w:rPr>
          <m:t>x</m:t>
        </m:r>
      </m:oMath>
      <w:r>
        <w:t>.</w:t>
      </w:r>
    </w:p>
    <w:p w14:paraId="51C73049" w14:textId="77777777" w:rsidR="008719F2" w:rsidRDefault="007D5FF3">
      <w:pPr>
        <w:pStyle w:val="BodyText"/>
      </w:pPr>
      <w:r>
        <w:t>For the older kin, i.e. mothers and grandmothers, we utilize Goodman’s original formulation where the age distribution o</w:t>
      </w:r>
      <w:r>
        <w:t xml:space="preserve">f women of reproductive age is a function of time, i.e. </w:t>
      </w:r>
      <m:oMath>
        <m:r>
          <w:rPr>
            <w:rFonts w:ascii="Cambria Math" w:hAnsi="Cambria Math"/>
          </w:rPr>
          <m:t>W</m:t>
        </m:r>
        <m:r>
          <w:rPr>
            <w:rFonts w:ascii="Cambria Math" w:hAnsi="Cambria Math"/>
          </w:rPr>
          <m:t>(</m:t>
        </m:r>
        <m:r>
          <w:rPr>
            <w:rFonts w:ascii="Cambria Math" w:hAnsi="Cambria Math"/>
          </w:rPr>
          <m:t>x</m:t>
        </m:r>
        <m:r>
          <w:rPr>
            <w:rFonts w:ascii="Cambria Math" w:hAnsi="Cambria Math"/>
          </w:rPr>
          <m:t>|</m:t>
        </m:r>
        <m:r>
          <w:rPr>
            <w:rFonts w:ascii="Cambria Math" w:hAnsi="Cambria Math"/>
          </w:rPr>
          <m:t>t</m:t>
        </m:r>
        <m:r>
          <w:rPr>
            <w:rFonts w:ascii="Cambria Math" w:hAnsi="Cambria Math"/>
          </w:rPr>
          <m:t>-</m:t>
        </m:r>
        <m:r>
          <w:rPr>
            <w:rFonts w:ascii="Cambria Math" w:hAnsi="Cambria Math"/>
          </w:rPr>
          <m:t>a</m:t>
        </m:r>
        <m:r>
          <w:rPr>
            <w:rFonts w:ascii="Cambria Math" w:hAnsi="Cambria Math"/>
          </w:rPr>
          <m:t>)</m:t>
        </m:r>
      </m:oMath>
      <w:r>
        <w:t xml:space="preserve">. Thus the formulas are as above in the previous section. Both survival quantities are indexed to time </w:t>
      </w:r>
      <m:oMath>
        <m:r>
          <w:rPr>
            <w:rFonts w:ascii="Cambria Math" w:hAnsi="Cambria Math"/>
          </w:rPr>
          <m:t>t</m:t>
        </m:r>
      </m:oMath>
      <w:r>
        <w:t>.</w:t>
      </w:r>
    </w:p>
    <w:p w14:paraId="51C7304A" w14:textId="77777777" w:rsidR="008719F2" w:rsidRDefault="007D5FF3">
      <w:pPr>
        <w:pStyle w:val="BodyText"/>
      </w:pPr>
      <w:r>
        <w:t>In Figure 1, we plot total kin counts (i.e. the sum of grandmothers, mothers, dau</w:t>
      </w:r>
      <w:r>
        <w:t>ghters, and grand-daughters) over age for a selection of countries in 1990 and 2010. We compare the original Goodman method (labeled “stable”) and the non-stable method presented above (labeled “non_stable”). Period fertility and mortality rates, and age d</w:t>
      </w:r>
      <w:r>
        <w:t>istributions are obtained from the 2017 edition of the World Population Prospects, produced by the United Nations.</w:t>
      </w:r>
      <w:r>
        <w:rPr>
          <w:rStyle w:val="FootnoteReference"/>
        </w:rPr>
        <w:footnoteReference w:id="8"/>
      </w:r>
    </w:p>
    <w:p w14:paraId="51C7304B" w14:textId="77777777" w:rsidR="008719F2" w:rsidRDefault="007D5FF3" w:rsidP="009832FB">
      <w:pPr>
        <w:jc w:val="center"/>
      </w:pPr>
      <w:r>
        <w:rPr>
          <w:noProof/>
        </w:rPr>
        <w:lastRenderedPageBreak/>
        <w:drawing>
          <wp:inline distT="0" distB="0" distL="0" distR="0" wp14:anchorId="51C730AF" wp14:editId="51C730B0">
            <wp:extent cx="5207000" cy="4463142"/>
            <wp:effectExtent l="0" t="0" r="0" b="0"/>
            <wp:docPr id="1" name="Picture" descr="Fig.1 Comparison of kin availability estimates under stable versus non-stable rate assumptions."/>
            <wp:cNvGraphicFramePr/>
            <a:graphic xmlns:a="http://schemas.openxmlformats.org/drawingml/2006/main">
              <a:graphicData uri="http://schemas.openxmlformats.org/drawingml/2006/picture">
                <pic:pic xmlns:pic="http://schemas.openxmlformats.org/drawingml/2006/picture">
                  <pic:nvPicPr>
                    <pic:cNvPr id="0" name="Picture" descr="figs/stable_nonstable.png"/>
                    <pic:cNvPicPr>
                      <a:picLocks noChangeAspect="1" noChangeArrowheads="1"/>
                    </pic:cNvPicPr>
                  </pic:nvPicPr>
                  <pic:blipFill>
                    <a:blip r:embed="rId11"/>
                    <a:stretch>
                      <a:fillRect/>
                    </a:stretch>
                  </pic:blipFill>
                  <pic:spPr bwMode="auto">
                    <a:xfrm>
                      <a:off x="0" y="0"/>
                      <a:ext cx="5207000" cy="4463142"/>
                    </a:xfrm>
                    <a:prstGeom prst="rect">
                      <a:avLst/>
                    </a:prstGeom>
                    <a:noFill/>
                    <a:ln w="9525">
                      <a:noFill/>
                      <a:headEnd/>
                      <a:tailEnd/>
                    </a:ln>
                  </pic:spPr>
                </pic:pic>
              </a:graphicData>
            </a:graphic>
          </wp:inline>
        </w:drawing>
      </w:r>
    </w:p>
    <w:p w14:paraId="51C7304C" w14:textId="77777777" w:rsidR="008719F2" w:rsidRDefault="007D5FF3">
      <w:pPr>
        <w:pStyle w:val="ImageCaption"/>
      </w:pPr>
      <w:r>
        <w:t>Fig.1 Comparison of kin availability estimates under stable versus non-stable rate assumptions.</w:t>
      </w:r>
    </w:p>
    <w:p w14:paraId="51C7304D" w14:textId="77777777" w:rsidR="008719F2" w:rsidRDefault="007D5FF3">
      <w:pPr>
        <w:pStyle w:val="BodyText"/>
      </w:pPr>
      <w:r>
        <w:t xml:space="preserve">For most countries, there is a noticeable </w:t>
      </w:r>
      <w:r>
        <w:t xml:space="preserve">difference in the estimates produced by the two methods. The exception is Nigeria in 1990, where fertility and mortality rates were such that the population was almost stable, so the two methods are very similar. By 2010, Nigeria’s fertility had declined, </w:t>
      </w:r>
      <w:r>
        <w:t>and so the stable method does not account for higher fertility in the past, as illustrated by the discrepancy at older ages. The same is true for Kenya. For Japan, there are discrepancies at both young and old ages, due to both a decline in fertility and m</w:t>
      </w:r>
      <w:r>
        <w:t>ortality rates. In the USA, noticeably the stable method in 1990 does not account for the baby boom, which substantially increases the number of kin for 50-60 year olds.</w:t>
      </w:r>
    </w:p>
    <w:p w14:paraId="51C7304E" w14:textId="77777777" w:rsidR="008719F2" w:rsidRDefault="007D5FF3">
      <w:pPr>
        <w:pStyle w:val="BodyText"/>
      </w:pPr>
      <w:r>
        <w:t>Figure 2 shows the expected number of surviving kin over age for a selection of countr</w:t>
      </w:r>
      <w:r>
        <w:t>ies in the year 2010, broken down by kin type.</w:t>
      </w:r>
    </w:p>
    <w:p w14:paraId="51C7304F" w14:textId="77777777" w:rsidR="008719F2" w:rsidRDefault="007D5FF3" w:rsidP="009832FB">
      <w:pPr>
        <w:jc w:val="center"/>
      </w:pPr>
      <w:r>
        <w:rPr>
          <w:noProof/>
        </w:rPr>
        <w:lastRenderedPageBreak/>
        <w:drawing>
          <wp:inline distT="0" distB="0" distL="0" distR="0" wp14:anchorId="51C730B1" wp14:editId="51C730B2">
            <wp:extent cx="5207000" cy="2603500"/>
            <wp:effectExtent l="0" t="0" r="0" b="0"/>
            <wp:docPr id="2" name="Picture" descr="Fig.2 Number of surviving kin by age of ego and type of kin, 2010."/>
            <wp:cNvGraphicFramePr/>
            <a:graphic xmlns:a="http://schemas.openxmlformats.org/drawingml/2006/main">
              <a:graphicData uri="http://schemas.openxmlformats.org/drawingml/2006/picture">
                <pic:pic xmlns:pic="http://schemas.openxmlformats.org/drawingml/2006/picture">
                  <pic:nvPicPr>
                    <pic:cNvPr id="0" name="Picture" descr="figs/kin_country_facet_2010.png"/>
                    <pic:cNvPicPr>
                      <a:picLocks noChangeAspect="1" noChangeArrowheads="1"/>
                    </pic:cNvPicPr>
                  </pic:nvPicPr>
                  <pic:blipFill>
                    <a:blip r:embed="rId12"/>
                    <a:stretch>
                      <a:fillRect/>
                    </a:stretch>
                  </pic:blipFill>
                  <pic:spPr bwMode="auto">
                    <a:xfrm>
                      <a:off x="0" y="0"/>
                      <a:ext cx="5207000" cy="2603500"/>
                    </a:xfrm>
                    <a:prstGeom prst="rect">
                      <a:avLst/>
                    </a:prstGeom>
                    <a:noFill/>
                    <a:ln w="9525">
                      <a:noFill/>
                      <a:headEnd/>
                      <a:tailEnd/>
                    </a:ln>
                  </pic:spPr>
                </pic:pic>
              </a:graphicData>
            </a:graphic>
          </wp:inline>
        </w:drawing>
      </w:r>
    </w:p>
    <w:p w14:paraId="51C73050" w14:textId="77777777" w:rsidR="008719F2" w:rsidRDefault="007D5FF3">
      <w:pPr>
        <w:pStyle w:val="ImageCaption"/>
      </w:pPr>
      <w:r>
        <w:t>Fig.2 Number of surviving kin by age of ego and type of kin, 2010.</w:t>
      </w:r>
    </w:p>
    <w:p w14:paraId="51C73051" w14:textId="77777777" w:rsidR="008719F2" w:rsidRDefault="007D5FF3">
      <w:pPr>
        <w:pStyle w:val="BodyText"/>
      </w:pPr>
      <w:r>
        <w:t xml:space="preserve">The most striking feature of these plots is the much larger expected numbers of daughters and grand-daughters in Kenya and Nigeria (versus the USA or Japan) at each age. This is, of course, a function of historically higher birth rates in these countries. </w:t>
      </w:r>
      <w:r>
        <w:t>On the other hand, we observe much higher expected numbers (i.e. survival probabilities) of mothers and grand-mothers in the USA and Japan (versus Kenya or Nigeria) at each age. This is a consequence of historically lower death rates in these countries. Th</w:t>
      </w:r>
      <w:r>
        <w:t>us, we see how both the fertility and mortality experiences of these populations are naturally reflected in these kin availability estimates.</w:t>
      </w:r>
    </w:p>
    <w:p w14:paraId="51C73052" w14:textId="77777777" w:rsidR="008719F2" w:rsidRDefault="007D5FF3">
      <w:pPr>
        <w:pStyle w:val="Heading1"/>
      </w:pPr>
      <w:bookmarkStart w:id="5" w:name="comparing-public-and-private-support-bur"/>
      <w:r>
        <w:t>Comparing Public and Private Support Burden</w:t>
      </w:r>
      <w:bookmarkEnd w:id="5"/>
    </w:p>
    <w:p w14:paraId="51C73053" w14:textId="77777777" w:rsidR="008719F2" w:rsidRDefault="007D5FF3">
      <w:r>
        <w:t xml:space="preserve">Having established a method to estimate historically-plausible counts </w:t>
      </w:r>
      <w:r>
        <w:t xml:space="preserve">of surviving kin, we now use it to construct a measure of within-family support burden, which we label the </w:t>
      </w:r>
      <w:r>
        <w:rPr>
          <w:i/>
        </w:rPr>
        <w:t>kin dependency ratio (KDR)</w:t>
      </w:r>
      <w:r>
        <w:t xml:space="preserve">. We will examine the relationship between this KDR and the </w:t>
      </w:r>
      <w:r>
        <w:rPr>
          <w:i/>
        </w:rPr>
        <w:t>total age dependency ratio (TADR)</w:t>
      </w:r>
      <w:r>
        <w:t xml:space="preserve">, a well-established index of </w:t>
      </w:r>
      <w:r>
        <w:t>public support burden. The motivation for a measure like the TADR is that it can be viewed as a rough measure of the support burden faced by public programs funded largely by the working age population. The KDR, can be viewed similarly as a rough measure o</w:t>
      </w:r>
      <w:r>
        <w:t xml:space="preserve">f the </w:t>
      </w:r>
      <w:r>
        <w:rPr>
          <w:i/>
        </w:rPr>
        <w:t>private</w:t>
      </w:r>
      <w:r>
        <w:t xml:space="preserve"> support burden faced by families. Thus, comparing the TADR and the KDR can provide a useful (even if rough) summary of the likely </w:t>
      </w:r>
      <w:r>
        <w:rPr>
          <w:i/>
        </w:rPr>
        <w:t>public</w:t>
      </w:r>
      <w:r>
        <w:t xml:space="preserve"> versus </w:t>
      </w:r>
      <w:r>
        <w:rPr>
          <w:i/>
        </w:rPr>
        <w:t>private</w:t>
      </w:r>
      <w:r>
        <w:t xml:space="preserve"> support burden that comes with population aging.</w:t>
      </w:r>
    </w:p>
    <w:p w14:paraId="51C73054" w14:textId="77777777" w:rsidR="008719F2" w:rsidRDefault="007D5FF3">
      <w:pPr>
        <w:pStyle w:val="BodyText"/>
      </w:pPr>
      <w:r>
        <w:t xml:space="preserve">For data, we rely on the United Nations’ </w:t>
      </w:r>
      <w:r>
        <w:t xml:space="preserve">World Population Prospects (Department of Economic and Social Affairs 2017), which reports fertility rates, mortality rates, and age distributions for all its member nations. In the present study, we select a small, but </w:t>
      </w:r>
      <w:r>
        <w:lastRenderedPageBreak/>
        <w:t>demographically-varied, subset to ex</w:t>
      </w:r>
      <w:r>
        <w:t>amine in detail: Japan, Kenya, Nigeria, Peru, and the United States.</w:t>
      </w:r>
    </w:p>
    <w:p w14:paraId="51C73055" w14:textId="77777777" w:rsidR="008719F2" w:rsidRDefault="007D5FF3">
      <w:pPr>
        <w:pStyle w:val="Heading2"/>
      </w:pPr>
      <w:bookmarkStart w:id="6" w:name="total-age-dependency-ratio-tadr"/>
      <w:r>
        <w:t>Total Age Dependency Ratio (TADR)</w:t>
      </w:r>
      <w:bookmarkEnd w:id="6"/>
    </w:p>
    <w:p w14:paraId="51C73056" w14:textId="6CA4FA27" w:rsidR="008719F2" w:rsidRDefault="007D5FF3">
      <w:r>
        <w:t xml:space="preserve">The </w:t>
      </w:r>
      <w:r>
        <w:rPr>
          <w:i/>
        </w:rPr>
        <w:t>total age dependency ratio</w:t>
      </w:r>
      <w:r>
        <w:t xml:space="preserve"> (TADR) is a more general version of the </w:t>
      </w:r>
      <w:r>
        <w:rPr>
          <w:i/>
        </w:rPr>
        <w:t>old age dependency ratio</w:t>
      </w:r>
      <w:r>
        <w:t xml:space="preserve"> (OADR). The TADR includes in its numerator, not only thos</w:t>
      </w:r>
      <w:r>
        <w:t xml:space="preserve">e 65-years and older, but also those 14-years and younger. It is typically defined for a </w:t>
      </w:r>
      <w:proofErr w:type="gramStart"/>
      <w:r>
        <w:t>particular calendar</w:t>
      </w:r>
      <w:proofErr w:type="gramEnd"/>
      <w:r>
        <w:t xml:space="preserve"> year:</w:t>
      </w:r>
    </w:p>
    <w:p w14:paraId="101D8E0D" w14:textId="77777777" w:rsidR="00D448E5" w:rsidRPr="00D448E5" w:rsidRDefault="00D448E5" w:rsidP="00D448E5">
      <w:pPr>
        <w:pStyle w:val="BodyText"/>
      </w:pPr>
    </w:p>
    <w:p w14:paraId="51C73057" w14:textId="77777777" w:rsidR="008719F2" w:rsidRDefault="007D5FF3">
      <w:pPr>
        <w:pStyle w:val="BodyText"/>
      </w:pPr>
      <m:oMathPara>
        <m:oMathParaPr>
          <m:jc m:val="center"/>
        </m:oMathParaPr>
        <m:oMath>
          <m:r>
            <w:rPr>
              <w:rFonts w:ascii="Cambria Math" w:hAnsi="Cambria Math"/>
            </w:rPr>
            <m:t>TADR</m:t>
          </m:r>
          <m:r>
            <w:rPr>
              <w:rFonts w:ascii="Cambria Math" w:hAnsi="Cambria Math"/>
            </w:rPr>
            <m:t>(</m:t>
          </m:r>
          <m:r>
            <w:rPr>
              <w:rFonts w:ascii="Cambria Math" w:hAnsi="Cambria Math"/>
            </w:rPr>
            <m:t>y</m:t>
          </m:r>
          <m:r>
            <w:rPr>
              <w:rFonts w:ascii="Cambria Math" w:hAnsi="Cambria Math"/>
            </w:rPr>
            <m:t>)=</m:t>
          </m:r>
          <m:f>
            <m:fPr>
              <m:ctrlPr>
                <w:rPr>
                  <w:rFonts w:ascii="Cambria Math" w:hAnsi="Cambria Math"/>
                </w:rPr>
              </m:ctrlPr>
            </m:fPr>
            <m:num>
              <m:r>
                <m:rPr>
                  <m:sty m:val="p"/>
                </m:rPr>
                <w:rPr>
                  <w:rFonts w:ascii="Cambria Math" w:hAnsi="Cambria Math"/>
                </w:rPr>
                <m:t>people aged 0-14 &amp; 65+ in year y</m:t>
              </m:r>
            </m:num>
            <m:den>
              <m:r>
                <m:rPr>
                  <m:sty m:val="p"/>
                </m:rPr>
                <w:rPr>
                  <w:rFonts w:ascii="Cambria Math" w:hAnsi="Cambria Math"/>
                </w:rPr>
                <m:t>people aged 15-64 in year y</m:t>
              </m:r>
            </m:den>
          </m:f>
        </m:oMath>
      </m:oMathPara>
    </w:p>
    <w:p w14:paraId="07D2F9AB" w14:textId="77777777" w:rsidR="00D448E5" w:rsidRDefault="00D448E5"/>
    <w:p w14:paraId="51C73058" w14:textId="58DF4124" w:rsidR="008719F2" w:rsidRDefault="007D5FF3">
      <w:r>
        <w:t>Figure 3 illustrates the TADR for our selected countries over the pe</w:t>
      </w:r>
      <w:r>
        <w:t>riod 1990–2010. Across all years, we observe higher TADR in Kenya and Nigeria than in the United States and Japan. Peru, for most of this period, has fallen somewhere in between. These patterns are primarily due to a history of much higher fertility in the</w:t>
      </w:r>
      <w:r>
        <w:t xml:space="preserve"> former set of countries, which has lead to a much larger proportion of younger individuals. Over time, the TADR in Kenya and Peru has decreased due to slowing birth rates and declining mortality, while in Japan, the TADR has increased due to consistently </w:t>
      </w:r>
      <w:r>
        <w:t>low birth and mortality rates, which has resulted in a rapidly aging population. In Nigeria and the United States, the TADR has remained relatively constant.</w:t>
      </w:r>
    </w:p>
    <w:p w14:paraId="51C73059" w14:textId="77777777" w:rsidR="008719F2" w:rsidRDefault="007D5FF3" w:rsidP="009832FB">
      <w:pPr>
        <w:jc w:val="center"/>
      </w:pPr>
      <w:r>
        <w:rPr>
          <w:noProof/>
        </w:rPr>
        <w:drawing>
          <wp:inline distT="0" distB="0" distL="0" distR="0" wp14:anchorId="51C730B3" wp14:editId="51C730B4">
            <wp:extent cx="5207000" cy="3471333"/>
            <wp:effectExtent l="0" t="0" r="0" b="0"/>
            <wp:docPr id="3" name="Picture" descr="Fig.3 Total dependency ratios, 1990–2010."/>
            <wp:cNvGraphicFramePr/>
            <a:graphic xmlns:a="http://schemas.openxmlformats.org/drawingml/2006/main">
              <a:graphicData uri="http://schemas.openxmlformats.org/drawingml/2006/picture">
                <pic:pic xmlns:pic="http://schemas.openxmlformats.org/drawingml/2006/picture">
                  <pic:nvPicPr>
                    <pic:cNvPr id="0" name="Picture" descr="figs/tadr_ts.png"/>
                    <pic:cNvPicPr>
                      <a:picLocks noChangeAspect="1" noChangeArrowheads="1"/>
                    </pic:cNvPicPr>
                  </pic:nvPicPr>
                  <pic:blipFill>
                    <a:blip r:embed="rId13"/>
                    <a:stretch>
                      <a:fillRect/>
                    </a:stretch>
                  </pic:blipFill>
                  <pic:spPr bwMode="auto">
                    <a:xfrm>
                      <a:off x="0" y="0"/>
                      <a:ext cx="5207000" cy="3471333"/>
                    </a:xfrm>
                    <a:prstGeom prst="rect">
                      <a:avLst/>
                    </a:prstGeom>
                    <a:noFill/>
                    <a:ln w="9525">
                      <a:noFill/>
                      <a:headEnd/>
                      <a:tailEnd/>
                    </a:ln>
                  </pic:spPr>
                </pic:pic>
              </a:graphicData>
            </a:graphic>
          </wp:inline>
        </w:drawing>
      </w:r>
    </w:p>
    <w:p w14:paraId="51C7305A" w14:textId="77777777" w:rsidR="008719F2" w:rsidRDefault="007D5FF3">
      <w:pPr>
        <w:pStyle w:val="ImageCaption"/>
      </w:pPr>
      <w:r>
        <w:t>Fig.3 Total dependency ratios, 1990–2010.</w:t>
      </w:r>
    </w:p>
    <w:p w14:paraId="51C7305B" w14:textId="77777777" w:rsidR="008719F2" w:rsidRDefault="007D5FF3">
      <w:pPr>
        <w:pStyle w:val="Heading2"/>
      </w:pPr>
      <w:bookmarkStart w:id="7" w:name="kin-dependency-ratio-kdr"/>
      <w:r>
        <w:lastRenderedPageBreak/>
        <w:t>Kin Dependency Ratio (KDR)</w:t>
      </w:r>
      <w:bookmarkEnd w:id="7"/>
    </w:p>
    <w:p w14:paraId="51C7305C" w14:textId="72DB495E" w:rsidR="008719F2" w:rsidRDefault="007D5FF3">
      <w:r>
        <w:t xml:space="preserve">We define a </w:t>
      </w:r>
      <w:r>
        <w:rPr>
          <w:i/>
        </w:rPr>
        <w:t>kin dependency ratio</w:t>
      </w:r>
      <w:r>
        <w:t xml:space="preserve"> (KDR) as the number of plausibly dependent kin at age </w:t>
      </w:r>
      <m:oMath>
        <m:r>
          <w:rPr>
            <w:rFonts w:ascii="Cambria Math" w:hAnsi="Cambria Math"/>
          </w:rPr>
          <m:t>x</m:t>
        </m:r>
      </m:oMath>
      <w:r>
        <w:t xml:space="preserve"> divided by the number of plausibly non-dependent kin at age </w:t>
      </w:r>
      <m:oMath>
        <m:r>
          <w:rPr>
            <w:rFonts w:ascii="Cambria Math" w:hAnsi="Cambria Math"/>
          </w:rPr>
          <m:t>x</m:t>
        </m:r>
      </m:oMath>
      <w:r>
        <w:t>:</w:t>
      </w:r>
    </w:p>
    <w:p w14:paraId="619A94AE" w14:textId="77777777" w:rsidR="00591CA7" w:rsidRPr="00591CA7" w:rsidRDefault="00591CA7" w:rsidP="00591CA7">
      <w:pPr>
        <w:pStyle w:val="BodyText"/>
      </w:pPr>
    </w:p>
    <w:p w14:paraId="51C7305D" w14:textId="0246C908" w:rsidR="008719F2" w:rsidRPr="00591CA7" w:rsidRDefault="007D5FF3">
      <w:pPr>
        <w:pStyle w:val="BodyText"/>
        <w:rPr>
          <w:rFonts w:eastAsiaTheme="minorEastAsia"/>
        </w:rPr>
      </w:pPr>
      <m:oMathPara>
        <m:oMathParaPr>
          <m:jc m:val="center"/>
        </m:oMathParaPr>
        <m:oMath>
          <m:r>
            <w:rPr>
              <w:rFonts w:ascii="Cambria Math" w:hAnsi="Cambria Math"/>
            </w:rPr>
            <m:t>KDR</m:t>
          </m:r>
          <m:r>
            <w:rPr>
              <w:rFonts w:ascii="Cambria Math" w:hAnsi="Cambria Math"/>
            </w:rPr>
            <m:t>(</m:t>
          </m:r>
          <m:r>
            <w:rPr>
              <w:rFonts w:ascii="Cambria Math" w:hAnsi="Cambria Math"/>
            </w:rPr>
            <m:t>x</m:t>
          </m:r>
          <m:r>
            <w:rPr>
              <w:rFonts w:ascii="Cambria Math" w:hAnsi="Cambria Math"/>
            </w:rPr>
            <m:t>)=</m:t>
          </m:r>
          <m:f>
            <m:fPr>
              <m:ctrlPr>
                <w:rPr>
                  <w:rFonts w:ascii="Cambria Math" w:hAnsi="Cambria Math"/>
                </w:rPr>
              </m:ctrlPr>
            </m:fPr>
            <m:num>
              <m:r>
                <m:rPr>
                  <m:sty m:val="p"/>
                </m:rPr>
                <w:rPr>
                  <w:rFonts w:ascii="Cambria Math" w:hAnsi="Cambria Math"/>
                </w:rPr>
                <m:t>dependent kin at age x</m:t>
              </m:r>
            </m:num>
            <m:den>
              <m:r>
                <m:rPr>
                  <m:sty m:val="p"/>
                </m:rPr>
                <w:rPr>
                  <w:rFonts w:ascii="Cambria Math" w:hAnsi="Cambria Math"/>
                </w:rPr>
                <m:t>non-dependent kin at age x</m:t>
              </m:r>
            </m:den>
          </m:f>
        </m:oMath>
      </m:oMathPara>
    </w:p>
    <w:p w14:paraId="709AE802" w14:textId="77777777" w:rsidR="00591CA7" w:rsidRDefault="00591CA7">
      <w:pPr>
        <w:pStyle w:val="BodyText"/>
      </w:pPr>
    </w:p>
    <w:p w14:paraId="51C7305E" w14:textId="77777777" w:rsidR="008719F2" w:rsidRDefault="007D5FF3">
      <w:r>
        <w:t>“Dependent kin” is defined along two dimensions: (1) T</w:t>
      </w:r>
      <w:r>
        <w:t>he type of kin; and (2) the age of ego. For example, a daughter or grand-daughter is likely to be a dependent when ego is younger, but when ego is older, those same daughters and grand-daughters are likely to be independent (and possibly even sources of ma</w:t>
      </w:r>
      <w:r>
        <w:t>terial support). In the present study, we will only account for the following relatives: grandmothers, mothers, daughters, and grand-daughters. We acknowledge that other relatives—e.g., sisters, cousins, aunts, and nieces—can certainly all be additional so</w:t>
      </w:r>
      <w:r>
        <w:t xml:space="preserve">urces of support and strain in the lives of individuals at various moments. However, for the purposes of determining likely dependency status, we suspect the four types of kin we’ve chosen are likely to have the least ambiguous co-dependency relationships </w:t>
      </w:r>
      <w:r>
        <w:t>across most national contexts.</w:t>
      </w:r>
    </w:p>
    <w:p w14:paraId="51C7305F" w14:textId="77777777" w:rsidR="008719F2" w:rsidRDefault="007D5FF3">
      <w:pPr>
        <w:pStyle w:val="BodyText"/>
      </w:pPr>
      <w:r>
        <w:t xml:space="preserve">Furthermore, we parameterize the KDR with two </w:t>
      </w:r>
      <w:r>
        <w:rPr>
          <w:i/>
        </w:rPr>
        <w:t>age threshold parameters</w:t>
      </w:r>
      <w:r>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that demarcate three life stages indicating three distinct kin support regimes: (1) below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during </w:t>
      </w:r>
      <w:r>
        <w:rPr>
          <w:i/>
        </w:rPr>
        <w:t>early adulthood</w:t>
      </w:r>
      <w:r>
        <w:t>, only younger generati</w:t>
      </w:r>
      <w:r>
        <w:t xml:space="preserve">on kin are counted as dependents; (2) between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during </w:t>
      </w:r>
      <w:r>
        <w:rPr>
          <w:i/>
        </w:rPr>
        <w:t>middle adulthood</w:t>
      </w:r>
      <w:r>
        <w:t xml:space="preserve">, both younger and older generation kin are counted as dependents; and (3) above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during </w:t>
      </w:r>
      <w:r>
        <w:rPr>
          <w:i/>
        </w:rPr>
        <w:t>late adulthood</w:t>
      </w:r>
      <w:r>
        <w:t>, only older generation kin are counted as dependents.</w:t>
      </w:r>
    </w:p>
    <w:p w14:paraId="51C73060" w14:textId="01C38619" w:rsidR="008719F2" w:rsidRDefault="007D5FF3">
      <w:pPr>
        <w:pStyle w:val="BodyText"/>
      </w:pPr>
      <w:r>
        <w:t>For example,</w:t>
      </w:r>
      <w:r>
        <w:t xml:space="preserve"> if we assume </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=44</m:t>
        </m:r>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=65</m:t>
        </m:r>
      </m:oMath>
      <w:r>
        <w:t>, daughters and grand-daughters are counted as dependent kin when ego is 44-years or younger; daughters, granddaughters, mothers, and grandmothers are counted as dependent kin when ego is age 45 to 64; and mothers and grandmo</w:t>
      </w:r>
      <w:r>
        <w:t>thers are counted as dependent kin when ego is 65-years or older (Table 1).</w:t>
      </w:r>
    </w:p>
    <w:p w14:paraId="44FC30BE" w14:textId="77777777" w:rsidR="00591CA7" w:rsidRDefault="00591CA7">
      <w:pPr>
        <w:pStyle w:val="BodyText"/>
      </w:pPr>
    </w:p>
    <w:p w14:paraId="51C73061" w14:textId="77777777" w:rsidR="008719F2" w:rsidRDefault="007D5FF3" w:rsidP="009832FB">
      <w:pPr>
        <w:pStyle w:val="BodyText"/>
        <w:ind w:firstLine="0"/>
      </w:pPr>
      <w:r>
        <w:rPr>
          <w:b/>
        </w:rPr>
        <w:t>Table 1.</w:t>
      </w:r>
      <w:r>
        <w:t xml:space="preserve"> Dependent kin by age of ego (</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=44</m:t>
        </m:r>
      </m:oMath>
      <w:r>
        <w:t xml:space="preserve">; </w:t>
      </w:r>
      <m:oMath>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=65</m:t>
        </m:r>
      </m:oMath>
      <w:r>
        <w:t>)</w:t>
      </w:r>
    </w:p>
    <w:tbl>
      <w:tblPr>
        <w:tblStyle w:val="TableGrid"/>
        <w:tblW w:w="0" w:type="pct"/>
        <w:jc w:val="center"/>
        <w:tblLook w:val="07E0" w:firstRow="1" w:lastRow="1" w:firstColumn="1" w:lastColumn="1" w:noHBand="1" w:noVBand="1"/>
      </w:tblPr>
      <w:tblGrid>
        <w:gridCol w:w="1869"/>
        <w:gridCol w:w="753"/>
        <w:gridCol w:w="4842"/>
      </w:tblGrid>
      <w:tr w:rsidR="008719F2" w14:paraId="51C73065" w14:textId="77777777" w:rsidTr="009832FB">
        <w:trPr>
          <w:jc w:val="center"/>
        </w:trPr>
        <w:tc>
          <w:tcPr>
            <w:tcW w:w="0" w:type="auto"/>
          </w:tcPr>
          <w:p w14:paraId="51C73062" w14:textId="77777777" w:rsidR="008719F2" w:rsidRDefault="007D5FF3">
            <w:pPr>
              <w:pStyle w:val="Compact"/>
              <w:jc w:val="center"/>
            </w:pPr>
            <w:r>
              <w:t>Life Stage</w:t>
            </w:r>
          </w:p>
        </w:tc>
        <w:tc>
          <w:tcPr>
            <w:tcW w:w="0" w:type="auto"/>
          </w:tcPr>
          <w:p w14:paraId="51C73063" w14:textId="77777777" w:rsidR="008719F2" w:rsidRDefault="007D5FF3">
            <w:pPr>
              <w:pStyle w:val="Compact"/>
              <w:jc w:val="center"/>
            </w:pPr>
            <w:r>
              <w:t>Ages</w:t>
            </w:r>
          </w:p>
        </w:tc>
        <w:tc>
          <w:tcPr>
            <w:tcW w:w="0" w:type="auto"/>
          </w:tcPr>
          <w:p w14:paraId="51C73064" w14:textId="77777777" w:rsidR="008719F2" w:rsidRDefault="007D5FF3">
            <w:pPr>
              <w:pStyle w:val="Compact"/>
              <w:jc w:val="left"/>
            </w:pPr>
            <w:r>
              <w:t>Who counts as “dependent kin”?</w:t>
            </w:r>
          </w:p>
        </w:tc>
      </w:tr>
      <w:tr w:rsidR="008719F2" w14:paraId="51C73069" w14:textId="77777777" w:rsidTr="009832FB">
        <w:trPr>
          <w:jc w:val="center"/>
        </w:trPr>
        <w:tc>
          <w:tcPr>
            <w:tcW w:w="0" w:type="auto"/>
          </w:tcPr>
          <w:p w14:paraId="51C73066" w14:textId="77777777" w:rsidR="008719F2" w:rsidRDefault="007D5FF3">
            <w:pPr>
              <w:pStyle w:val="Compact"/>
              <w:jc w:val="center"/>
            </w:pPr>
            <w:r>
              <w:t>Early Adulthood</w:t>
            </w:r>
          </w:p>
        </w:tc>
        <w:tc>
          <w:tcPr>
            <w:tcW w:w="0" w:type="auto"/>
          </w:tcPr>
          <w:p w14:paraId="51C73067" w14:textId="77777777" w:rsidR="008719F2" w:rsidRDefault="007D5FF3">
            <w:pPr>
              <w:pStyle w:val="Compact"/>
              <w:jc w:val="center"/>
            </w:pPr>
            <w:r>
              <w:t>0–44</w:t>
            </w:r>
          </w:p>
        </w:tc>
        <w:tc>
          <w:tcPr>
            <w:tcW w:w="0" w:type="auto"/>
          </w:tcPr>
          <w:p w14:paraId="51C73068" w14:textId="77777777" w:rsidR="008719F2" w:rsidRDefault="007D5FF3">
            <w:pPr>
              <w:pStyle w:val="Compact"/>
              <w:jc w:val="left"/>
            </w:pPr>
            <w:r>
              <w:t>daughters, grand-daughters</w:t>
            </w:r>
          </w:p>
        </w:tc>
      </w:tr>
      <w:tr w:rsidR="008719F2" w14:paraId="51C7306D" w14:textId="77777777" w:rsidTr="009832FB">
        <w:trPr>
          <w:jc w:val="center"/>
        </w:trPr>
        <w:tc>
          <w:tcPr>
            <w:tcW w:w="0" w:type="auto"/>
          </w:tcPr>
          <w:p w14:paraId="51C7306A" w14:textId="77777777" w:rsidR="008719F2" w:rsidRDefault="007D5FF3">
            <w:pPr>
              <w:pStyle w:val="Compact"/>
              <w:jc w:val="center"/>
            </w:pPr>
            <w:r>
              <w:t>Middle Adulthood</w:t>
            </w:r>
          </w:p>
        </w:tc>
        <w:tc>
          <w:tcPr>
            <w:tcW w:w="0" w:type="auto"/>
          </w:tcPr>
          <w:p w14:paraId="51C7306B" w14:textId="77777777" w:rsidR="008719F2" w:rsidRDefault="007D5FF3">
            <w:pPr>
              <w:pStyle w:val="Compact"/>
              <w:jc w:val="center"/>
            </w:pPr>
            <w:r>
              <w:t>45–64</w:t>
            </w:r>
          </w:p>
        </w:tc>
        <w:tc>
          <w:tcPr>
            <w:tcW w:w="0" w:type="auto"/>
          </w:tcPr>
          <w:p w14:paraId="51C7306C" w14:textId="77777777" w:rsidR="008719F2" w:rsidRDefault="007D5FF3">
            <w:pPr>
              <w:pStyle w:val="Compact"/>
              <w:jc w:val="left"/>
            </w:pPr>
            <w:r>
              <w:t>daughters, grand-daughters, mothers, grandmothers</w:t>
            </w:r>
          </w:p>
        </w:tc>
      </w:tr>
      <w:tr w:rsidR="008719F2" w14:paraId="51C73071" w14:textId="77777777" w:rsidTr="009832FB">
        <w:trPr>
          <w:jc w:val="center"/>
        </w:trPr>
        <w:tc>
          <w:tcPr>
            <w:tcW w:w="0" w:type="auto"/>
          </w:tcPr>
          <w:p w14:paraId="51C7306E" w14:textId="77777777" w:rsidR="008719F2" w:rsidRDefault="007D5FF3">
            <w:pPr>
              <w:pStyle w:val="Compact"/>
              <w:jc w:val="center"/>
            </w:pPr>
            <w:r>
              <w:t>Late Adulthood</w:t>
            </w:r>
          </w:p>
        </w:tc>
        <w:tc>
          <w:tcPr>
            <w:tcW w:w="0" w:type="auto"/>
          </w:tcPr>
          <w:p w14:paraId="51C7306F" w14:textId="77777777" w:rsidR="008719F2" w:rsidRDefault="007D5FF3">
            <w:pPr>
              <w:pStyle w:val="Compact"/>
              <w:jc w:val="center"/>
            </w:pPr>
            <w:r>
              <w:t>65+</w:t>
            </w:r>
          </w:p>
        </w:tc>
        <w:tc>
          <w:tcPr>
            <w:tcW w:w="0" w:type="auto"/>
          </w:tcPr>
          <w:p w14:paraId="51C73070" w14:textId="60F1E908" w:rsidR="00591CA7" w:rsidRDefault="007D5FF3">
            <w:pPr>
              <w:pStyle w:val="Compact"/>
              <w:jc w:val="left"/>
            </w:pPr>
            <w:r>
              <w:t>mothers, grandmothers</w:t>
            </w:r>
          </w:p>
        </w:tc>
      </w:tr>
    </w:tbl>
    <w:p w14:paraId="0B183CC3" w14:textId="77777777" w:rsidR="009832FB" w:rsidRDefault="009832FB">
      <w:pPr>
        <w:pStyle w:val="BodyText"/>
      </w:pPr>
    </w:p>
    <w:p w14:paraId="51C73072" w14:textId="59541E38" w:rsidR="008719F2" w:rsidRDefault="007D5FF3">
      <w:pPr>
        <w:pStyle w:val="BodyText"/>
      </w:pPr>
      <w:r>
        <w:t xml:space="preserve">It is worth reiterating that these age boundaries are just one set of plausible values. In reality, they are likely to vary by national and </w:t>
      </w:r>
      <w:r>
        <w:t xml:space="preserve">historical context. The parameters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enable researchers with greater domain-knowledge to set these boundaries in more sensible </w:t>
      </w:r>
      <w:r>
        <w:lastRenderedPageBreak/>
        <w:t xml:space="preserve">ways. For the purposes of this study, however, we calculate KDR with the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values given above—44 and 65, resp</w:t>
      </w:r>
      <w:r>
        <w:t>ectively—to enable uniform comparison across our selected countries.</w:t>
      </w:r>
      <w:r>
        <w:rPr>
          <w:rStyle w:val="FootnoteReference"/>
        </w:rPr>
        <w:footnoteReference w:id="9"/>
      </w:r>
    </w:p>
    <w:p w14:paraId="51C73073" w14:textId="3BDFC654" w:rsidR="008719F2" w:rsidRDefault="007D5FF3">
      <w:pPr>
        <w:pStyle w:val="BodyText"/>
      </w:pPr>
      <w:r>
        <w:t>To consider the kin dependency ratio over the whole population, we take the weighted average of the age-specific KDRs, where the weights are based on the age distribution of the populati</w:t>
      </w:r>
      <w:r>
        <w:t>on:</w:t>
      </w:r>
    </w:p>
    <w:p w14:paraId="12C854EB" w14:textId="77777777" w:rsidR="009832FB" w:rsidRDefault="009832FB">
      <w:pPr>
        <w:pStyle w:val="BodyText"/>
      </w:pPr>
    </w:p>
    <w:p w14:paraId="51C73074" w14:textId="2A6E6B07" w:rsidR="008719F2" w:rsidRPr="009832FB" w:rsidRDefault="007D5FF3">
      <w:pPr>
        <w:pStyle w:val="BodyText"/>
        <w:rPr>
          <w:rFonts w:eastAsiaTheme="minorEastAsia"/>
        </w:rPr>
      </w:pPr>
      <m:oMathPara>
        <m:oMathParaPr>
          <m:jc m:val="center"/>
        </m:oMathParaPr>
        <m:oMath>
          <m:r>
            <w:rPr>
              <w:rFonts w:ascii="Cambria Math" w:hAnsi="Cambria Math"/>
            </w:rPr>
            <m:t>KDR</m:t>
          </m:r>
          <m:r>
            <w:rPr>
              <w:rFonts w:ascii="Cambria Math" w:hAnsi="Cambria Math"/>
            </w:rPr>
            <m:t>=</m:t>
          </m:r>
          <m:nary>
            <m:naryPr>
              <m:chr m:val="∑"/>
              <m:limLoc m:val="undOvr"/>
              <m:ctrlPr>
                <w:rPr>
                  <w:rFonts w:ascii="Cambria Math" w:hAnsi="Cambria Math"/>
                </w:rPr>
              </m:ctrlPr>
            </m:naryPr>
            <m:sub>
              <m:r>
                <w:rPr>
                  <w:rFonts w:ascii="Cambria Math" w:hAnsi="Cambria Math"/>
                </w:rPr>
                <m:t>x</m:t>
              </m:r>
              <m:r>
                <w:rPr>
                  <w:rFonts w:ascii="Cambria Math" w:hAnsi="Cambria Math"/>
                </w:rPr>
                <m:t>=0</m:t>
              </m:r>
            </m:sub>
            <m:sup>
              <m:r>
                <w:rPr>
                  <w:rFonts w:ascii="Cambria Math" w:hAnsi="Cambria Math"/>
                </w:rPr>
                <m:t>85</m:t>
              </m:r>
            </m:sup>
            <m:e>
              <m:f>
                <m:fPr>
                  <m:ctrlPr>
                    <w:rPr>
                      <w:rFonts w:ascii="Cambria Math" w:hAnsi="Cambria Math"/>
                    </w:rPr>
                  </m:ctrlPr>
                </m:fPr>
                <m:num>
                  <m:r>
                    <w:rPr>
                      <w:rFonts w:ascii="Cambria Math" w:hAnsi="Cambria Math"/>
                    </w:rPr>
                    <m:t>KDR</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x</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x</m:t>
                      </m:r>
                    </m:sub>
                  </m:sSub>
                </m:den>
              </m:f>
            </m:e>
          </m:nary>
        </m:oMath>
      </m:oMathPara>
    </w:p>
    <w:p w14:paraId="690CB319" w14:textId="77777777" w:rsidR="009832FB" w:rsidRDefault="009832FB">
      <w:pPr>
        <w:pStyle w:val="BodyText"/>
      </w:pPr>
    </w:p>
    <w:p w14:paraId="51C73075" w14:textId="77777777" w:rsidR="008719F2" w:rsidRDefault="007D5FF3">
      <w:r>
        <w:t xml:space="preserve">where </w:t>
      </w:r>
      <m:oMath>
        <m:sSub>
          <m:sSubPr>
            <m:ctrlPr>
              <w:rPr>
                <w:rFonts w:ascii="Cambria Math" w:hAnsi="Cambria Math"/>
              </w:rPr>
            </m:ctrlPr>
          </m:sSubPr>
          <m:e>
            <m:r>
              <w:rPr>
                <w:rFonts w:ascii="Cambria Math" w:hAnsi="Cambria Math"/>
              </w:rPr>
              <m:t>w</m:t>
            </m:r>
          </m:e>
          <m:sub>
            <m:r>
              <w:rPr>
                <w:rFonts w:ascii="Cambria Math" w:hAnsi="Cambria Math"/>
              </w:rPr>
              <m:t>x</m:t>
            </m:r>
          </m:sub>
        </m:sSub>
      </m:oMath>
      <w:r>
        <w:t xml:space="preserve"> is the proportion of the female population aged </w:t>
      </w:r>
      <m:oMath>
        <m:r>
          <w:rPr>
            <w:rFonts w:ascii="Cambria Math" w:hAnsi="Cambria Math"/>
          </w:rPr>
          <m:t>x</m:t>
        </m:r>
      </m:oMath>
      <w:r>
        <w:t>.</w:t>
      </w:r>
    </w:p>
    <w:p w14:paraId="51C73076" w14:textId="77777777" w:rsidR="008719F2" w:rsidRDefault="007D5FF3">
      <w:pPr>
        <w:pStyle w:val="BodyText"/>
      </w:pPr>
      <w:r>
        <w:t>The following is a plot of KDR for our selected countries over the period 1990–2010 (Figure 4). For Kenya and Peru, the KDR has decreased over time as both</w:t>
      </w:r>
      <w:r>
        <w:t xml:space="preserve"> fertility and mortality has declined. In Nigeria, while fertility has also declined, it has declined much more slowly, which coupled with persistently high mortality rates, has led to an increase in the KDR. In Japan, declining mortality rates couples wit</w:t>
      </w:r>
      <w:r>
        <w:t>h historically low fertility rates has lead to lower KDR, while in the United States the KDR has remained relatively constant.</w:t>
      </w:r>
    </w:p>
    <w:p w14:paraId="51C73077" w14:textId="77777777" w:rsidR="008719F2" w:rsidRDefault="007D5FF3">
      <w:r>
        <w:rPr>
          <w:noProof/>
        </w:rPr>
        <w:drawing>
          <wp:inline distT="0" distB="0" distL="0" distR="0" wp14:anchorId="51C730B5" wp14:editId="1AB98014">
            <wp:extent cx="4437185" cy="2958122"/>
            <wp:effectExtent l="0" t="0" r="0" b="0"/>
            <wp:docPr id="4" name="Picture" descr="Fig.4 Kin dependency ratios, 1990–2010."/>
            <wp:cNvGraphicFramePr/>
            <a:graphic xmlns:a="http://schemas.openxmlformats.org/drawingml/2006/main">
              <a:graphicData uri="http://schemas.openxmlformats.org/drawingml/2006/picture">
                <pic:pic xmlns:pic="http://schemas.openxmlformats.org/drawingml/2006/picture">
                  <pic:nvPicPr>
                    <pic:cNvPr id="0" name="Picture" descr="figs/kdr_ts.png"/>
                    <pic:cNvPicPr>
                      <a:picLocks noChangeAspect="1" noChangeArrowheads="1"/>
                    </pic:cNvPicPr>
                  </pic:nvPicPr>
                  <pic:blipFill>
                    <a:blip r:embed="rId14"/>
                    <a:stretch>
                      <a:fillRect/>
                    </a:stretch>
                  </pic:blipFill>
                  <pic:spPr bwMode="auto">
                    <a:xfrm>
                      <a:off x="0" y="0"/>
                      <a:ext cx="4455152" cy="2970100"/>
                    </a:xfrm>
                    <a:prstGeom prst="rect">
                      <a:avLst/>
                    </a:prstGeom>
                    <a:noFill/>
                    <a:ln w="9525">
                      <a:noFill/>
                      <a:headEnd/>
                      <a:tailEnd/>
                    </a:ln>
                  </pic:spPr>
                </pic:pic>
              </a:graphicData>
            </a:graphic>
          </wp:inline>
        </w:drawing>
      </w:r>
    </w:p>
    <w:p w14:paraId="51C73078" w14:textId="77777777" w:rsidR="008719F2" w:rsidRDefault="007D5FF3">
      <w:pPr>
        <w:pStyle w:val="ImageCaption"/>
      </w:pPr>
      <w:r>
        <w:t>Fig.4 Kin dependency ratios, 1990–2010.</w:t>
      </w:r>
    </w:p>
    <w:p w14:paraId="51C73079" w14:textId="77777777" w:rsidR="008719F2" w:rsidRDefault="007D5FF3">
      <w:pPr>
        <w:pStyle w:val="Heading3"/>
      </w:pPr>
      <w:bookmarkStart w:id="8" w:name="the-kindr-package"/>
      <w:r>
        <w:lastRenderedPageBreak/>
        <w:t>The ‘kindr’ Package</w:t>
      </w:r>
      <w:bookmarkEnd w:id="8"/>
    </w:p>
    <w:p w14:paraId="51C7307A" w14:textId="77777777" w:rsidR="008719F2" w:rsidRDefault="007D5FF3">
      <w:r>
        <w:t>To enhance the accessibility of the KDR index, we have developed an</w:t>
      </w:r>
      <w:r>
        <w:t xml:space="preserve"> R package (‘kindr’), which automates the calculation given age-specific fertility rates, mortality rates, population counts, and user-specified </w:t>
      </w:r>
      <m:oMath>
        <m:sSub>
          <m:sSubPr>
            <m:ctrlPr>
              <w:rPr>
                <w:rFonts w:ascii="Cambria Math" w:hAnsi="Cambria Math"/>
              </w:rPr>
            </m:ctrlPr>
          </m:sSubPr>
          <m:e>
            <m:r>
              <w:rPr>
                <w:rFonts w:ascii="Cambria Math" w:hAnsi="Cambria Math"/>
              </w:rPr>
              <m:t>a</m:t>
            </m:r>
          </m:e>
          <m:sub>
            <m:r>
              <w:rPr>
                <w:rFonts w:ascii="Cambria Math" w:hAnsi="Cambria Math"/>
              </w:rPr>
              <m:t>1</m:t>
            </m:r>
          </m:sub>
        </m:sSub>
      </m:oMath>
      <w: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parameter values. Further details regarding </w:t>
      </w:r>
      <w:r>
        <w:rPr>
          <w:i/>
        </w:rPr>
        <w:t>kindr</w:t>
      </w:r>
      <w:r>
        <w:t xml:space="preserve"> (its installation and use) are provided in the techni</w:t>
      </w:r>
      <w:r>
        <w:t>cal appendix.</w:t>
      </w:r>
    </w:p>
    <w:p w14:paraId="51C7307B" w14:textId="77777777" w:rsidR="008719F2" w:rsidRDefault="007D5FF3">
      <w:pPr>
        <w:pStyle w:val="Heading2"/>
      </w:pPr>
      <w:bookmarkStart w:id="9" w:name="kdr-vs.tadr"/>
      <w:r>
        <w:t>KDR vs. TADR</w:t>
      </w:r>
      <w:bookmarkEnd w:id="9"/>
    </w:p>
    <w:p w14:paraId="51C7307C" w14:textId="59734626" w:rsidR="008719F2" w:rsidRDefault="007D5FF3">
      <w:r>
        <w:t>The following is a plot of the mean KDR (measured over ages 14-64) and the TADR over the period 1990–2010 for a selection of countries that vary in their demography and relative levels of economic development.</w:t>
      </w:r>
    </w:p>
    <w:p w14:paraId="3656F333" w14:textId="77777777" w:rsidR="00110A02" w:rsidRPr="00110A02" w:rsidRDefault="00110A02" w:rsidP="00110A02">
      <w:pPr>
        <w:pStyle w:val="BodyText"/>
      </w:pPr>
    </w:p>
    <w:p w14:paraId="51C7307D" w14:textId="77777777" w:rsidR="008719F2" w:rsidRDefault="007D5FF3">
      <w:r>
        <w:rPr>
          <w:noProof/>
        </w:rPr>
        <w:drawing>
          <wp:inline distT="0" distB="0" distL="0" distR="0" wp14:anchorId="51C730B7" wp14:editId="51C730B8">
            <wp:extent cx="5207000" cy="3124200"/>
            <wp:effectExtent l="0" t="0" r="0" b="0"/>
            <wp:docPr id="5" name="Picture" descr="Fig.5 TADR versus KDR in select countries, 1990–2010."/>
            <wp:cNvGraphicFramePr/>
            <a:graphic xmlns:a="http://schemas.openxmlformats.org/drawingml/2006/main">
              <a:graphicData uri="http://schemas.openxmlformats.org/drawingml/2006/picture">
                <pic:pic xmlns:pic="http://schemas.openxmlformats.org/drawingml/2006/picture">
                  <pic:nvPicPr>
                    <pic:cNvPr id="0" name="Picture" descr="figs/kdr_tadr_scatter_all.png"/>
                    <pic:cNvPicPr>
                      <a:picLocks noChangeAspect="1" noChangeArrowheads="1"/>
                    </pic:cNvPicPr>
                  </pic:nvPicPr>
                  <pic:blipFill>
                    <a:blip r:embed="rId15"/>
                    <a:stretch>
                      <a:fillRect/>
                    </a:stretch>
                  </pic:blipFill>
                  <pic:spPr bwMode="auto">
                    <a:xfrm>
                      <a:off x="0" y="0"/>
                      <a:ext cx="5207000" cy="3124200"/>
                    </a:xfrm>
                    <a:prstGeom prst="rect">
                      <a:avLst/>
                    </a:prstGeom>
                    <a:noFill/>
                    <a:ln w="9525">
                      <a:noFill/>
                      <a:headEnd/>
                      <a:tailEnd/>
                    </a:ln>
                  </pic:spPr>
                </pic:pic>
              </a:graphicData>
            </a:graphic>
          </wp:inline>
        </w:drawing>
      </w:r>
    </w:p>
    <w:p w14:paraId="51C7307E" w14:textId="77777777" w:rsidR="008719F2" w:rsidRDefault="007D5FF3">
      <w:pPr>
        <w:pStyle w:val="ImageCaption"/>
      </w:pPr>
      <w:r>
        <w:t>Fig.5 TADR versus KDR in select countries, 1990–2010.</w:t>
      </w:r>
    </w:p>
    <w:p w14:paraId="51C7307F" w14:textId="77777777" w:rsidR="008719F2" w:rsidRDefault="007D5FF3">
      <w:pPr>
        <w:pStyle w:val="BodyText"/>
      </w:pPr>
      <w:r>
        <w:t>In general, we observe what we expect: KDR tends to increase along with TADR. That is to say, as the ratio of “dependent” age groups to the “working-age” group increases, so too does the ratio of “depen</w:t>
      </w:r>
      <w:r>
        <w:t>dent” kin to non-“dependent” kin. However, this association does not hold perfectly in all cases. If we look closely at the plot in Figure 5, we see that the relationship between KDR and TADR varies greatly across different national contexts (Figure 6).</w:t>
      </w:r>
    </w:p>
    <w:p w14:paraId="51C73080" w14:textId="77777777" w:rsidR="008719F2" w:rsidRDefault="007D5FF3">
      <w:r>
        <w:rPr>
          <w:noProof/>
        </w:rPr>
        <w:lastRenderedPageBreak/>
        <w:drawing>
          <wp:inline distT="0" distB="0" distL="0" distR="0" wp14:anchorId="51C730B9" wp14:editId="51C730BA">
            <wp:extent cx="5207000" cy="3124200"/>
            <wp:effectExtent l="0" t="0" r="0" b="0"/>
            <wp:docPr id="6" name="Picture" descr="Fig.6 Time trends in the association between TADR and KDR for select countries, 1990–2010."/>
            <wp:cNvGraphicFramePr/>
            <a:graphic xmlns:a="http://schemas.openxmlformats.org/drawingml/2006/main">
              <a:graphicData uri="http://schemas.openxmlformats.org/drawingml/2006/picture">
                <pic:pic xmlns:pic="http://schemas.openxmlformats.org/drawingml/2006/picture">
                  <pic:nvPicPr>
                    <pic:cNvPr id="0" name="Picture" descr="figs/kdr_tadr_scatter_facet.png"/>
                    <pic:cNvPicPr>
                      <a:picLocks noChangeAspect="1" noChangeArrowheads="1"/>
                    </pic:cNvPicPr>
                  </pic:nvPicPr>
                  <pic:blipFill>
                    <a:blip r:embed="rId16"/>
                    <a:stretch>
                      <a:fillRect/>
                    </a:stretch>
                  </pic:blipFill>
                  <pic:spPr bwMode="auto">
                    <a:xfrm>
                      <a:off x="0" y="0"/>
                      <a:ext cx="5207000" cy="3124200"/>
                    </a:xfrm>
                    <a:prstGeom prst="rect">
                      <a:avLst/>
                    </a:prstGeom>
                    <a:noFill/>
                    <a:ln w="9525">
                      <a:noFill/>
                      <a:headEnd/>
                      <a:tailEnd/>
                    </a:ln>
                  </pic:spPr>
                </pic:pic>
              </a:graphicData>
            </a:graphic>
          </wp:inline>
        </w:drawing>
      </w:r>
    </w:p>
    <w:p w14:paraId="51C73081" w14:textId="77777777" w:rsidR="008719F2" w:rsidRDefault="007D5FF3">
      <w:pPr>
        <w:pStyle w:val="ImageCaption"/>
      </w:pPr>
      <w:r>
        <w:t>Fig.6 Time trends in the association between TADR and KDR for select countries, 1990–2010.</w:t>
      </w:r>
    </w:p>
    <w:p w14:paraId="51C73082" w14:textId="77777777" w:rsidR="008719F2" w:rsidRDefault="007D5FF3">
      <w:pPr>
        <w:pStyle w:val="BodyText"/>
      </w:pPr>
      <w:r>
        <w:t>In Kenya, for example, we see a positive, nearly linear correlation between KDR and TADR over time. This aligns well with the general trend observed in Figure 5: TAD</w:t>
      </w:r>
      <w:r>
        <w:t>R and KDR increases or declines at roughly similar speeds. In Japan, this relationship appears to flip altogether—KDR actually declines linearly as TADR increases over time. In all of our other countries, however, we see deviations from either of these sim</w:t>
      </w:r>
      <w:r>
        <w:t>pler patterns. In the USA and Nigeria, there is a markedly non-linear relationship between KDR and TADR over time—KDR does not always move in the same direction as TADR.</w:t>
      </w:r>
    </w:p>
    <w:p w14:paraId="51C73083" w14:textId="77777777" w:rsidR="008719F2" w:rsidRDefault="007D5FF3">
      <w:pPr>
        <w:pStyle w:val="BodyText"/>
      </w:pPr>
      <w:r>
        <w:t>In summary, the relationship between KDR and TADR is not constant. It can vary dramati</w:t>
      </w:r>
      <w:r>
        <w:t xml:space="preserve">cally over time and across different national populations. To the extent that KDR and TADR can be interpreted as measures of, respectively, the </w:t>
      </w:r>
      <w:r>
        <w:rPr>
          <w:i/>
        </w:rPr>
        <w:t>private</w:t>
      </w:r>
      <w:r>
        <w:t xml:space="preserve"> and </w:t>
      </w:r>
      <w:r>
        <w:rPr>
          <w:i/>
        </w:rPr>
        <w:t>public</w:t>
      </w:r>
      <w:r>
        <w:t xml:space="preserve"> support burdens faced by countries, understanding the shape and source of the variation in th</w:t>
      </w:r>
      <w:r>
        <w:t xml:space="preserve">e KDR-TADR relationship may help inform the future work of researchers and policy-makers as they prepare for the aging of their populations. </w:t>
      </w:r>
    </w:p>
    <w:p w14:paraId="51C73084" w14:textId="77777777" w:rsidR="008719F2" w:rsidRDefault="007D5FF3">
      <w:pPr>
        <w:pStyle w:val="Heading2"/>
      </w:pPr>
      <w:bookmarkStart w:id="10" w:name="explaining-the-relationship-between-kdr-"/>
      <w:r>
        <w:t>Explaining the Relationship between KDR and TADR</w:t>
      </w:r>
      <w:bookmarkEnd w:id="10"/>
    </w:p>
    <w:p w14:paraId="51C73085" w14:textId="77777777" w:rsidR="008719F2" w:rsidRDefault="007D5FF3">
      <w:r>
        <w:t>So what accounts for the non-uniform relationship between KDR and</w:t>
      </w:r>
      <w:r>
        <w:t xml:space="preserve"> TADR across different national contexts? The answer, in brief, is national differences in the historical trajectory of fertility and mortality rates. These differences can be described along two dimensions: (1) differences in </w:t>
      </w:r>
      <w:r>
        <w:rPr>
          <w:i/>
        </w:rPr>
        <w:t>levels</w:t>
      </w:r>
      <w:r>
        <w:t>; and (2) differences i</w:t>
      </w:r>
      <w:r>
        <w:t xml:space="preserve">n the </w:t>
      </w:r>
      <w:r>
        <w:rPr>
          <w:i/>
        </w:rPr>
        <w:t>rate of change</w:t>
      </w:r>
      <w:r>
        <w:t>.</w:t>
      </w:r>
    </w:p>
    <w:p w14:paraId="51C73086" w14:textId="77777777" w:rsidR="008719F2" w:rsidRDefault="007D5FF3">
      <w:pPr>
        <w:pStyle w:val="BodyText"/>
      </w:pPr>
      <w:r>
        <w:t xml:space="preserve">If the </w:t>
      </w:r>
      <w:r>
        <w:rPr>
          <w:i/>
        </w:rPr>
        <w:t>levels</w:t>
      </w:r>
      <w:r>
        <w:t xml:space="preserve"> </w:t>
      </w:r>
      <w:r>
        <w:t xml:space="preserve">of fertility and mortality in a particular population are such that they combine to produce a rapidly growing population (i.e. a large intrinsic growth rate), than both TADR </w:t>
      </w:r>
      <w:r>
        <w:lastRenderedPageBreak/>
        <w:t xml:space="preserve">and KDR will tend to increase over time. This is because the higher rate at which </w:t>
      </w:r>
      <w:r>
        <w:t xml:space="preserve">new individuals are born into the population and/or existing individuals survive into their older ages, results in a greater proportion of youth and elderly in the population. However, if the levels of fertility and mortality in that population combine to </w:t>
      </w:r>
      <w:r>
        <w:t>produce a slowly growing, or even shrinking, population (i.e. a small or negative intrinsic rate of growth), than both TADR and KDR will tend to become lower over time. This is because the rate at which new individuals are born into the population is not m</w:t>
      </w:r>
      <w:r>
        <w:t>uch greater (or even less) than the rate at which existing individuals pass away, leading to a more uniform age distribution, which results in fewer youth (also, younger-generation kin) and post-retirement age adults (also, older-generation kin) relative t</w:t>
      </w:r>
      <w:r>
        <w:t>o the number of working-age adults.</w:t>
      </w:r>
    </w:p>
    <w:p w14:paraId="51C73087" w14:textId="77777777" w:rsidR="008719F2" w:rsidRDefault="007D5FF3">
      <w:pPr>
        <w:pStyle w:val="BodyText"/>
      </w:pPr>
      <w:r>
        <w:t>Figure 7 illustrates this general trend: countries with greater mean annual growth rates (</w:t>
      </w:r>
      <m:oMath>
        <m:r>
          <w:rPr>
            <w:rFonts w:ascii="Cambria Math" w:hAnsi="Cambria Math"/>
          </w:rPr>
          <m:t>r</m:t>
        </m:r>
      </m:oMath>
      <w:r>
        <w:t>) tend to have both higher TADRs and KDRs.</w:t>
      </w:r>
    </w:p>
    <w:p w14:paraId="51C73088" w14:textId="77777777" w:rsidR="008719F2" w:rsidRDefault="007D5FF3">
      <w:r>
        <w:rPr>
          <w:noProof/>
        </w:rPr>
        <w:drawing>
          <wp:inline distT="0" distB="0" distL="0" distR="0" wp14:anchorId="51C730BB" wp14:editId="51C730BC">
            <wp:extent cx="5207000" cy="3124200"/>
            <wp:effectExtent l="0" t="0" r="0" b="0"/>
            <wp:docPr id="7" name="Picture" descr="Fig.7 Time trends in the association between TADR and KDR for select countries (with mean annual growth rates), 1990–2010."/>
            <wp:cNvGraphicFramePr/>
            <a:graphic xmlns:a="http://schemas.openxmlformats.org/drawingml/2006/main">
              <a:graphicData uri="http://schemas.openxmlformats.org/drawingml/2006/picture">
                <pic:pic xmlns:pic="http://schemas.openxmlformats.org/drawingml/2006/picture">
                  <pic:nvPicPr>
                    <pic:cNvPr id="0" name="Picture" descr="figs/kdr_tadr_r_all.png"/>
                    <pic:cNvPicPr>
                      <a:picLocks noChangeAspect="1" noChangeArrowheads="1"/>
                    </pic:cNvPicPr>
                  </pic:nvPicPr>
                  <pic:blipFill>
                    <a:blip r:embed="rId17"/>
                    <a:stretch>
                      <a:fillRect/>
                    </a:stretch>
                  </pic:blipFill>
                  <pic:spPr bwMode="auto">
                    <a:xfrm>
                      <a:off x="0" y="0"/>
                      <a:ext cx="5207000" cy="3124200"/>
                    </a:xfrm>
                    <a:prstGeom prst="rect">
                      <a:avLst/>
                    </a:prstGeom>
                    <a:noFill/>
                    <a:ln w="9525">
                      <a:noFill/>
                      <a:headEnd/>
                      <a:tailEnd/>
                    </a:ln>
                  </pic:spPr>
                </pic:pic>
              </a:graphicData>
            </a:graphic>
          </wp:inline>
        </w:drawing>
      </w:r>
    </w:p>
    <w:p w14:paraId="51C73089" w14:textId="77777777" w:rsidR="008719F2" w:rsidRDefault="007D5FF3">
      <w:pPr>
        <w:pStyle w:val="ImageCaption"/>
      </w:pPr>
      <w:r>
        <w:t>Fig.7 Time trends in the association between TADR and KDR for select countries (wit</w:t>
      </w:r>
      <w:r>
        <w:t>h mean annual growth rates), 1990–2010.</w:t>
      </w:r>
    </w:p>
    <w:p w14:paraId="51C7308A" w14:textId="77777777" w:rsidR="008719F2" w:rsidRDefault="007D5FF3">
      <w:pPr>
        <w:pStyle w:val="BodyText"/>
      </w:pPr>
      <w:r>
        <w:t xml:space="preserve">While the absolute levels of fertility and mortality in a population determine, broadly-speaking, the </w:t>
      </w:r>
      <w:r>
        <w:rPr>
          <w:i/>
        </w:rPr>
        <w:t>magnitudes</w:t>
      </w:r>
      <w:r>
        <w:t xml:space="preserve"> of the TADR and KDR in that population, the levels alone cannot predict the population time trend in th</w:t>
      </w:r>
      <w:r>
        <w:t xml:space="preserve">e </w:t>
      </w:r>
      <w:r>
        <w:rPr>
          <w:i/>
        </w:rPr>
        <w:t>association</w:t>
      </w:r>
      <w:r>
        <w:t xml:space="preserve"> between the TADR and KDR. Recall, for example, in some countries (e.g. Kenya) the TADR and KDR are positively associated, while in other countries (e.g. Japan) the TADR and the KDR are negatively associated. This dynamic is driven by differen</w:t>
      </w:r>
      <w:r>
        <w:t xml:space="preserve">ces in the </w:t>
      </w:r>
      <w:r>
        <w:rPr>
          <w:i/>
        </w:rPr>
        <w:t>rate of change</w:t>
      </w:r>
      <w:r>
        <w:t xml:space="preserve"> of fertility and mortality in these populations. In other words, the speed and direction of changes in fertility and mortality affects TADR and KDR differently.</w:t>
      </w:r>
    </w:p>
    <w:p w14:paraId="51C7308B" w14:textId="77777777" w:rsidR="008719F2" w:rsidRDefault="007D5FF3">
      <w:pPr>
        <w:pStyle w:val="BodyText"/>
      </w:pPr>
      <w:r>
        <w:lastRenderedPageBreak/>
        <w:t>To explore this phenomenon in greater detail, we conduct a projection</w:t>
      </w:r>
      <w:r>
        <w:t xml:space="preserve"> exercise using the 1950 world population (as reported in the United Nations’ World Population Prospects data) as our baseline model. Figure 8 illustrates the age distribution, 5-year age-specific fertility rates, and 5-year age-specific mortality risks fo</w:t>
      </w:r>
      <w:r>
        <w:t>r this population.</w:t>
      </w:r>
    </w:p>
    <w:p w14:paraId="51C7308C" w14:textId="77777777" w:rsidR="008719F2" w:rsidRDefault="007D5FF3">
      <w:r>
        <w:rPr>
          <w:noProof/>
        </w:rPr>
        <w:drawing>
          <wp:inline distT="0" distB="0" distL="0" distR="0" wp14:anchorId="51C730BD" wp14:editId="51C730BE">
            <wp:extent cx="5207000" cy="2603500"/>
            <wp:effectExtent l="0" t="0" r="0" b="0"/>
            <wp:docPr id="8" name="Picture" descr="Fig.8 Age distribution, 5-year age-specific fertility rates, and 5-year mortality risks for the world population, 1950."/>
            <wp:cNvGraphicFramePr/>
            <a:graphic xmlns:a="http://schemas.openxmlformats.org/drawingml/2006/main">
              <a:graphicData uri="http://schemas.openxmlformats.org/drawingml/2006/picture">
                <pic:pic xmlns:pic="http://schemas.openxmlformats.org/drawingml/2006/picture">
                  <pic:nvPicPr>
                    <pic:cNvPr id="0" name="Picture" descr="figs/world_1950_summary.png"/>
                    <pic:cNvPicPr>
                      <a:picLocks noChangeAspect="1" noChangeArrowheads="1"/>
                    </pic:cNvPicPr>
                  </pic:nvPicPr>
                  <pic:blipFill>
                    <a:blip r:embed="rId18"/>
                    <a:stretch>
                      <a:fillRect/>
                    </a:stretch>
                  </pic:blipFill>
                  <pic:spPr bwMode="auto">
                    <a:xfrm>
                      <a:off x="0" y="0"/>
                      <a:ext cx="5207000" cy="2603500"/>
                    </a:xfrm>
                    <a:prstGeom prst="rect">
                      <a:avLst/>
                    </a:prstGeom>
                    <a:noFill/>
                    <a:ln w="9525">
                      <a:noFill/>
                      <a:headEnd/>
                      <a:tailEnd/>
                    </a:ln>
                  </pic:spPr>
                </pic:pic>
              </a:graphicData>
            </a:graphic>
          </wp:inline>
        </w:drawing>
      </w:r>
    </w:p>
    <w:p w14:paraId="51C7308D" w14:textId="77777777" w:rsidR="008719F2" w:rsidRDefault="007D5FF3">
      <w:pPr>
        <w:pStyle w:val="ImageCaption"/>
      </w:pPr>
      <w:r>
        <w:t>Fig.8 Age distribution, 5-year age-specific fertility rates, and 5-year mortality risks for the world population, 1950.</w:t>
      </w:r>
    </w:p>
    <w:p w14:paraId="51C7308E" w14:textId="77777777" w:rsidR="008719F2" w:rsidRDefault="007D5FF3">
      <w:pPr>
        <w:pStyle w:val="BodyText"/>
      </w:pPr>
      <w:r>
        <w:t>Starting from this baseline, we construct synthetic age-specific fertility and mortality rates assuming that the ob</w:t>
      </w:r>
      <w:r>
        <w:t>served 1950 rates decline or increase at some fixed proportion every year for 60 years (i.e. until 2010). This fixed proportion is determined by a set of multiplicative scalars, one for fertility (</w:t>
      </w:r>
      <m:oMath>
        <m:r>
          <w:rPr>
            <w:rFonts w:ascii="Cambria Math" w:hAnsi="Cambria Math"/>
          </w:rPr>
          <m:t>f</m:t>
        </m:r>
      </m:oMath>
      <w:r>
        <w:t>) and one for mortality (</w:t>
      </w:r>
      <m:oMath>
        <m:r>
          <w:rPr>
            <w:rFonts w:ascii="Cambria Math" w:hAnsi="Cambria Math"/>
          </w:rPr>
          <m:t>m</m:t>
        </m:r>
      </m:oMath>
      <w:r>
        <w:t>)—these are chosen to vary bet</w:t>
      </w:r>
      <w:r>
        <w:t>ween 0.99 (corresponding to a 1% decrease) and 1.01 (corresponding to a 1% increase) in increments of 0.002 (0.2%). We then carry out a series of population forecasts via Leslie Matrix projection (Caswell 2018; Wachter 2014) using our scaled age-specific f</w:t>
      </w:r>
      <w:r>
        <w:t>ertility and mortality rates and the 1950 world age distribution as inputs (see the technical appendix for more details about how we specify our Leslie matrix model).</w:t>
      </w:r>
    </w:p>
    <w:p w14:paraId="51C7308F" w14:textId="77777777" w:rsidR="008719F2" w:rsidRDefault="007D5FF3">
      <w:pPr>
        <w:pStyle w:val="BodyText"/>
      </w:pPr>
      <w:r>
        <w:t>To separate out the relative contribution of changes in fertility and mortality, we gener</w:t>
      </w:r>
      <w:r>
        <w:t>ate two sets of population forecasts: one holding mortality rates constant (</w:t>
      </w:r>
      <m:oMath>
        <m:r>
          <w:rPr>
            <w:rFonts w:ascii="Cambria Math" w:hAnsi="Cambria Math"/>
          </w:rPr>
          <m:t>m</m:t>
        </m:r>
        <m:r>
          <w:rPr>
            <w:rFonts w:ascii="Cambria Math" w:hAnsi="Cambria Math"/>
          </w:rPr>
          <m:t>=1.00</m:t>
        </m:r>
      </m:oMath>
      <w:r>
        <w:t>), while allowing fertility rates to vary over time (</w:t>
      </w:r>
      <m:oMath>
        <m:r>
          <w:rPr>
            <w:rFonts w:ascii="Cambria Math" w:hAnsi="Cambria Math"/>
          </w:rPr>
          <m:t>f</m:t>
        </m:r>
        <m:r>
          <w:rPr>
            <w:rFonts w:ascii="Cambria Math" w:hAnsi="Cambria Math"/>
          </w:rPr>
          <m:t>∈[0.99,1.01]</m:t>
        </m:r>
      </m:oMath>
      <w:r>
        <w:t>); and the other holding fertility rates constant (</w:t>
      </w:r>
      <m:oMath>
        <m:r>
          <w:rPr>
            <w:rFonts w:ascii="Cambria Math" w:hAnsi="Cambria Math"/>
          </w:rPr>
          <m:t>f</m:t>
        </m:r>
        <m:r>
          <w:rPr>
            <w:rFonts w:ascii="Cambria Math" w:hAnsi="Cambria Math"/>
          </w:rPr>
          <m:t>=1.00</m:t>
        </m:r>
      </m:oMath>
      <w:r>
        <w:t>), while allowing mortality rates to vary over t</w:t>
      </w:r>
      <w:r>
        <w:t>ime (</w:t>
      </w:r>
      <m:oMath>
        <m:r>
          <w:rPr>
            <w:rFonts w:ascii="Cambria Math" w:hAnsi="Cambria Math"/>
          </w:rPr>
          <m:t>m</m:t>
        </m:r>
        <m:r>
          <w:rPr>
            <w:rFonts w:ascii="Cambria Math" w:hAnsi="Cambria Math"/>
          </w:rPr>
          <m:t>∈[0.99,1.01]</m:t>
        </m:r>
      </m:oMath>
      <w:r>
        <w:t>). The following plots illustrate the resulting time patterns in KDR and TADR in each of these forecast scenarios.</w:t>
      </w:r>
    </w:p>
    <w:p w14:paraId="51C73090" w14:textId="77777777" w:rsidR="008719F2" w:rsidRDefault="007D5FF3">
      <w:r>
        <w:rPr>
          <w:noProof/>
        </w:rPr>
        <w:lastRenderedPageBreak/>
        <w:drawing>
          <wp:inline distT="0" distB="0" distL="0" distR="0" wp14:anchorId="51C730BF" wp14:editId="51C730C0">
            <wp:extent cx="5207000" cy="6508750"/>
            <wp:effectExtent l="0" t="0" r="0" b="0"/>
            <wp:docPr id="9" name="Picture" descr="Fig.9 Projected time trends in the association between TADR and KDR, 1990–2010, varying fertility and mortality rates."/>
            <wp:cNvGraphicFramePr/>
            <a:graphic xmlns:a="http://schemas.openxmlformats.org/drawingml/2006/main">
              <a:graphicData uri="http://schemas.openxmlformats.org/drawingml/2006/picture">
                <pic:pic xmlns:pic="http://schemas.openxmlformats.org/drawingml/2006/picture">
                  <pic:nvPicPr>
                    <pic:cNvPr id="0" name="Picture" descr="figs/world_sim_facet.png"/>
                    <pic:cNvPicPr>
                      <a:picLocks noChangeAspect="1" noChangeArrowheads="1"/>
                    </pic:cNvPicPr>
                  </pic:nvPicPr>
                  <pic:blipFill>
                    <a:blip r:embed="rId19"/>
                    <a:stretch>
                      <a:fillRect/>
                    </a:stretch>
                  </pic:blipFill>
                  <pic:spPr bwMode="auto">
                    <a:xfrm>
                      <a:off x="0" y="0"/>
                      <a:ext cx="5207000" cy="6508750"/>
                    </a:xfrm>
                    <a:prstGeom prst="rect">
                      <a:avLst/>
                    </a:prstGeom>
                    <a:noFill/>
                    <a:ln w="9525">
                      <a:noFill/>
                      <a:headEnd/>
                      <a:tailEnd/>
                    </a:ln>
                  </pic:spPr>
                </pic:pic>
              </a:graphicData>
            </a:graphic>
          </wp:inline>
        </w:drawing>
      </w:r>
    </w:p>
    <w:p w14:paraId="51C73091" w14:textId="77777777" w:rsidR="008719F2" w:rsidRDefault="007D5FF3">
      <w:pPr>
        <w:pStyle w:val="ImageCaption"/>
      </w:pPr>
      <w:r>
        <w:t>Fig.9 Projected time trends in the association between TADR and KDR, 1990–2010, varying fertility and mortality rates.</w:t>
      </w:r>
    </w:p>
    <w:p w14:paraId="25E0CDD4" w14:textId="77777777" w:rsidR="00110A02" w:rsidRDefault="00110A02">
      <w:pPr>
        <w:spacing w:before="0" w:after="200"/>
        <w:contextualSpacing w:val="0"/>
        <w:jc w:val="left"/>
      </w:pPr>
      <w:r>
        <w:br w:type="page"/>
      </w:r>
    </w:p>
    <w:p w14:paraId="51C73092" w14:textId="40BCCBBC" w:rsidR="008719F2" w:rsidRDefault="007D5FF3">
      <w:pPr>
        <w:pStyle w:val="BodyText"/>
      </w:pPr>
      <w:r>
        <w:lastRenderedPageBreak/>
        <w:t>T</w:t>
      </w:r>
      <w:r>
        <w:t xml:space="preserve">he general finding here is that by systematically varying the rates of change in fertility and mortality in our model population, we </w:t>
      </w:r>
      <w:proofErr w:type="gramStart"/>
      <w:r>
        <w:t>are able to</w:t>
      </w:r>
      <w:proofErr w:type="gramEnd"/>
      <w:r>
        <w:t xml:space="preserve"> reproduce the full range of time patterns in the association between KDR and TADR we observed earlier (Figure 6</w:t>
      </w:r>
      <w:r>
        <w:t>). For example, the positive relationship we observed for Kenya where both KDR and TADR decrease linearly with time is also observed in our forecasts where fertility rates are decreased anywhere between 0.4% and 1% annually (with constant mortality rates);</w:t>
      </w:r>
      <w:r>
        <w:t xml:space="preserve"> and in our forecasts where mortality rates are increased anywhere between 0.4% to 1% annually (with constant fertility rates). Similarly, the negative relationship we observed for Japan where TADR increases, while KDR decreases linearly over time is also </w:t>
      </w:r>
      <w:r>
        <w:t>observed in our forecasts where mortality rates are decreased by 0.2% annually (with constant fertility rates). Finally, the types of non-linear relationships we observed for Nigeria and the United States are mirrored in our forecasts where the annual rate</w:t>
      </w:r>
      <w:r>
        <w:t>s of change in fertility and mortality are relatively low.</w:t>
      </w:r>
    </w:p>
    <w:p w14:paraId="51C73093" w14:textId="77777777" w:rsidR="008719F2" w:rsidRDefault="007D5FF3">
      <w:pPr>
        <w:pStyle w:val="BodyText"/>
      </w:pPr>
      <w:r>
        <w:t>To further clarify the effect that the rate of fertility and mortality change has on the association between KDR and TADR, we plot the correlation coefficient between these two indices as a functio</w:t>
      </w:r>
      <w:r>
        <w:t>n of the annual percent change in fertility and mortality (Figure 10).</w:t>
      </w:r>
    </w:p>
    <w:p w14:paraId="51C73094" w14:textId="77777777" w:rsidR="008719F2" w:rsidRDefault="007D5FF3">
      <w:r>
        <w:rPr>
          <w:noProof/>
        </w:rPr>
        <w:lastRenderedPageBreak/>
        <w:drawing>
          <wp:inline distT="0" distB="0" distL="0" distR="0" wp14:anchorId="51C730C1" wp14:editId="51C730C2">
            <wp:extent cx="5207000" cy="6508750"/>
            <wp:effectExtent l="0" t="0" r="0" b="0"/>
            <wp:docPr id="10" name="Picture" descr="Fig.10 Correlation between KDR and TADR, 1950–2010, varying fertility and mortality rates. Inset plots show time trends in KDR (x-axis) versus TADR (y-axis) for a selection of forecast scenarios."/>
            <wp:cNvGraphicFramePr/>
            <a:graphic xmlns:a="http://schemas.openxmlformats.org/drawingml/2006/main">
              <a:graphicData uri="http://schemas.openxmlformats.org/drawingml/2006/picture">
                <pic:pic xmlns:pic="http://schemas.openxmlformats.org/drawingml/2006/picture">
                  <pic:nvPicPr>
                    <pic:cNvPr id="0" name="Picture" descr="figs/world_sim_corr_annotated.png"/>
                    <pic:cNvPicPr>
                      <a:picLocks noChangeAspect="1" noChangeArrowheads="1"/>
                    </pic:cNvPicPr>
                  </pic:nvPicPr>
                  <pic:blipFill>
                    <a:blip r:embed="rId20"/>
                    <a:stretch>
                      <a:fillRect/>
                    </a:stretch>
                  </pic:blipFill>
                  <pic:spPr bwMode="auto">
                    <a:xfrm>
                      <a:off x="0" y="0"/>
                      <a:ext cx="5207000" cy="6508750"/>
                    </a:xfrm>
                    <a:prstGeom prst="rect">
                      <a:avLst/>
                    </a:prstGeom>
                    <a:noFill/>
                    <a:ln w="9525">
                      <a:noFill/>
                      <a:headEnd/>
                      <a:tailEnd/>
                    </a:ln>
                  </pic:spPr>
                </pic:pic>
              </a:graphicData>
            </a:graphic>
          </wp:inline>
        </w:drawing>
      </w:r>
      <w:bookmarkStart w:id="11" w:name="_GoBack"/>
      <w:bookmarkEnd w:id="11"/>
    </w:p>
    <w:p w14:paraId="51C73095" w14:textId="77777777" w:rsidR="008719F2" w:rsidRDefault="007D5FF3">
      <w:pPr>
        <w:pStyle w:val="ImageCaption"/>
      </w:pPr>
      <w:r>
        <w:t>Fig.10 Correlation between KDR and TADR, 1950–2010, varying fertility and mortality rates. Inset plots show time trends in KDR (x-axis) versus TADR (y-axis) for a selection of forecas</w:t>
      </w:r>
      <w:r>
        <w:t>t scenarios.</w:t>
      </w:r>
    </w:p>
    <w:p w14:paraId="59811F0B" w14:textId="77777777" w:rsidR="007D5FF3" w:rsidRDefault="007D5FF3">
      <w:pPr>
        <w:spacing w:before="0" w:after="200"/>
        <w:contextualSpacing w:val="0"/>
        <w:jc w:val="left"/>
      </w:pPr>
      <w:r>
        <w:br w:type="page"/>
      </w:r>
    </w:p>
    <w:p w14:paraId="51C73096" w14:textId="38817563" w:rsidR="008719F2" w:rsidRDefault="007D5FF3">
      <w:pPr>
        <w:pStyle w:val="BodyText"/>
      </w:pPr>
      <w:r>
        <w:lastRenderedPageBreak/>
        <w:t>What we observe is that the slower the rate at which fertility and mortality changes over time, the more negative becomes the correlation between KDR and TADR. Put another way, when a population grows or shrinks very slowly, the KDR and TADR b</w:t>
      </w:r>
      <w:r>
        <w:t xml:space="preserve">ecome </w:t>
      </w:r>
      <w:r>
        <w:rPr>
          <w:i/>
        </w:rPr>
        <w:t>decoupled</w:t>
      </w:r>
      <w:r>
        <w:t xml:space="preserve">: they start to move in opposite directions. This signals a situation where the </w:t>
      </w:r>
      <w:r>
        <w:rPr>
          <w:i/>
        </w:rPr>
        <w:t>public</w:t>
      </w:r>
      <w:r>
        <w:t xml:space="preserve"> support burden (as proxied by the TADR) decreases while the </w:t>
      </w:r>
      <w:r>
        <w:rPr>
          <w:i/>
        </w:rPr>
        <w:t>private</w:t>
      </w:r>
      <w:r>
        <w:t xml:space="preserve"> support burden (as proxied by the KDR) increases, or </w:t>
      </w:r>
      <w:r>
        <w:rPr>
          <w:i/>
        </w:rPr>
        <w:t>vice versa</w:t>
      </w:r>
      <w:r>
        <w:t>.</w:t>
      </w:r>
    </w:p>
    <w:p w14:paraId="51C73097" w14:textId="77777777" w:rsidR="008719F2" w:rsidRDefault="007D5FF3">
      <w:pPr>
        <w:pStyle w:val="Heading1"/>
      </w:pPr>
      <w:bookmarkStart w:id="12" w:name="conclusion"/>
      <w:r>
        <w:t>Conclusion</w:t>
      </w:r>
      <w:bookmarkEnd w:id="12"/>
    </w:p>
    <w:p w14:paraId="51C73098" w14:textId="77777777" w:rsidR="008719F2" w:rsidRDefault="007D5FF3">
      <w:r>
        <w:t>We started</w:t>
      </w:r>
      <w:r>
        <w:t xml:space="preserve"> this paper by discussing various methods for estimating kin availability. We then proposed an extension of one of these methods, the Goodman Equations, which we saw as striking a good balance between ease of implementation and plausibility of results. Usi</w:t>
      </w:r>
      <w:r>
        <w:t>ng this method, we defined a measure of private support burden, the kin dependency ratio (KDR), which we compared to a commonly reported measure of the public support burden, the total age dependency ratio (TADR), for a selection of countries throughout th</w:t>
      </w:r>
      <w:r>
        <w:t>e world. What we found was that a population’s KDR and TADR did not always trend in the same direction. In fact, in populations where the rate of growth changed slowly over time, we discovered that the relationship between the KDR and the TADR could become</w:t>
      </w:r>
      <w:r>
        <w:t xml:space="preserve"> wholly decoupled such that they moved in entirely opposite directions.</w:t>
      </w:r>
    </w:p>
    <w:p w14:paraId="51C73099" w14:textId="77777777" w:rsidR="008719F2" w:rsidRDefault="007D5FF3">
      <w:pPr>
        <w:pStyle w:val="BodyText"/>
      </w:pPr>
      <w:r>
        <w:t>To the extent that the KDR does, in fact, provide some measure of the support burden faced by families and the TADR similarly provides some measure of the support burden faced by publi</w:t>
      </w:r>
      <w:r>
        <w:t>c programs, the fact that these two quantities do not always move in tandem raises some important considerations for those involved in the shaping of social welfare policies. While in populations that are quickly growing or shrinking (where the KDR and TDR</w:t>
      </w:r>
      <w:r>
        <w:t xml:space="preserve"> </w:t>
      </w:r>
      <w:r>
        <w:rPr>
          <w:i/>
        </w:rPr>
        <w:t>do</w:t>
      </w:r>
      <w:r>
        <w:t xml:space="preserve"> move in the same direction), societal resources devoted to supporting families and individuals can be equally effective; in populations that are growing or shrinking more slowly, societal resources may be more efficaciously spent supporting </w:t>
      </w:r>
      <w:r>
        <w:rPr>
          <w:i/>
        </w:rPr>
        <w:t>either</w:t>
      </w:r>
      <w:r>
        <w:t xml:space="preserve"> fami</w:t>
      </w:r>
      <w:r>
        <w:t xml:space="preserve">lies </w:t>
      </w:r>
      <w:r>
        <w:rPr>
          <w:i/>
        </w:rPr>
        <w:t>or</w:t>
      </w:r>
      <w:r>
        <w:t xml:space="preserve"> individuals (but not both).</w:t>
      </w:r>
      <w:r>
        <w:rPr>
          <w:rStyle w:val="FootnoteReference"/>
        </w:rPr>
        <w:footnoteReference w:id="10"/>
      </w:r>
    </w:p>
    <w:p w14:paraId="51C7309A" w14:textId="77777777" w:rsidR="008719F2" w:rsidRDefault="007D5FF3">
      <w:pPr>
        <w:pStyle w:val="Heading1"/>
      </w:pPr>
      <w:bookmarkStart w:id="13" w:name="references"/>
      <w:r>
        <w:t>References</w:t>
      </w:r>
      <w:bookmarkEnd w:id="13"/>
    </w:p>
    <w:p w14:paraId="51C7309B" w14:textId="77777777" w:rsidR="008719F2" w:rsidRDefault="007D5FF3">
      <w:pPr>
        <w:pStyle w:val="Bibliography"/>
      </w:pPr>
      <w:bookmarkStart w:id="14" w:name="ref-Caswell2018"/>
      <w:bookmarkStart w:id="15" w:name="refs"/>
      <w:r>
        <w:t xml:space="preserve">Caswell, Hal. 2018. “Age-classified matrix models.” In </w:t>
      </w:r>
      <w:r>
        <w:rPr>
          <w:i/>
        </w:rPr>
        <w:t>Matrix Population Models: Construction, Analysis, and Interpretation</w:t>
      </w:r>
      <w:r>
        <w:t>, 2nd ed., 8–34.</w:t>
      </w:r>
    </w:p>
    <w:p w14:paraId="51C7309C" w14:textId="77777777" w:rsidR="008719F2" w:rsidRDefault="007D5FF3">
      <w:pPr>
        <w:pStyle w:val="Bibliography"/>
      </w:pPr>
      <w:bookmarkStart w:id="16" w:name="ref-Chung2018"/>
      <w:bookmarkEnd w:id="14"/>
      <w:r>
        <w:t xml:space="preserve">Chung, Pil H., and Peter Hepburn. 2018. “Mass imprisonment and the extended family.” </w:t>
      </w:r>
      <w:r>
        <w:rPr>
          <w:i/>
        </w:rPr>
        <w:t>Sociological Science</w:t>
      </w:r>
      <w:r>
        <w:t xml:space="preserve"> 5:335–60. </w:t>
      </w:r>
      <w:hyperlink r:id="rId21">
        <w:r>
          <w:t>https://doi.org/10.15195/v5.a15</w:t>
        </w:r>
      </w:hyperlink>
      <w:r>
        <w:t>.</w:t>
      </w:r>
    </w:p>
    <w:p w14:paraId="51C7309D" w14:textId="77777777" w:rsidR="008719F2" w:rsidRDefault="007D5FF3">
      <w:pPr>
        <w:pStyle w:val="Bibliography"/>
      </w:pPr>
      <w:bookmarkStart w:id="17" w:name="ref-DepartmentofEconomicandSocialAffairs"/>
      <w:bookmarkEnd w:id="16"/>
      <w:r>
        <w:lastRenderedPageBreak/>
        <w:t>Department of Economic and Social Affairs. 2017. “World Population Prospects, 2017 Revision.” New York, NY: United Nations.</w:t>
      </w:r>
    </w:p>
    <w:p w14:paraId="51C7309E" w14:textId="77777777" w:rsidR="008719F2" w:rsidRDefault="007D5FF3">
      <w:pPr>
        <w:pStyle w:val="Bibliography"/>
      </w:pPr>
      <w:bookmarkStart w:id="18" w:name="ref-Fourastie1959"/>
      <w:bookmarkEnd w:id="17"/>
      <w:r>
        <w:t>Fourastie, Jean. 1959. “De la vie traditionelle a la vie "tertiare": recherches sur la calendrier demographique de l’homme moyen [Fr</w:t>
      </w:r>
      <w:r>
        <w:t xml:space="preserve">om the traditional life to the "tertiary" life: research on the demographic calendar of the average man].” </w:t>
      </w:r>
      <w:r>
        <w:rPr>
          <w:i/>
        </w:rPr>
        <w:t>Population</w:t>
      </w:r>
      <w:r>
        <w:t xml:space="preserve"> 14 (3):417–32.</w:t>
      </w:r>
    </w:p>
    <w:p w14:paraId="51C7309F" w14:textId="77777777" w:rsidR="008719F2" w:rsidRDefault="007D5FF3">
      <w:pPr>
        <w:pStyle w:val="Bibliography"/>
      </w:pPr>
      <w:bookmarkStart w:id="19" w:name="ref-Goldman1978"/>
      <w:bookmarkEnd w:id="18"/>
      <w:r>
        <w:t>Goldman, Noreen. 1978. “Estimating the intrinsic rate of increase of a population from the average numbers of younger and o</w:t>
      </w:r>
      <w:r>
        <w:t xml:space="preserve">lder sisters.” </w:t>
      </w:r>
      <w:r>
        <w:rPr>
          <w:i/>
        </w:rPr>
        <w:t>Demography</w:t>
      </w:r>
      <w:r>
        <w:t xml:space="preserve"> 15 (4):499–507.</w:t>
      </w:r>
    </w:p>
    <w:p w14:paraId="51C730A0" w14:textId="77777777" w:rsidR="008719F2" w:rsidRDefault="007D5FF3">
      <w:pPr>
        <w:pStyle w:val="Bibliography"/>
      </w:pPr>
      <w:bookmarkStart w:id="20" w:name="ref-Goodman1974"/>
      <w:bookmarkEnd w:id="19"/>
      <w:r>
        <w:t xml:space="preserve">Goodman, Leo A., Nathan Keyfitz, and Thomas W. Pullum. 1974. “Family formation and the frequency of various kinship relationships.” </w:t>
      </w:r>
      <w:r>
        <w:rPr>
          <w:i/>
        </w:rPr>
        <w:t>Theoretical Population Biology</w:t>
      </w:r>
      <w:r>
        <w:t xml:space="preserve"> 5:1–27.</w:t>
      </w:r>
    </w:p>
    <w:p w14:paraId="51C730A1" w14:textId="77777777" w:rsidR="008719F2" w:rsidRDefault="007D5FF3">
      <w:pPr>
        <w:pStyle w:val="Bibliography"/>
      </w:pPr>
      <w:bookmarkStart w:id="21" w:name="ref-Goodman1975"/>
      <w:bookmarkEnd w:id="20"/>
      <w:r>
        <w:t>———. 1975. “Addendum to "Family formation a</w:t>
      </w:r>
      <w:r>
        <w:t xml:space="preserve">nd the frequency of various kinship relationships".” </w:t>
      </w:r>
      <w:r>
        <w:rPr>
          <w:i/>
        </w:rPr>
        <w:t>Theoretical Population Biology4</w:t>
      </w:r>
      <w:r>
        <w:t xml:space="preserve"> 8:376–81.</w:t>
      </w:r>
    </w:p>
    <w:p w14:paraId="51C730A2" w14:textId="77777777" w:rsidR="008719F2" w:rsidRDefault="007D5FF3">
      <w:pPr>
        <w:pStyle w:val="Bibliography"/>
      </w:pPr>
      <w:bookmarkStart w:id="22" w:name="ref-Hagestad1986"/>
      <w:bookmarkEnd w:id="21"/>
      <w:r>
        <w:t xml:space="preserve">Hagestad, Gunhild O. 1986. “The aging society as a context for family life.” </w:t>
      </w:r>
      <w:r>
        <w:rPr>
          <w:i/>
        </w:rPr>
        <w:t>Daedalus</w:t>
      </w:r>
      <w:r>
        <w:t xml:space="preserve"> 115 (1):119–39.</w:t>
      </w:r>
    </w:p>
    <w:p w14:paraId="51C730A3" w14:textId="77777777" w:rsidR="008719F2" w:rsidRDefault="007D5FF3">
      <w:pPr>
        <w:pStyle w:val="Bibliography"/>
      </w:pPr>
      <w:bookmarkStart w:id="23" w:name="ref-Heer1968"/>
      <w:bookmarkEnd w:id="22"/>
      <w:r>
        <w:t xml:space="preserve">Heer, David M., and Dean O. Smith. 1968. “Mortality level, </w:t>
      </w:r>
      <w:r>
        <w:t xml:space="preserve">desired family size, and population increase.” </w:t>
      </w:r>
      <w:r>
        <w:rPr>
          <w:i/>
        </w:rPr>
        <w:t>Demography</w:t>
      </w:r>
      <w:r>
        <w:t xml:space="preserve"> 5 (1):104–21. </w:t>
      </w:r>
      <w:hyperlink r:id="rId22">
        <w:r>
          <w:t>https://doi.org/10.1007/BF03208566</w:t>
        </w:r>
      </w:hyperlink>
      <w:r>
        <w:t>.</w:t>
      </w:r>
    </w:p>
    <w:p w14:paraId="51C730A4" w14:textId="77777777" w:rsidR="008719F2" w:rsidRDefault="007D5FF3">
      <w:pPr>
        <w:pStyle w:val="Bibliography"/>
      </w:pPr>
      <w:bookmarkStart w:id="24" w:name="ref-Lee2011"/>
      <w:bookmarkEnd w:id="23"/>
      <w:r>
        <w:t xml:space="preserve">Lee, Ronald Demos, and Andrew Mason. 2011. </w:t>
      </w:r>
      <w:r>
        <w:rPr>
          <w:i/>
        </w:rPr>
        <w:t>Population aging and the generational economy: a gl</w:t>
      </w:r>
      <w:r>
        <w:rPr>
          <w:i/>
        </w:rPr>
        <w:t>obal perspective</w:t>
      </w:r>
      <w:r>
        <w:t>. Cheltenham: Edward Elgar.</w:t>
      </w:r>
    </w:p>
    <w:p w14:paraId="51C730A5" w14:textId="77777777" w:rsidR="008719F2" w:rsidRDefault="007D5FF3">
      <w:pPr>
        <w:pStyle w:val="Bibliography"/>
      </w:pPr>
      <w:bookmarkStart w:id="25" w:name="ref-Lee2011a"/>
      <w:bookmarkEnd w:id="24"/>
      <w:r>
        <w:t xml:space="preserve">Lee, Ronald, and Gretchen Donehower. 2011. “Private transfers in comparative perspective.” In </w:t>
      </w:r>
      <w:r>
        <w:rPr>
          <w:i/>
        </w:rPr>
        <w:t>Population Aging and the Generational Economy: A Global Perspective</w:t>
      </w:r>
      <w:r>
        <w:t>, edited by Ronald Lee and Andrew Mason, 185–208. C</w:t>
      </w:r>
      <w:r>
        <w:t>heltenham: Edward Elgar Publishing Ltd.</w:t>
      </w:r>
    </w:p>
    <w:p w14:paraId="51C730A6" w14:textId="77777777" w:rsidR="008719F2" w:rsidRDefault="007D5FF3">
      <w:pPr>
        <w:pStyle w:val="Bibliography"/>
      </w:pPr>
      <w:bookmarkStart w:id="26" w:name="ref-Lotka1931"/>
      <w:bookmarkEnd w:id="25"/>
      <w:r>
        <w:t xml:space="preserve">Lotka, Alfred J. 1931. “Orphanhood in relation to demographic factors: a study in population analysis.” </w:t>
      </w:r>
      <w:r>
        <w:rPr>
          <w:i/>
        </w:rPr>
        <w:t>Metron</w:t>
      </w:r>
      <w:r>
        <w:t xml:space="preserve"> 9:37–109.</w:t>
      </w:r>
    </w:p>
    <w:p w14:paraId="51C730A7" w14:textId="77777777" w:rsidR="008719F2" w:rsidRDefault="007D5FF3">
      <w:pPr>
        <w:pStyle w:val="Bibliography"/>
      </w:pPr>
      <w:bookmarkStart w:id="27" w:name="ref-Murphy2011"/>
      <w:bookmarkEnd w:id="26"/>
      <w:r>
        <w:t>Murphy, Michael. 2011. “Long-term effects of the demographic transition on family and kinship n</w:t>
      </w:r>
      <w:r>
        <w:t xml:space="preserve">etworks in Britain.” </w:t>
      </w:r>
      <w:r>
        <w:rPr>
          <w:i/>
        </w:rPr>
        <w:t>Population and Development Review</w:t>
      </w:r>
      <w:r>
        <w:t xml:space="preserve"> 37:55–80.</w:t>
      </w:r>
    </w:p>
    <w:p w14:paraId="51C730A8" w14:textId="77777777" w:rsidR="008719F2" w:rsidRDefault="007D5FF3">
      <w:pPr>
        <w:pStyle w:val="Bibliography"/>
      </w:pPr>
      <w:bookmarkStart w:id="28" w:name="ref-Sanderson2005"/>
      <w:bookmarkEnd w:id="27"/>
      <w:r>
        <w:t xml:space="preserve">Sanderson, Warren C., and Sergei Scherbov. 2005. “Average remaining lifetimes can increase as human populations age.” </w:t>
      </w:r>
      <w:r>
        <w:rPr>
          <w:i/>
        </w:rPr>
        <w:t>Nature</w:t>
      </w:r>
      <w:r>
        <w:t>.</w:t>
      </w:r>
    </w:p>
    <w:p w14:paraId="51C730A9" w14:textId="77777777" w:rsidR="008719F2" w:rsidRDefault="007D5FF3">
      <w:pPr>
        <w:pStyle w:val="Bibliography"/>
      </w:pPr>
      <w:bookmarkStart w:id="29" w:name="ref-Uhlenberg1980"/>
      <w:bookmarkEnd w:id="28"/>
      <w:r>
        <w:t xml:space="preserve">Uhlenberg, Peter. 1980. “Death and the family.” </w:t>
      </w:r>
      <w:r>
        <w:rPr>
          <w:i/>
        </w:rPr>
        <w:t>Journal of Family</w:t>
      </w:r>
      <w:r>
        <w:rPr>
          <w:i/>
        </w:rPr>
        <w:t xml:space="preserve"> History</w:t>
      </w:r>
      <w:r>
        <w:t xml:space="preserve"> 5:313–20.</w:t>
      </w:r>
    </w:p>
    <w:p w14:paraId="51C730AA" w14:textId="77777777" w:rsidR="008719F2" w:rsidRDefault="007D5FF3">
      <w:pPr>
        <w:pStyle w:val="Bibliography"/>
      </w:pPr>
      <w:bookmarkStart w:id="30" w:name="ref-UNPopDiv2015"/>
      <w:bookmarkEnd w:id="29"/>
      <w:r>
        <w:t>United Nations, Department of Economic and Social Affairs, Population Division. 2015. “World Population Ageing 2015.” United Nations, Department of Economic; Social Affairs.</w:t>
      </w:r>
    </w:p>
    <w:p w14:paraId="51C730AB" w14:textId="77777777" w:rsidR="008719F2" w:rsidRDefault="007D5FF3">
      <w:pPr>
        <w:pStyle w:val="Bibliography"/>
      </w:pPr>
      <w:bookmarkStart w:id="31" w:name="ref-Verdery2017"/>
      <w:bookmarkEnd w:id="30"/>
      <w:r>
        <w:t xml:space="preserve">Verdery, Ashton M., and Rachel Margolis. 2017. “Projections of </w:t>
      </w:r>
      <w:r>
        <w:t xml:space="preserve">white and black older adults without living kin in the United States, 2015 to 2060.” </w:t>
      </w:r>
      <w:r>
        <w:rPr>
          <w:i/>
        </w:rPr>
        <w:t>Proceedings of the National Academy of Sciences</w:t>
      </w:r>
      <w:r>
        <w:t xml:space="preserve"> 114 (2):11109–14. </w:t>
      </w:r>
      <w:hyperlink r:id="rId23">
        <w:r>
          <w:t>https://doi.org/10.1073/pnas.1710341114</w:t>
        </w:r>
      </w:hyperlink>
      <w:r>
        <w:t>.</w:t>
      </w:r>
    </w:p>
    <w:p w14:paraId="51C730AC" w14:textId="77777777" w:rsidR="008719F2" w:rsidRDefault="007D5FF3">
      <w:pPr>
        <w:pStyle w:val="Bibliography"/>
      </w:pPr>
      <w:bookmarkStart w:id="32" w:name="ref-Wachter2014"/>
      <w:bookmarkEnd w:id="31"/>
      <w:r>
        <w:t>Wacht</w:t>
      </w:r>
      <w:r>
        <w:t xml:space="preserve">er, Kenneth W. 2014. </w:t>
      </w:r>
      <w:r>
        <w:rPr>
          <w:i/>
        </w:rPr>
        <w:t>Essential Demographic Methods</w:t>
      </w:r>
      <w:r>
        <w:t xml:space="preserve">. Harvard University Press. </w:t>
      </w:r>
      <w:hyperlink r:id="rId24">
        <w:r>
          <w:t>https://doi.org/10.1017/CBO9781107415324.004</w:t>
        </w:r>
      </w:hyperlink>
      <w:r>
        <w:t>.</w:t>
      </w:r>
    </w:p>
    <w:p w14:paraId="51C730AD" w14:textId="77777777" w:rsidR="008719F2" w:rsidRDefault="007D5FF3">
      <w:pPr>
        <w:pStyle w:val="Bibliography"/>
      </w:pPr>
      <w:bookmarkStart w:id="33" w:name="ref-Watkins1987"/>
      <w:bookmarkEnd w:id="32"/>
      <w:r>
        <w:lastRenderedPageBreak/>
        <w:t>Watkins, Susan Cotts, Jane A. Menken, and John Bongaarts. 1987. “Dem</w:t>
      </w:r>
      <w:r>
        <w:t>ographic foundations of family change.”</w:t>
      </w:r>
    </w:p>
    <w:p w14:paraId="51C730AE" w14:textId="77777777" w:rsidR="008719F2" w:rsidRDefault="007D5FF3">
      <w:pPr>
        <w:pStyle w:val="Bibliography"/>
      </w:pPr>
      <w:bookmarkStart w:id="34" w:name="ref-Zhao2006"/>
      <w:bookmarkEnd w:id="33"/>
      <w:r>
        <w:t xml:space="preserve">Zhao, Zhongwei. 2006. “Computer microsimulation and historical study of social structure: A comparative review of SOCSIM and CAMSIM.” </w:t>
      </w:r>
      <w:r>
        <w:rPr>
          <w:i/>
        </w:rPr>
        <w:t>Revista de La Asociacion de Demografia Historica</w:t>
      </w:r>
      <w:r>
        <w:t xml:space="preserve">. </w:t>
      </w:r>
      <w:hyperlink r:id="rId25">
        <w:r>
          <w:t>https://doi.org/10.1111/j.1365-2958.2004.04126.x</w:t>
        </w:r>
      </w:hyperlink>
      <w:r>
        <w:t>.</w:t>
      </w:r>
    </w:p>
    <w:bookmarkEnd w:id="34"/>
    <w:bookmarkEnd w:id="15"/>
    <w:sectPr w:rsidR="008719F2" w:rsidSect="00870F66">
      <w:footnotePr>
        <w:numRestart w:val="eachSect"/>
      </w:footnotePr>
      <w:pgSz w:w="12240" w:h="15840"/>
      <w:pgMar w:top="2016" w:right="2016" w:bottom="2016" w:left="201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730CB" w14:textId="77777777" w:rsidR="00000000" w:rsidRDefault="007D5FF3">
      <w:pPr>
        <w:spacing w:before="0"/>
      </w:pPr>
      <w:r>
        <w:separator/>
      </w:r>
    </w:p>
  </w:endnote>
  <w:endnote w:type="continuationSeparator" w:id="0">
    <w:p w14:paraId="51C730CD" w14:textId="77777777" w:rsidR="00000000" w:rsidRDefault="007D5FF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panose1 w:val="02040503050201020203"/>
    <w:charset w:val="00"/>
    <w:family w:val="roman"/>
    <w:notTrueType/>
    <w:pitch w:val="variable"/>
    <w:sig w:usb0="E00002AF" w:usb1="5000E07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8423858"/>
      <w:docPartObj>
        <w:docPartGallery w:val="Page Numbers (Bottom of Page)"/>
        <w:docPartUnique/>
      </w:docPartObj>
    </w:sdtPr>
    <w:sdtEndPr>
      <w:rPr>
        <w:noProof/>
      </w:rPr>
    </w:sdtEndPr>
    <w:sdtContent>
      <w:p w14:paraId="51C730C7" w14:textId="77777777" w:rsidR="005A5038" w:rsidRDefault="007D5F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C730C8" w14:textId="77777777" w:rsidR="00033CB8" w:rsidRDefault="007D5F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6885218"/>
      <w:docPartObj>
        <w:docPartGallery w:val="Page Numbers (Bottom of Page)"/>
        <w:docPartUnique/>
      </w:docPartObj>
    </w:sdtPr>
    <w:sdtEndPr>
      <w:rPr>
        <w:noProof/>
      </w:rPr>
    </w:sdtEndPr>
    <w:sdtContent>
      <w:p w14:paraId="02831747" w14:textId="5310767D" w:rsidR="00D448E5" w:rsidRDefault="00D448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DBE8EA" w14:textId="77777777" w:rsidR="00D448E5" w:rsidRDefault="00D448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730C3" w14:textId="77777777" w:rsidR="008719F2" w:rsidRDefault="007D5FF3">
      <w:r>
        <w:separator/>
      </w:r>
    </w:p>
  </w:footnote>
  <w:footnote w:type="continuationSeparator" w:id="0">
    <w:p w14:paraId="51C730C4" w14:textId="77777777" w:rsidR="008719F2" w:rsidRDefault="007D5FF3">
      <w:r>
        <w:continuationSeparator/>
      </w:r>
    </w:p>
  </w:footnote>
  <w:footnote w:id="1">
    <w:p w14:paraId="088CE1FF" w14:textId="20BB41D8" w:rsidR="00A743B4" w:rsidRPr="002A0254" w:rsidRDefault="00436061">
      <w:pPr>
        <w:pStyle w:val="FootnoteText"/>
        <w:rPr>
          <w:i/>
        </w:rPr>
      </w:pPr>
      <w:r>
        <w:rPr>
          <w:rStyle w:val="FootnoteReference"/>
        </w:rPr>
        <w:footnoteRef/>
      </w:r>
      <w:r>
        <w:t xml:space="preserve"> </w:t>
      </w:r>
      <w:r w:rsidR="00A743B4">
        <w:t xml:space="preserve">Graduate </w:t>
      </w:r>
      <w:r w:rsidR="00E737B5">
        <w:t>Group</w:t>
      </w:r>
      <w:r w:rsidR="00A743B4">
        <w:t xml:space="preserve"> in Sociology </w:t>
      </w:r>
      <w:r w:rsidR="00E76F45">
        <w:t>and</w:t>
      </w:r>
      <w:r w:rsidR="00A743B4">
        <w:t xml:space="preserve"> Demography, </w:t>
      </w:r>
      <w:r w:rsidR="00A743B4" w:rsidRPr="002A0254">
        <w:rPr>
          <w:i/>
        </w:rPr>
        <w:t>UC Berkeley</w:t>
      </w:r>
    </w:p>
  </w:footnote>
  <w:footnote w:id="2">
    <w:p w14:paraId="2405E3DF" w14:textId="704E845B" w:rsidR="00436061" w:rsidRDefault="00436061">
      <w:pPr>
        <w:pStyle w:val="FootnoteText"/>
      </w:pPr>
      <w:r>
        <w:rPr>
          <w:rStyle w:val="FootnoteReference"/>
        </w:rPr>
        <w:footnoteRef/>
      </w:r>
      <w:r>
        <w:t xml:space="preserve"> </w:t>
      </w:r>
      <w:r w:rsidR="00A743B4">
        <w:t xml:space="preserve">Departments of </w:t>
      </w:r>
      <w:r w:rsidR="00E76F45">
        <w:t xml:space="preserve">Statistics and Sociology, </w:t>
      </w:r>
      <w:r w:rsidR="00E76F45" w:rsidRPr="002A0254">
        <w:rPr>
          <w:i/>
        </w:rPr>
        <w:t>University of Toronto</w:t>
      </w:r>
    </w:p>
  </w:footnote>
  <w:footnote w:id="3">
    <w:p w14:paraId="51C730C9" w14:textId="77777777" w:rsidR="008719F2" w:rsidRDefault="007D5FF3">
      <w:pPr>
        <w:pStyle w:val="FootnoteText"/>
      </w:pPr>
      <w:r>
        <w:rPr>
          <w:rStyle w:val="FootnoteReference"/>
        </w:rPr>
        <w:footnoteRef/>
      </w:r>
      <w:r>
        <w:t xml:space="preserve"> For notable examples of work in this tradition see: Goldman (1978), Uhlenberg (1980), Hagestad (1986), </w:t>
      </w:r>
      <w:r>
        <w:t>Watkins, Menken, and Bongaarts (1987)</w:t>
      </w:r>
    </w:p>
  </w:footnote>
  <w:footnote w:id="4">
    <w:p w14:paraId="51C730CA" w14:textId="77777777" w:rsidR="008719F2" w:rsidRDefault="007D5FF3">
      <w:pPr>
        <w:pStyle w:val="FootnoteText"/>
      </w:pPr>
      <w:r>
        <w:rPr>
          <w:rStyle w:val="FootnoteReference"/>
        </w:rPr>
        <w:footnoteRef/>
      </w:r>
      <w:r>
        <w:t xml:space="preserve"> For an extensive review, see R. D. Lee and Mason (2011)</w:t>
      </w:r>
    </w:p>
  </w:footnote>
  <w:footnote w:id="5">
    <w:p w14:paraId="51C730CB" w14:textId="77777777" w:rsidR="008719F2" w:rsidRDefault="007D5FF3">
      <w:pPr>
        <w:pStyle w:val="FootnoteText"/>
      </w:pPr>
      <w:r>
        <w:rPr>
          <w:rStyle w:val="FootnoteReference"/>
        </w:rPr>
        <w:footnoteRef/>
      </w:r>
      <w:r>
        <w:t xml:space="preserve"> It is worth noting that alternative versions of the basic </w:t>
      </w:r>
      <w:r>
        <w:rPr>
          <w:i/>
        </w:rPr>
        <w:t>old age dependency ratio</w:t>
      </w:r>
      <w:r>
        <w:t xml:space="preserve"> (OADR) measure have been proposed. Perhaps the most prominent of these is t</w:t>
      </w:r>
      <w:r>
        <w:t xml:space="preserve">he </w:t>
      </w:r>
      <w:r>
        <w:rPr>
          <w:i/>
        </w:rPr>
        <w:t>prospective old age dependency ratio</w:t>
      </w:r>
      <w:r>
        <w:t xml:space="preserve"> (POADR) (Sanderson and Scherbov 2005), which further adjusts for future gains in life expectancy.</w:t>
      </w:r>
    </w:p>
  </w:footnote>
  <w:footnote w:id="6">
    <w:p w14:paraId="51C730CC" w14:textId="77777777" w:rsidR="008719F2" w:rsidRDefault="007D5FF3">
      <w:pPr>
        <w:pStyle w:val="FootnoteText"/>
      </w:pPr>
      <w:r>
        <w:rPr>
          <w:rStyle w:val="FootnoteReference"/>
        </w:rPr>
        <w:footnoteRef/>
      </w:r>
      <w:r>
        <w:t xml:space="preserve"> SOCSIM was developed primarily at UC Berkeley as result of a collaboration between Peter Laslett, Eugene Hammel, and</w:t>
      </w:r>
      <w:r>
        <w:t xml:space="preserve"> Kenneth Wachter. Laslett later worked with James Smith and Jim Oeppen to develop CAMSIM at Cambridge University.</w:t>
      </w:r>
    </w:p>
  </w:footnote>
  <w:footnote w:id="7">
    <w:p w14:paraId="51C730CD" w14:textId="77777777" w:rsidR="008719F2" w:rsidRDefault="007D5FF3">
      <w:pPr>
        <w:pStyle w:val="FootnoteText"/>
      </w:pPr>
      <w:r>
        <w:rPr>
          <w:rStyle w:val="FootnoteReference"/>
        </w:rPr>
        <w:footnoteRef/>
      </w:r>
      <w:r>
        <w:t xml:space="preserve"> For examples of recent work using SOCSIM, see Murphy (2011), Verdery and Margolis (2017), and Chung and Hepburn (2018).</w:t>
      </w:r>
    </w:p>
  </w:footnote>
  <w:footnote w:id="8">
    <w:p w14:paraId="51C730CE" w14:textId="77777777" w:rsidR="008719F2" w:rsidRDefault="007D5FF3">
      <w:pPr>
        <w:pStyle w:val="FootnoteText"/>
      </w:pPr>
      <w:r>
        <w:rPr>
          <w:rStyle w:val="FootnoteReference"/>
        </w:rPr>
        <w:footnoteRef/>
      </w:r>
      <w:r>
        <w:t xml:space="preserve"> All data are avail</w:t>
      </w:r>
      <w:r>
        <w:t>able online: https://population.un.org/wpp/</w:t>
      </w:r>
    </w:p>
  </w:footnote>
  <w:footnote w:id="9">
    <w:p w14:paraId="51C730CF" w14:textId="77777777" w:rsidR="008719F2" w:rsidRDefault="007D5FF3">
      <w:pPr>
        <w:pStyle w:val="FootnoteText"/>
      </w:pPr>
      <w:r>
        <w:rPr>
          <w:rStyle w:val="FootnoteReference"/>
        </w:rPr>
        <w:footnoteRef/>
      </w:r>
      <w:r>
        <w:t xml:space="preserve"> One might think of this methodological choice as a form of </w:t>
      </w:r>
      <w:r>
        <w:rPr>
          <w:i/>
        </w:rPr>
        <w:t>indirect standardization</w:t>
      </w:r>
      <w:r>
        <w:t xml:space="preserve"> whereby we hold the age-specific definition of dependent kin constant, while allowing the age distribution of kin to vary. Thi</w:t>
      </w:r>
      <w:r>
        <w:t>s allows us to isolate the effect on KDR of differences in population composition rather than differences in the age-specific definition of “dependent kin”.</w:t>
      </w:r>
    </w:p>
  </w:footnote>
  <w:footnote w:id="10">
    <w:p w14:paraId="51C730D0" w14:textId="77777777" w:rsidR="008719F2" w:rsidRDefault="007D5FF3">
      <w:pPr>
        <w:pStyle w:val="FootnoteText"/>
      </w:pPr>
      <w:r>
        <w:rPr>
          <w:rStyle w:val="FootnoteReference"/>
        </w:rPr>
        <w:footnoteRef/>
      </w:r>
      <w:r>
        <w:t xml:space="preserve"> In Japan, for example, the fact that the TADR has been increasing over time as the KDR declines s</w:t>
      </w:r>
      <w:r>
        <w:t>uggests that family-based welfare programs are likely to be less effective than universal age-based programs.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730C5" w14:textId="77777777" w:rsidR="006B32EA" w:rsidRDefault="007D5FF3">
    <w:pPr>
      <w:pStyle w:val="Header"/>
      <w:jc w:val="right"/>
    </w:pPr>
  </w:p>
  <w:p w14:paraId="51C730C6" w14:textId="77777777" w:rsidR="006B32EA" w:rsidRDefault="007D5F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CF1D7E"/>
    <w:multiLevelType w:val="multilevel"/>
    <w:tmpl w:val="40F45C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DF5F631"/>
    <w:multiLevelType w:val="multilevel"/>
    <w:tmpl w:val="425C1C2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1EAC55B"/>
    <w:multiLevelType w:val="multilevel"/>
    <w:tmpl w:val="7AFC91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AE3BB36E"/>
    <w:multiLevelType w:val="multilevel"/>
    <w:tmpl w:val="10C250B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B09015C2"/>
    <w:multiLevelType w:val="multilevel"/>
    <w:tmpl w:val="7DAEF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DB914DF3"/>
    <w:multiLevelType w:val="multilevel"/>
    <w:tmpl w:val="8B5CD6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801CE16"/>
    <w:multiLevelType w:val="multilevel"/>
    <w:tmpl w:val="36A610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FFFFFF7C"/>
    <w:multiLevelType w:val="singleLevel"/>
    <w:tmpl w:val="9EC6C1CA"/>
    <w:lvl w:ilvl="0">
      <w:start w:val="1"/>
      <w:numFmt w:val="decimal"/>
      <w:lvlText w:val="%1."/>
      <w:lvlJc w:val="left"/>
      <w:pPr>
        <w:tabs>
          <w:tab w:val="num" w:pos="1800"/>
        </w:tabs>
        <w:ind w:left="1800" w:hanging="360"/>
      </w:pPr>
    </w:lvl>
  </w:abstractNum>
  <w:abstractNum w:abstractNumId="8" w15:restartNumberingAfterBreak="0">
    <w:nsid w:val="FFFFFF7D"/>
    <w:multiLevelType w:val="singleLevel"/>
    <w:tmpl w:val="2566FBB0"/>
    <w:lvl w:ilvl="0">
      <w:start w:val="1"/>
      <w:numFmt w:val="decimal"/>
      <w:lvlText w:val="%1."/>
      <w:lvlJc w:val="left"/>
      <w:pPr>
        <w:tabs>
          <w:tab w:val="num" w:pos="1440"/>
        </w:tabs>
        <w:ind w:left="1440" w:hanging="360"/>
      </w:pPr>
    </w:lvl>
  </w:abstractNum>
  <w:abstractNum w:abstractNumId="9" w15:restartNumberingAfterBreak="0">
    <w:nsid w:val="FFFFFF7E"/>
    <w:multiLevelType w:val="singleLevel"/>
    <w:tmpl w:val="3642FEEE"/>
    <w:lvl w:ilvl="0">
      <w:start w:val="1"/>
      <w:numFmt w:val="decimal"/>
      <w:lvlText w:val="%1."/>
      <w:lvlJc w:val="left"/>
      <w:pPr>
        <w:tabs>
          <w:tab w:val="num" w:pos="1080"/>
        </w:tabs>
        <w:ind w:left="1080" w:hanging="360"/>
      </w:pPr>
    </w:lvl>
  </w:abstractNum>
  <w:abstractNum w:abstractNumId="10" w15:restartNumberingAfterBreak="0">
    <w:nsid w:val="FFFFFF7F"/>
    <w:multiLevelType w:val="singleLevel"/>
    <w:tmpl w:val="21E0ECA6"/>
    <w:lvl w:ilvl="0">
      <w:start w:val="1"/>
      <w:numFmt w:val="decimal"/>
      <w:lvlText w:val="%1."/>
      <w:lvlJc w:val="left"/>
      <w:pPr>
        <w:tabs>
          <w:tab w:val="num" w:pos="720"/>
        </w:tabs>
        <w:ind w:left="720" w:hanging="360"/>
      </w:pPr>
    </w:lvl>
  </w:abstractNum>
  <w:abstractNum w:abstractNumId="11" w15:restartNumberingAfterBreak="0">
    <w:nsid w:val="FFFFFF80"/>
    <w:multiLevelType w:val="singleLevel"/>
    <w:tmpl w:val="664E2E1E"/>
    <w:lvl w:ilvl="0">
      <w:start w:val="1"/>
      <w:numFmt w:val="bullet"/>
      <w:lvlText w:val=""/>
      <w:lvlJc w:val="left"/>
      <w:pPr>
        <w:tabs>
          <w:tab w:val="num" w:pos="1800"/>
        </w:tabs>
        <w:ind w:left="1800" w:hanging="360"/>
      </w:pPr>
      <w:rPr>
        <w:rFonts w:ascii="Symbol" w:hAnsi="Symbol" w:hint="default"/>
      </w:rPr>
    </w:lvl>
  </w:abstractNum>
  <w:abstractNum w:abstractNumId="12" w15:restartNumberingAfterBreak="0">
    <w:nsid w:val="FFFFFF81"/>
    <w:multiLevelType w:val="singleLevel"/>
    <w:tmpl w:val="67A6C056"/>
    <w:lvl w:ilvl="0">
      <w:start w:val="1"/>
      <w:numFmt w:val="bullet"/>
      <w:lvlText w:val=""/>
      <w:lvlJc w:val="left"/>
      <w:pPr>
        <w:tabs>
          <w:tab w:val="num" w:pos="1440"/>
        </w:tabs>
        <w:ind w:left="1440" w:hanging="360"/>
      </w:pPr>
      <w:rPr>
        <w:rFonts w:ascii="Symbol" w:hAnsi="Symbol" w:hint="default"/>
      </w:rPr>
    </w:lvl>
  </w:abstractNum>
  <w:abstractNum w:abstractNumId="13" w15:restartNumberingAfterBreak="0">
    <w:nsid w:val="FFFFFF82"/>
    <w:multiLevelType w:val="singleLevel"/>
    <w:tmpl w:val="AA40D038"/>
    <w:lvl w:ilvl="0">
      <w:start w:val="1"/>
      <w:numFmt w:val="bullet"/>
      <w:lvlText w:val=""/>
      <w:lvlJc w:val="left"/>
      <w:pPr>
        <w:tabs>
          <w:tab w:val="num" w:pos="1080"/>
        </w:tabs>
        <w:ind w:left="1080" w:hanging="360"/>
      </w:pPr>
      <w:rPr>
        <w:rFonts w:ascii="Symbol" w:hAnsi="Symbol" w:hint="default"/>
      </w:rPr>
    </w:lvl>
  </w:abstractNum>
  <w:abstractNum w:abstractNumId="14" w15:restartNumberingAfterBreak="0">
    <w:nsid w:val="FFFFFF83"/>
    <w:multiLevelType w:val="singleLevel"/>
    <w:tmpl w:val="D8F4A15A"/>
    <w:lvl w:ilvl="0">
      <w:start w:val="1"/>
      <w:numFmt w:val="bullet"/>
      <w:lvlText w:val=""/>
      <w:lvlJc w:val="left"/>
      <w:pPr>
        <w:tabs>
          <w:tab w:val="num" w:pos="720"/>
        </w:tabs>
        <w:ind w:left="720" w:hanging="360"/>
      </w:pPr>
      <w:rPr>
        <w:rFonts w:ascii="Symbol" w:hAnsi="Symbol" w:hint="default"/>
      </w:rPr>
    </w:lvl>
  </w:abstractNum>
  <w:abstractNum w:abstractNumId="15" w15:restartNumberingAfterBreak="0">
    <w:nsid w:val="FFFFFF88"/>
    <w:multiLevelType w:val="singleLevel"/>
    <w:tmpl w:val="96C81E70"/>
    <w:lvl w:ilvl="0">
      <w:start w:val="1"/>
      <w:numFmt w:val="decimal"/>
      <w:lvlText w:val="%1."/>
      <w:lvlJc w:val="left"/>
      <w:pPr>
        <w:tabs>
          <w:tab w:val="num" w:pos="360"/>
        </w:tabs>
        <w:ind w:left="360" w:hanging="360"/>
      </w:pPr>
    </w:lvl>
  </w:abstractNum>
  <w:abstractNum w:abstractNumId="16" w15:restartNumberingAfterBreak="0">
    <w:nsid w:val="FFFFFF89"/>
    <w:multiLevelType w:val="singleLevel"/>
    <w:tmpl w:val="B95ED700"/>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6D85B7E"/>
    <w:multiLevelType w:val="multilevel"/>
    <w:tmpl w:val="EFC4F6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19CD20FF"/>
    <w:multiLevelType w:val="multilevel"/>
    <w:tmpl w:val="589821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2C1AE401"/>
    <w:multiLevelType w:val="multilevel"/>
    <w:tmpl w:val="C3DA10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417FDBD2"/>
    <w:multiLevelType w:val="multilevel"/>
    <w:tmpl w:val="CE5646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4EF12D59"/>
    <w:multiLevelType w:val="multilevel"/>
    <w:tmpl w:val="476EA1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5F82A66C"/>
    <w:multiLevelType w:val="multilevel"/>
    <w:tmpl w:val="020E2A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73FBB995"/>
    <w:multiLevelType w:val="multilevel"/>
    <w:tmpl w:val="11C05B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7E54F0B2"/>
    <w:multiLevelType w:val="multilevel"/>
    <w:tmpl w:val="2196C1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3"/>
  </w:num>
  <w:num w:numId="3">
    <w:abstractNumId w:val="3"/>
  </w:num>
  <w:num w:numId="4">
    <w:abstractNumId w:val="3"/>
  </w:num>
  <w:num w:numId="5">
    <w:abstractNumId w:val="23"/>
  </w:num>
  <w:num w:numId="6">
    <w:abstractNumId w:val="0"/>
  </w:num>
  <w:num w:numId="7">
    <w:abstractNumId w:val="0"/>
  </w:num>
  <w:num w:numId="8">
    <w:abstractNumId w:val="0"/>
  </w:num>
  <w:num w:numId="9">
    <w:abstractNumId w:val="0"/>
  </w:num>
  <w:num w:numId="10">
    <w:abstractNumId w:val="21"/>
  </w:num>
  <w:num w:numId="11">
    <w:abstractNumId w:val="6"/>
  </w:num>
  <w:num w:numId="12">
    <w:abstractNumId w:val="6"/>
  </w:num>
  <w:num w:numId="13">
    <w:abstractNumId w:val="6"/>
  </w:num>
  <w:num w:numId="14">
    <w:abstractNumId w:val="6"/>
  </w:num>
  <w:num w:numId="15">
    <w:abstractNumId w:val="7"/>
  </w:num>
  <w:num w:numId="16">
    <w:abstractNumId w:val="8"/>
  </w:num>
  <w:num w:numId="17">
    <w:abstractNumId w:val="9"/>
  </w:num>
  <w:num w:numId="18">
    <w:abstractNumId w:val="10"/>
  </w:num>
  <w:num w:numId="19">
    <w:abstractNumId w:val="15"/>
  </w:num>
  <w:num w:numId="20">
    <w:abstractNumId w:val="11"/>
  </w:num>
  <w:num w:numId="21">
    <w:abstractNumId w:val="12"/>
  </w:num>
  <w:num w:numId="22">
    <w:abstractNumId w:val="13"/>
  </w:num>
  <w:num w:numId="23">
    <w:abstractNumId w:val="14"/>
  </w:num>
  <w:num w:numId="24">
    <w:abstractNumId w:val="16"/>
  </w:num>
  <w:num w:numId="25">
    <w:abstractNumId w:val="4"/>
  </w:num>
  <w:num w:numId="26">
    <w:abstractNumId w:val="2"/>
  </w:num>
  <w:num w:numId="27">
    <w:abstractNumId w:val="2"/>
  </w:num>
  <w:num w:numId="28">
    <w:abstractNumId w:val="2"/>
  </w:num>
  <w:num w:numId="29">
    <w:abstractNumId w:val="2"/>
  </w:num>
  <w:num w:numId="30">
    <w:abstractNumId w:val="17"/>
  </w:num>
  <w:num w:numId="31">
    <w:abstractNumId w:val="1"/>
  </w:num>
  <w:num w:numId="32">
    <w:abstractNumId w:val="1"/>
  </w:num>
  <w:num w:numId="33">
    <w:abstractNumId w:val="1"/>
  </w:num>
  <w:num w:numId="34">
    <w:abstractNumId w:val="1"/>
  </w:num>
  <w:num w:numId="35">
    <w:abstractNumId w:val="5"/>
  </w:num>
  <w:num w:numId="36">
    <w:abstractNumId w:val="22"/>
  </w:num>
  <w:num w:numId="37">
    <w:abstractNumId w:val="22"/>
  </w:num>
  <w:num w:numId="38">
    <w:abstractNumId w:val="22"/>
  </w:num>
  <w:num w:numId="39">
    <w:abstractNumId w:val="22"/>
  </w:num>
  <w:num w:numId="40">
    <w:abstractNumId w:val="20"/>
  </w:num>
  <w:num w:numId="41">
    <w:abstractNumId w:val="24"/>
  </w:num>
  <w:num w:numId="42">
    <w:abstractNumId w:val="24"/>
  </w:num>
  <w:num w:numId="43">
    <w:abstractNumId w:val="24"/>
  </w:num>
  <w:num w:numId="44">
    <w:abstractNumId w:val="24"/>
  </w:num>
  <w:num w:numId="45">
    <w:abstractNumId w:val="18"/>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Fmt w:val="chicago"/>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10A02"/>
    <w:rsid w:val="002A0254"/>
    <w:rsid w:val="00436061"/>
    <w:rsid w:val="004E29B3"/>
    <w:rsid w:val="00590D07"/>
    <w:rsid w:val="00591CA7"/>
    <w:rsid w:val="00784D58"/>
    <w:rsid w:val="007D5FF3"/>
    <w:rsid w:val="008719F2"/>
    <w:rsid w:val="008D6863"/>
    <w:rsid w:val="009832FB"/>
    <w:rsid w:val="00A743B4"/>
    <w:rsid w:val="00B86B75"/>
    <w:rsid w:val="00BC48D5"/>
    <w:rsid w:val="00C36279"/>
    <w:rsid w:val="00CF5DD1"/>
    <w:rsid w:val="00D448E5"/>
    <w:rsid w:val="00E13BA6"/>
    <w:rsid w:val="00E315A3"/>
    <w:rsid w:val="00E737B5"/>
    <w:rsid w:val="00E76F4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73021"/>
  <w15:docId w15:val="{DA828AFA-AE1C-4832-84BC-903F79D4B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odyText"/>
    <w:qFormat/>
    <w:rsid w:val="00054AD0"/>
    <w:pPr>
      <w:spacing w:before="90" w:after="0"/>
      <w:contextualSpacing/>
      <w:jc w:val="both"/>
    </w:pPr>
    <w:rPr>
      <w:rFonts w:ascii="Minion Pro" w:hAnsi="Minion Pro"/>
      <w:sz w:val="22"/>
    </w:rPr>
  </w:style>
  <w:style w:type="paragraph" w:styleId="Heading1">
    <w:name w:val="heading 1"/>
    <w:basedOn w:val="Normal"/>
    <w:next w:val="Normal"/>
    <w:uiPriority w:val="9"/>
    <w:qFormat/>
    <w:rsid w:val="001F4203"/>
    <w:pPr>
      <w:keepNext/>
      <w:keepLines/>
      <w:spacing w:before="360"/>
      <w:outlineLvl w:val="0"/>
    </w:pPr>
    <w:rPr>
      <w:rFonts w:eastAsiaTheme="majorEastAsia" w:cstheme="majorBidi"/>
      <w:bCs/>
      <w:sz w:val="32"/>
      <w:szCs w:val="32"/>
    </w:rPr>
  </w:style>
  <w:style w:type="paragraph" w:styleId="Heading2">
    <w:name w:val="heading 2"/>
    <w:basedOn w:val="Normal"/>
    <w:next w:val="Normal"/>
    <w:uiPriority w:val="9"/>
    <w:unhideWhenUsed/>
    <w:qFormat/>
    <w:rsid w:val="00054AD0"/>
    <w:pPr>
      <w:keepNext/>
      <w:keepLines/>
      <w:spacing w:before="180"/>
      <w:outlineLvl w:val="1"/>
    </w:pPr>
    <w:rPr>
      <w:rFonts w:eastAsiaTheme="majorEastAsia" w:cstheme="majorBidi"/>
      <w:bCs/>
      <w:i/>
      <w:sz w:val="28"/>
      <w:szCs w:val="32"/>
    </w:rPr>
  </w:style>
  <w:style w:type="paragraph" w:styleId="Heading3">
    <w:name w:val="heading 3"/>
    <w:basedOn w:val="Normal"/>
    <w:next w:val="Normal"/>
    <w:uiPriority w:val="9"/>
    <w:unhideWhenUsed/>
    <w:qFormat/>
    <w:rsid w:val="00054AD0"/>
    <w:pPr>
      <w:keepNext/>
      <w:keepLines/>
      <w:spacing w:before="180"/>
      <w:outlineLvl w:val="2"/>
    </w:pPr>
    <w:rPr>
      <w:rFonts w:eastAsiaTheme="majorEastAsia" w:cstheme="majorBidi"/>
      <w:bCs/>
      <w:i/>
      <w:sz w:val="24"/>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DC4693"/>
    <w:pPr>
      <w:keepNext/>
      <w:keepLines/>
      <w:spacing w:before="2400"/>
      <w:jc w:val="left"/>
    </w:pPr>
    <w:rPr>
      <w:rFonts w:eastAsiaTheme="majorEastAsia" w:cstheme="majorBidi"/>
      <w:bCs/>
      <w:sz w:val="46"/>
      <w:szCs w:val="36"/>
    </w:rPr>
  </w:style>
  <w:style w:type="paragraph" w:styleId="Subtitle">
    <w:name w:val="Subtitle"/>
    <w:basedOn w:val="Title"/>
    <w:next w:val="Normal"/>
    <w:qFormat/>
    <w:rsid w:val="009C63F1"/>
    <w:pPr>
      <w:spacing w:before="0"/>
    </w:pPr>
    <w:rPr>
      <w:sz w:val="32"/>
      <w:szCs w:val="30"/>
    </w:rPr>
  </w:style>
  <w:style w:type="paragraph" w:customStyle="1" w:styleId="Author">
    <w:name w:val="Author"/>
    <w:next w:val="Normal"/>
    <w:qFormat/>
    <w:rsid w:val="009C63F1"/>
    <w:pPr>
      <w:keepNext/>
      <w:keepLines/>
      <w:spacing w:before="720" w:after="0"/>
    </w:pPr>
    <w:rPr>
      <w:rFonts w:ascii="Minion Pro" w:hAnsi="Minion Pro"/>
      <w:sz w:val="32"/>
    </w:rPr>
  </w:style>
  <w:style w:type="paragraph" w:styleId="Date">
    <w:name w:val="Date"/>
    <w:next w:val="Normal"/>
    <w:qFormat/>
    <w:rsid w:val="00EE3847"/>
    <w:pPr>
      <w:keepNext/>
      <w:keepLines/>
      <w:spacing w:before="105" w:after="0"/>
    </w:pPr>
    <w:rPr>
      <w:rFonts w:ascii="Minion Pro" w:hAnsi="Minion Pro"/>
      <w:i/>
    </w:rPr>
  </w:style>
  <w:style w:type="paragraph" w:customStyle="1" w:styleId="Abstract">
    <w:name w:val="Abstract"/>
    <w:basedOn w:val="Normal"/>
    <w:next w:val="Normal"/>
    <w:qFormat/>
    <w:rsid w:val="00322F2B"/>
    <w:pPr>
      <w:keepNext/>
      <w:keepLines/>
      <w:spacing w:before="360" w:after="720"/>
      <w:ind w:left="630" w:right="630"/>
    </w:pPr>
    <w:rPr>
      <w:szCs w:val="20"/>
    </w:rPr>
  </w:style>
  <w:style w:type="paragraph" w:styleId="Bibliography">
    <w:name w:val="Bibliography"/>
    <w:basedOn w:val="Normal"/>
    <w:qFormat/>
    <w:rsid w:val="0076356A"/>
    <w:pPr>
      <w:ind w:left="420" w:hanging="420"/>
      <w:contextualSpacing w:val="0"/>
      <w:jc w:val="left"/>
    </w:pPr>
  </w:style>
  <w:style w:type="paragraph" w:customStyle="1" w:styleId="BlockQuote">
    <w:name w:val="Block Quote"/>
    <w:basedOn w:val="Normal"/>
    <w:next w:val="Normal"/>
    <w:uiPriority w:val="9"/>
    <w:unhideWhenUsed/>
    <w:qFormat/>
    <w:rsid w:val="00EE3847"/>
    <w:pPr>
      <w:spacing w:before="105" w:after="105"/>
      <w:ind w:left="540" w:right="540"/>
    </w:pPr>
    <w:rPr>
      <w:rFonts w:eastAsiaTheme="majorEastAsia" w:cstheme="majorBidi"/>
      <w:bCs/>
      <w:i/>
      <w:szCs w:val="20"/>
    </w:rPr>
  </w:style>
  <w:style w:type="paragraph" w:styleId="FootnoteText">
    <w:name w:val="footnote text"/>
    <w:basedOn w:val="Normal"/>
    <w:uiPriority w:val="9"/>
    <w:unhideWhenUsed/>
    <w:qFormat/>
    <w:rsid w:val="005D38B5"/>
    <w:rPr>
      <w:sz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3946D4"/>
    <w:pPr>
      <w:spacing w:before="0"/>
      <w:ind w:firstLine="240"/>
    </w:pPr>
  </w:style>
  <w:style w:type="paragraph" w:customStyle="1" w:styleId="TableCaption">
    <w:name w:val="Table Caption"/>
    <w:basedOn w:val="Normal"/>
    <w:rsid w:val="00BB1354"/>
    <w:pPr>
      <w:spacing w:before="0" w:after="120"/>
    </w:pPr>
    <w:rPr>
      <w:sz w:val="20"/>
    </w:rPr>
  </w:style>
  <w:style w:type="paragraph" w:customStyle="1" w:styleId="ImageCaption">
    <w:name w:val="Image Caption"/>
    <w:basedOn w:val="Normal"/>
    <w:link w:val="BodyTextChar"/>
    <w:rsid w:val="00106E1A"/>
    <w:pPr>
      <w:spacing w:before="0" w:after="120"/>
    </w:pPr>
    <w:rPr>
      <w:sz w:val="20"/>
    </w:rPr>
  </w:style>
  <w:style w:type="character" w:customStyle="1" w:styleId="BodyTextChar">
    <w:name w:val="Body Text Char"/>
    <w:basedOn w:val="DefaultParagraphFont"/>
    <w:link w:val="ImageCaption"/>
    <w:rsid w:val="00106E1A"/>
    <w:rPr>
      <w:rFonts w:ascii="Minion Pro" w:hAnsi="Minion Pro"/>
      <w:sz w:val="20"/>
    </w:rPr>
  </w:style>
  <w:style w:type="character" w:customStyle="1" w:styleId="VerbatimChar">
    <w:name w:val="Verbatim Char"/>
    <w:basedOn w:val="BodyTextChar"/>
    <w:link w:val="SourceCode"/>
    <w:rsid w:val="00701BBD"/>
    <w:rPr>
      <w:rFonts w:ascii="Consolas" w:eastAsiaTheme="minorEastAsia" w:hAnsi="Consolas"/>
      <w:iCs/>
      <w:color w:val="595959" w:themeColor="text1" w:themeTint="A6"/>
      <w:sz w:val="20"/>
      <w:shd w:val="clear" w:color="auto" w:fill="F2F2F2" w:themeFill="background1" w:themeFillShade="F2"/>
    </w:rPr>
  </w:style>
  <w:style w:type="character" w:customStyle="1" w:styleId="FootnoteRef">
    <w:name w:val="Footnote Ref"/>
    <w:basedOn w:val="BodyTextChar"/>
    <w:rsid w:val="000067F3"/>
    <w:rPr>
      <w:rFonts w:ascii="Minion Pro" w:hAnsi="Minion Pro"/>
      <w:sz w:val="22"/>
      <w:vertAlign w:val="superscript"/>
    </w:rPr>
  </w:style>
  <w:style w:type="character" w:customStyle="1" w:styleId="Link">
    <w:name w:val="Link"/>
    <w:basedOn w:val="BodyTextChar"/>
    <w:rPr>
      <w:rFonts w:ascii="Minion Pro" w:hAnsi="Minion Pro"/>
      <w:color w:val="4F81BD" w:themeColor="accent1"/>
      <w:sz w:val="20"/>
    </w:rPr>
  </w:style>
  <w:style w:type="paragraph" w:customStyle="1" w:styleId="SourceCode0">
    <w:name w:val="Source Code"/>
    <w:basedOn w:val="Normal"/>
    <w:pPr>
      <w:wordWrap w:val="0"/>
    </w:pPr>
  </w:style>
  <w:style w:type="character" w:customStyle="1" w:styleId="KeywordTok">
    <w:name w:val="KeywordTok"/>
    <w:basedOn w:val="VerbatimChar"/>
    <w:rPr>
      <w:rFonts w:ascii="Consolas" w:eastAsiaTheme="minorEastAsia" w:hAnsi="Consolas"/>
      <w:b/>
      <w:iCs/>
      <w:color w:val="007020"/>
      <w:sz w:val="22"/>
      <w:shd w:val="clear" w:color="auto" w:fill="F2F2F2" w:themeFill="background1" w:themeFillShade="F2"/>
    </w:rPr>
  </w:style>
  <w:style w:type="character" w:customStyle="1" w:styleId="DataTypeTok">
    <w:name w:val="DataTypeTok"/>
    <w:basedOn w:val="VerbatimChar"/>
    <w:rPr>
      <w:rFonts w:ascii="Consolas" w:eastAsiaTheme="minorEastAsia" w:hAnsi="Consolas"/>
      <w:iCs/>
      <w:color w:val="902000"/>
      <w:sz w:val="22"/>
      <w:shd w:val="clear" w:color="auto" w:fill="F2F2F2" w:themeFill="background1" w:themeFillShade="F2"/>
    </w:rPr>
  </w:style>
  <w:style w:type="character" w:customStyle="1" w:styleId="DecValTok">
    <w:name w:val="DecValTok"/>
    <w:basedOn w:val="VerbatimChar"/>
    <w:rPr>
      <w:rFonts w:ascii="Consolas" w:eastAsiaTheme="minorEastAsia" w:hAnsi="Consolas"/>
      <w:iCs/>
      <w:color w:val="40A070"/>
      <w:sz w:val="22"/>
      <w:shd w:val="clear" w:color="auto" w:fill="F2F2F2" w:themeFill="background1" w:themeFillShade="F2"/>
    </w:rPr>
  </w:style>
  <w:style w:type="character" w:customStyle="1" w:styleId="BaseNTok">
    <w:name w:val="BaseNTok"/>
    <w:basedOn w:val="VerbatimChar"/>
    <w:rPr>
      <w:rFonts w:ascii="Consolas" w:eastAsiaTheme="minorEastAsia" w:hAnsi="Consolas"/>
      <w:iCs/>
      <w:color w:val="40A070"/>
      <w:sz w:val="22"/>
      <w:shd w:val="clear" w:color="auto" w:fill="F2F2F2" w:themeFill="background1" w:themeFillShade="F2"/>
    </w:rPr>
  </w:style>
  <w:style w:type="character" w:customStyle="1" w:styleId="FloatTok">
    <w:name w:val="FloatTok"/>
    <w:basedOn w:val="VerbatimChar"/>
    <w:rPr>
      <w:rFonts w:ascii="Consolas" w:eastAsiaTheme="minorEastAsia" w:hAnsi="Consolas"/>
      <w:iCs/>
      <w:color w:val="40A070"/>
      <w:sz w:val="22"/>
      <w:shd w:val="clear" w:color="auto" w:fill="F2F2F2" w:themeFill="background1" w:themeFillShade="F2"/>
    </w:rPr>
  </w:style>
  <w:style w:type="character" w:customStyle="1" w:styleId="CharTok">
    <w:name w:val="CharTok"/>
    <w:basedOn w:val="VerbatimChar"/>
    <w:rPr>
      <w:rFonts w:ascii="Consolas" w:eastAsiaTheme="minorEastAsia" w:hAnsi="Consolas"/>
      <w:iCs/>
      <w:color w:val="4070A0"/>
      <w:sz w:val="22"/>
      <w:shd w:val="clear" w:color="auto" w:fill="F2F2F2" w:themeFill="background1" w:themeFillShade="F2"/>
    </w:rPr>
  </w:style>
  <w:style w:type="character" w:customStyle="1" w:styleId="StringTok">
    <w:name w:val="StringTok"/>
    <w:basedOn w:val="VerbatimChar"/>
    <w:rPr>
      <w:rFonts w:ascii="Consolas" w:eastAsiaTheme="minorEastAsia" w:hAnsi="Consolas"/>
      <w:iCs/>
      <w:color w:val="4070A0"/>
      <w:sz w:val="22"/>
      <w:shd w:val="clear" w:color="auto" w:fill="F2F2F2" w:themeFill="background1" w:themeFillShade="F2"/>
    </w:rPr>
  </w:style>
  <w:style w:type="character" w:customStyle="1" w:styleId="CommentTok">
    <w:name w:val="CommentTok"/>
    <w:basedOn w:val="VerbatimChar"/>
    <w:rPr>
      <w:rFonts w:ascii="Consolas" w:eastAsiaTheme="minorEastAsia" w:hAnsi="Consolas"/>
      <w:i/>
      <w:iCs/>
      <w:color w:val="60A0B0"/>
      <w:sz w:val="22"/>
      <w:shd w:val="clear" w:color="auto" w:fill="F2F2F2" w:themeFill="background1" w:themeFillShade="F2"/>
    </w:rPr>
  </w:style>
  <w:style w:type="character" w:customStyle="1" w:styleId="OtherTok">
    <w:name w:val="OtherTok"/>
    <w:basedOn w:val="VerbatimChar"/>
    <w:rPr>
      <w:rFonts w:ascii="Consolas" w:eastAsiaTheme="minorEastAsia" w:hAnsi="Consolas"/>
      <w:iCs/>
      <w:color w:val="007020"/>
      <w:sz w:val="22"/>
      <w:shd w:val="clear" w:color="auto" w:fill="F2F2F2" w:themeFill="background1" w:themeFillShade="F2"/>
    </w:rPr>
  </w:style>
  <w:style w:type="character" w:customStyle="1" w:styleId="AlertTok">
    <w:name w:val="AlertTok"/>
    <w:basedOn w:val="VerbatimChar"/>
    <w:rPr>
      <w:rFonts w:ascii="Consolas" w:eastAsiaTheme="minorEastAsia" w:hAnsi="Consolas"/>
      <w:b/>
      <w:iCs/>
      <w:color w:val="FF0000"/>
      <w:sz w:val="22"/>
      <w:shd w:val="clear" w:color="auto" w:fill="F2F2F2" w:themeFill="background1" w:themeFillShade="F2"/>
    </w:rPr>
  </w:style>
  <w:style w:type="character" w:customStyle="1" w:styleId="FunctionTok">
    <w:name w:val="FunctionTok"/>
    <w:basedOn w:val="VerbatimChar"/>
    <w:rPr>
      <w:rFonts w:ascii="Consolas" w:eastAsiaTheme="minorEastAsia" w:hAnsi="Consolas"/>
      <w:iCs/>
      <w:color w:val="06287E"/>
      <w:sz w:val="22"/>
      <w:shd w:val="clear" w:color="auto" w:fill="F2F2F2" w:themeFill="background1" w:themeFillShade="F2"/>
    </w:rPr>
  </w:style>
  <w:style w:type="character" w:customStyle="1" w:styleId="RegionMarkerTok">
    <w:name w:val="RegionMarkerTok"/>
    <w:basedOn w:val="VerbatimChar"/>
    <w:rPr>
      <w:rFonts w:ascii="Consolas" w:eastAsiaTheme="minorEastAsia" w:hAnsi="Consolas"/>
      <w:iCs/>
      <w:color w:val="595959" w:themeColor="text1" w:themeTint="A6"/>
      <w:sz w:val="22"/>
      <w:shd w:val="clear" w:color="auto" w:fill="F2F2F2" w:themeFill="background1" w:themeFillShade="F2"/>
    </w:rPr>
  </w:style>
  <w:style w:type="character" w:customStyle="1" w:styleId="ErrorTok">
    <w:name w:val="ErrorTok"/>
    <w:basedOn w:val="VerbatimChar"/>
    <w:rPr>
      <w:rFonts w:ascii="Consolas" w:eastAsiaTheme="minorEastAsia" w:hAnsi="Consolas"/>
      <w:b/>
      <w:iCs/>
      <w:color w:val="FF0000"/>
      <w:sz w:val="22"/>
      <w:shd w:val="clear" w:color="auto" w:fill="F2F2F2" w:themeFill="background1" w:themeFillShade="F2"/>
    </w:rPr>
  </w:style>
  <w:style w:type="character" w:customStyle="1" w:styleId="NormalTok">
    <w:name w:val="NormalTok"/>
    <w:basedOn w:val="VerbatimChar"/>
    <w:rPr>
      <w:rFonts w:ascii="Consolas" w:eastAsiaTheme="minorEastAsia" w:hAnsi="Consolas"/>
      <w:iCs/>
      <w:color w:val="595959" w:themeColor="text1" w:themeTint="A6"/>
      <w:sz w:val="22"/>
      <w:shd w:val="clear" w:color="auto" w:fill="F2F2F2" w:themeFill="background1" w:themeFillShade="F2"/>
    </w:rPr>
  </w:style>
  <w:style w:type="paragraph" w:customStyle="1" w:styleId="SourceCode1">
    <w:name w:val="Source Code"/>
    <w:basedOn w:val="Normal"/>
    <w:pPr>
      <w:wordWrap w:val="0"/>
    </w:pPr>
  </w:style>
  <w:style w:type="character" w:customStyle="1" w:styleId="KeywordTok0">
    <w:name w:val="KeywordTok"/>
    <w:basedOn w:val="VerbatimChar"/>
    <w:rPr>
      <w:rFonts w:ascii="Consolas" w:eastAsiaTheme="minorEastAsia" w:hAnsi="Consolas"/>
      <w:b/>
      <w:iCs/>
      <w:color w:val="007020"/>
      <w:sz w:val="22"/>
      <w:shd w:val="clear" w:color="auto" w:fill="F2F2F2" w:themeFill="background1" w:themeFillShade="F2"/>
    </w:rPr>
  </w:style>
  <w:style w:type="character" w:customStyle="1" w:styleId="DataTypeTok0">
    <w:name w:val="DataTypeTok"/>
    <w:basedOn w:val="VerbatimChar"/>
    <w:rPr>
      <w:rFonts w:ascii="Consolas" w:eastAsiaTheme="minorEastAsia" w:hAnsi="Consolas"/>
      <w:iCs/>
      <w:color w:val="902000"/>
      <w:sz w:val="22"/>
      <w:shd w:val="clear" w:color="auto" w:fill="F2F2F2" w:themeFill="background1" w:themeFillShade="F2"/>
    </w:rPr>
  </w:style>
  <w:style w:type="character" w:customStyle="1" w:styleId="DecValTok0">
    <w:name w:val="DecValTok"/>
    <w:basedOn w:val="VerbatimChar"/>
    <w:rPr>
      <w:rFonts w:ascii="Consolas" w:eastAsiaTheme="minorEastAsia" w:hAnsi="Consolas"/>
      <w:iCs/>
      <w:color w:val="40A070"/>
      <w:sz w:val="22"/>
      <w:shd w:val="clear" w:color="auto" w:fill="F2F2F2" w:themeFill="background1" w:themeFillShade="F2"/>
    </w:rPr>
  </w:style>
  <w:style w:type="character" w:customStyle="1" w:styleId="BaseNTok0">
    <w:name w:val="BaseNTok"/>
    <w:basedOn w:val="VerbatimChar"/>
    <w:rPr>
      <w:rFonts w:ascii="Consolas" w:eastAsiaTheme="minorEastAsia" w:hAnsi="Consolas"/>
      <w:iCs/>
      <w:color w:val="40A070"/>
      <w:sz w:val="22"/>
      <w:shd w:val="clear" w:color="auto" w:fill="F2F2F2" w:themeFill="background1" w:themeFillShade="F2"/>
    </w:rPr>
  </w:style>
  <w:style w:type="character" w:customStyle="1" w:styleId="FloatTok0">
    <w:name w:val="FloatTok"/>
    <w:basedOn w:val="VerbatimChar"/>
    <w:rPr>
      <w:rFonts w:ascii="Consolas" w:eastAsiaTheme="minorEastAsia" w:hAnsi="Consolas"/>
      <w:iCs/>
      <w:color w:val="40A070"/>
      <w:sz w:val="22"/>
      <w:shd w:val="clear" w:color="auto" w:fill="F2F2F2" w:themeFill="background1" w:themeFillShade="F2"/>
    </w:rPr>
  </w:style>
  <w:style w:type="character" w:customStyle="1" w:styleId="CharTok0">
    <w:name w:val="CharTok"/>
    <w:basedOn w:val="VerbatimChar"/>
    <w:rPr>
      <w:rFonts w:ascii="Consolas" w:eastAsiaTheme="minorEastAsia" w:hAnsi="Consolas"/>
      <w:iCs/>
      <w:color w:val="4070A0"/>
      <w:sz w:val="22"/>
      <w:shd w:val="clear" w:color="auto" w:fill="F2F2F2" w:themeFill="background1" w:themeFillShade="F2"/>
    </w:rPr>
  </w:style>
  <w:style w:type="character" w:customStyle="1" w:styleId="StringTok0">
    <w:name w:val="StringTok"/>
    <w:basedOn w:val="VerbatimChar"/>
    <w:rPr>
      <w:rFonts w:ascii="Consolas" w:eastAsiaTheme="minorEastAsia" w:hAnsi="Consolas"/>
      <w:iCs/>
      <w:color w:val="4070A0"/>
      <w:sz w:val="22"/>
      <w:shd w:val="clear" w:color="auto" w:fill="F2F2F2" w:themeFill="background1" w:themeFillShade="F2"/>
    </w:rPr>
  </w:style>
  <w:style w:type="character" w:customStyle="1" w:styleId="CommentTok0">
    <w:name w:val="CommentTok"/>
    <w:basedOn w:val="VerbatimChar"/>
    <w:rPr>
      <w:rFonts w:ascii="Consolas" w:eastAsiaTheme="minorEastAsia" w:hAnsi="Consolas"/>
      <w:i/>
      <w:iCs/>
      <w:color w:val="60A0B0"/>
      <w:sz w:val="22"/>
      <w:shd w:val="clear" w:color="auto" w:fill="F2F2F2" w:themeFill="background1" w:themeFillShade="F2"/>
    </w:rPr>
  </w:style>
  <w:style w:type="character" w:customStyle="1" w:styleId="OtherTok0">
    <w:name w:val="OtherTok"/>
    <w:basedOn w:val="VerbatimChar"/>
    <w:rPr>
      <w:rFonts w:ascii="Consolas" w:eastAsiaTheme="minorEastAsia" w:hAnsi="Consolas"/>
      <w:iCs/>
      <w:color w:val="007020"/>
      <w:sz w:val="22"/>
      <w:shd w:val="clear" w:color="auto" w:fill="F2F2F2" w:themeFill="background1" w:themeFillShade="F2"/>
    </w:rPr>
  </w:style>
  <w:style w:type="character" w:customStyle="1" w:styleId="AlertTok0">
    <w:name w:val="AlertTok"/>
    <w:basedOn w:val="VerbatimChar"/>
    <w:rPr>
      <w:rFonts w:ascii="Consolas" w:eastAsiaTheme="minorEastAsia" w:hAnsi="Consolas"/>
      <w:b/>
      <w:iCs/>
      <w:color w:val="FF0000"/>
      <w:sz w:val="22"/>
      <w:shd w:val="clear" w:color="auto" w:fill="F2F2F2" w:themeFill="background1" w:themeFillShade="F2"/>
    </w:rPr>
  </w:style>
  <w:style w:type="character" w:customStyle="1" w:styleId="FunctionTok0">
    <w:name w:val="FunctionTok"/>
    <w:basedOn w:val="VerbatimChar"/>
    <w:rPr>
      <w:rFonts w:ascii="Consolas" w:eastAsiaTheme="minorEastAsia" w:hAnsi="Consolas"/>
      <w:iCs/>
      <w:color w:val="06287E"/>
      <w:sz w:val="22"/>
      <w:shd w:val="clear" w:color="auto" w:fill="F2F2F2" w:themeFill="background1" w:themeFillShade="F2"/>
    </w:rPr>
  </w:style>
  <w:style w:type="character" w:customStyle="1" w:styleId="RegionMarkerTok0">
    <w:name w:val="RegionMarkerTok"/>
    <w:basedOn w:val="VerbatimChar"/>
    <w:rPr>
      <w:rFonts w:ascii="Consolas" w:eastAsiaTheme="minorEastAsia" w:hAnsi="Consolas"/>
      <w:iCs/>
      <w:color w:val="595959" w:themeColor="text1" w:themeTint="A6"/>
      <w:sz w:val="22"/>
      <w:shd w:val="clear" w:color="auto" w:fill="F2F2F2" w:themeFill="background1" w:themeFillShade="F2"/>
    </w:rPr>
  </w:style>
  <w:style w:type="character" w:customStyle="1" w:styleId="ErrorTok0">
    <w:name w:val="ErrorTok"/>
    <w:basedOn w:val="VerbatimChar"/>
    <w:rPr>
      <w:rFonts w:ascii="Consolas" w:eastAsiaTheme="minorEastAsia" w:hAnsi="Consolas"/>
      <w:b/>
      <w:iCs/>
      <w:color w:val="FF0000"/>
      <w:sz w:val="22"/>
      <w:shd w:val="clear" w:color="auto" w:fill="F2F2F2" w:themeFill="background1" w:themeFillShade="F2"/>
    </w:rPr>
  </w:style>
  <w:style w:type="character" w:customStyle="1" w:styleId="NormalTok0">
    <w:name w:val="NormalTok"/>
    <w:basedOn w:val="VerbatimChar"/>
    <w:rPr>
      <w:rFonts w:ascii="Consolas" w:eastAsiaTheme="minorEastAsia" w:hAnsi="Consolas"/>
      <w:iCs/>
      <w:color w:val="595959" w:themeColor="text1" w:themeTint="A6"/>
      <w:sz w:val="22"/>
      <w:shd w:val="clear" w:color="auto" w:fill="F2F2F2" w:themeFill="background1" w:themeFillShade="F2"/>
    </w:rPr>
  </w:style>
  <w:style w:type="character" w:customStyle="1" w:styleId="BodyTextChar1">
    <w:name w:val="Body Text Char1"/>
    <w:basedOn w:val="DefaultParagraphFont"/>
    <w:link w:val="BodyText"/>
    <w:rsid w:val="003946D4"/>
    <w:rPr>
      <w:rFonts w:ascii="Minion Pro" w:hAnsi="Minion Pro"/>
      <w:sz w:val="22"/>
    </w:rPr>
  </w:style>
  <w:style w:type="paragraph" w:customStyle="1" w:styleId="SourceCode2">
    <w:name w:val="Source Code"/>
    <w:basedOn w:val="Normal"/>
    <w:pPr>
      <w:wordWrap w:val="0"/>
    </w:pPr>
  </w:style>
  <w:style w:type="character" w:customStyle="1" w:styleId="KeywordTok1">
    <w:name w:val="KeywordTok"/>
    <w:basedOn w:val="VerbatimChar"/>
    <w:rPr>
      <w:rFonts w:ascii="Consolas" w:eastAsiaTheme="minorEastAsia" w:hAnsi="Consolas"/>
      <w:b/>
      <w:iCs/>
      <w:color w:val="007020"/>
      <w:sz w:val="22"/>
      <w:shd w:val="clear" w:color="auto" w:fill="F2F2F2" w:themeFill="background1" w:themeFillShade="F2"/>
    </w:rPr>
  </w:style>
  <w:style w:type="character" w:customStyle="1" w:styleId="DataTypeTok1">
    <w:name w:val="DataTypeTok"/>
    <w:basedOn w:val="VerbatimChar"/>
    <w:rPr>
      <w:rFonts w:ascii="Consolas" w:eastAsiaTheme="minorEastAsia" w:hAnsi="Consolas"/>
      <w:iCs/>
      <w:color w:val="902000"/>
      <w:sz w:val="22"/>
      <w:shd w:val="clear" w:color="auto" w:fill="F2F2F2" w:themeFill="background1" w:themeFillShade="F2"/>
    </w:rPr>
  </w:style>
  <w:style w:type="character" w:customStyle="1" w:styleId="DecValTok1">
    <w:name w:val="DecValTok"/>
    <w:basedOn w:val="VerbatimChar"/>
    <w:rPr>
      <w:rFonts w:ascii="Consolas" w:eastAsiaTheme="minorEastAsia" w:hAnsi="Consolas"/>
      <w:iCs/>
      <w:color w:val="40A070"/>
      <w:sz w:val="22"/>
      <w:shd w:val="clear" w:color="auto" w:fill="F2F2F2" w:themeFill="background1" w:themeFillShade="F2"/>
    </w:rPr>
  </w:style>
  <w:style w:type="character" w:customStyle="1" w:styleId="BaseNTok1">
    <w:name w:val="BaseNTok"/>
    <w:basedOn w:val="VerbatimChar"/>
    <w:rPr>
      <w:rFonts w:ascii="Consolas" w:eastAsiaTheme="minorEastAsia" w:hAnsi="Consolas"/>
      <w:iCs/>
      <w:color w:val="40A070"/>
      <w:sz w:val="22"/>
      <w:shd w:val="clear" w:color="auto" w:fill="F2F2F2" w:themeFill="background1" w:themeFillShade="F2"/>
    </w:rPr>
  </w:style>
  <w:style w:type="character" w:customStyle="1" w:styleId="FloatTok1">
    <w:name w:val="FloatTok"/>
    <w:basedOn w:val="VerbatimChar"/>
    <w:rPr>
      <w:rFonts w:ascii="Consolas" w:eastAsiaTheme="minorEastAsia" w:hAnsi="Consolas"/>
      <w:iCs/>
      <w:color w:val="40A070"/>
      <w:sz w:val="22"/>
      <w:shd w:val="clear" w:color="auto" w:fill="F2F2F2" w:themeFill="background1" w:themeFillShade="F2"/>
    </w:rPr>
  </w:style>
  <w:style w:type="character" w:customStyle="1" w:styleId="CharTok1">
    <w:name w:val="CharTok"/>
    <w:basedOn w:val="VerbatimChar"/>
    <w:rPr>
      <w:rFonts w:ascii="Consolas" w:eastAsiaTheme="minorEastAsia" w:hAnsi="Consolas"/>
      <w:iCs/>
      <w:color w:val="4070A0"/>
      <w:sz w:val="22"/>
      <w:shd w:val="clear" w:color="auto" w:fill="F2F2F2" w:themeFill="background1" w:themeFillShade="F2"/>
    </w:rPr>
  </w:style>
  <w:style w:type="character" w:customStyle="1" w:styleId="StringTok1">
    <w:name w:val="StringTok"/>
    <w:basedOn w:val="VerbatimChar"/>
    <w:rPr>
      <w:rFonts w:ascii="Consolas" w:eastAsiaTheme="minorEastAsia" w:hAnsi="Consolas"/>
      <w:iCs/>
      <w:color w:val="4070A0"/>
      <w:sz w:val="22"/>
      <w:shd w:val="clear" w:color="auto" w:fill="F2F2F2" w:themeFill="background1" w:themeFillShade="F2"/>
    </w:rPr>
  </w:style>
  <w:style w:type="character" w:customStyle="1" w:styleId="CommentTok1">
    <w:name w:val="CommentTok"/>
    <w:basedOn w:val="VerbatimChar"/>
    <w:rPr>
      <w:rFonts w:ascii="Consolas" w:eastAsiaTheme="minorEastAsia" w:hAnsi="Consolas"/>
      <w:i/>
      <w:iCs/>
      <w:color w:val="60A0B0"/>
      <w:sz w:val="22"/>
      <w:shd w:val="clear" w:color="auto" w:fill="F2F2F2" w:themeFill="background1" w:themeFillShade="F2"/>
    </w:rPr>
  </w:style>
  <w:style w:type="character" w:customStyle="1" w:styleId="OtherTok1">
    <w:name w:val="OtherTok"/>
    <w:basedOn w:val="VerbatimChar"/>
    <w:rPr>
      <w:rFonts w:ascii="Consolas" w:eastAsiaTheme="minorEastAsia" w:hAnsi="Consolas"/>
      <w:iCs/>
      <w:color w:val="007020"/>
      <w:sz w:val="22"/>
      <w:shd w:val="clear" w:color="auto" w:fill="F2F2F2" w:themeFill="background1" w:themeFillShade="F2"/>
    </w:rPr>
  </w:style>
  <w:style w:type="character" w:customStyle="1" w:styleId="AlertTok1">
    <w:name w:val="AlertTok"/>
    <w:basedOn w:val="VerbatimChar"/>
    <w:rPr>
      <w:rFonts w:ascii="Consolas" w:eastAsiaTheme="minorEastAsia" w:hAnsi="Consolas"/>
      <w:b/>
      <w:iCs/>
      <w:color w:val="FF0000"/>
      <w:sz w:val="22"/>
      <w:shd w:val="clear" w:color="auto" w:fill="F2F2F2" w:themeFill="background1" w:themeFillShade="F2"/>
    </w:rPr>
  </w:style>
  <w:style w:type="character" w:customStyle="1" w:styleId="FunctionTok1">
    <w:name w:val="FunctionTok"/>
    <w:basedOn w:val="VerbatimChar"/>
    <w:rPr>
      <w:rFonts w:ascii="Consolas" w:eastAsiaTheme="minorEastAsia" w:hAnsi="Consolas"/>
      <w:iCs/>
      <w:color w:val="06287E"/>
      <w:sz w:val="22"/>
      <w:shd w:val="clear" w:color="auto" w:fill="F2F2F2" w:themeFill="background1" w:themeFillShade="F2"/>
    </w:rPr>
  </w:style>
  <w:style w:type="character" w:customStyle="1" w:styleId="RegionMarkerTok1">
    <w:name w:val="RegionMarkerTok"/>
    <w:basedOn w:val="VerbatimChar"/>
    <w:rPr>
      <w:rFonts w:ascii="Consolas" w:eastAsiaTheme="minorEastAsia" w:hAnsi="Consolas"/>
      <w:iCs/>
      <w:color w:val="595959" w:themeColor="text1" w:themeTint="A6"/>
      <w:sz w:val="22"/>
      <w:shd w:val="clear" w:color="auto" w:fill="F2F2F2" w:themeFill="background1" w:themeFillShade="F2"/>
    </w:rPr>
  </w:style>
  <w:style w:type="character" w:customStyle="1" w:styleId="ErrorTok1">
    <w:name w:val="ErrorTok"/>
    <w:basedOn w:val="VerbatimChar"/>
    <w:rPr>
      <w:rFonts w:ascii="Consolas" w:eastAsiaTheme="minorEastAsia" w:hAnsi="Consolas"/>
      <w:b/>
      <w:iCs/>
      <w:color w:val="FF0000"/>
      <w:sz w:val="22"/>
      <w:shd w:val="clear" w:color="auto" w:fill="F2F2F2" w:themeFill="background1" w:themeFillShade="F2"/>
    </w:rPr>
  </w:style>
  <w:style w:type="character" w:customStyle="1" w:styleId="NormalTok1">
    <w:name w:val="NormalTok"/>
    <w:basedOn w:val="VerbatimChar"/>
    <w:rPr>
      <w:rFonts w:ascii="Consolas" w:eastAsiaTheme="minorEastAsia" w:hAnsi="Consolas"/>
      <w:iCs/>
      <w:color w:val="595959" w:themeColor="text1" w:themeTint="A6"/>
      <w:sz w:val="22"/>
      <w:shd w:val="clear" w:color="auto" w:fill="F2F2F2" w:themeFill="background1" w:themeFillShade="F2"/>
    </w:rPr>
  </w:style>
  <w:style w:type="paragraph" w:customStyle="1" w:styleId="SourceCode3">
    <w:name w:val="Source Code"/>
    <w:basedOn w:val="Normal"/>
    <w:pPr>
      <w:wordWrap w:val="0"/>
    </w:pPr>
  </w:style>
  <w:style w:type="character" w:customStyle="1" w:styleId="KeywordTok2">
    <w:name w:val="KeywordTok"/>
    <w:basedOn w:val="VerbatimChar"/>
    <w:rPr>
      <w:rFonts w:ascii="Consolas" w:eastAsiaTheme="minorEastAsia" w:hAnsi="Consolas"/>
      <w:b/>
      <w:iCs/>
      <w:color w:val="007020"/>
      <w:sz w:val="22"/>
      <w:shd w:val="clear" w:color="auto" w:fill="F2F2F2" w:themeFill="background1" w:themeFillShade="F2"/>
    </w:rPr>
  </w:style>
  <w:style w:type="character" w:customStyle="1" w:styleId="DataTypeTok2">
    <w:name w:val="DataTypeTok"/>
    <w:basedOn w:val="VerbatimChar"/>
    <w:rPr>
      <w:rFonts w:ascii="Consolas" w:eastAsiaTheme="minorEastAsia" w:hAnsi="Consolas"/>
      <w:iCs/>
      <w:color w:val="902000"/>
      <w:sz w:val="22"/>
      <w:shd w:val="clear" w:color="auto" w:fill="F2F2F2" w:themeFill="background1" w:themeFillShade="F2"/>
    </w:rPr>
  </w:style>
  <w:style w:type="character" w:customStyle="1" w:styleId="DecValTok2">
    <w:name w:val="DecValTok"/>
    <w:basedOn w:val="VerbatimChar"/>
    <w:rPr>
      <w:rFonts w:ascii="Consolas" w:eastAsiaTheme="minorEastAsia" w:hAnsi="Consolas"/>
      <w:iCs/>
      <w:color w:val="40A070"/>
      <w:sz w:val="22"/>
      <w:shd w:val="clear" w:color="auto" w:fill="F2F2F2" w:themeFill="background1" w:themeFillShade="F2"/>
    </w:rPr>
  </w:style>
  <w:style w:type="character" w:customStyle="1" w:styleId="BaseNTok2">
    <w:name w:val="BaseNTok"/>
    <w:basedOn w:val="VerbatimChar"/>
    <w:rPr>
      <w:rFonts w:ascii="Consolas" w:eastAsiaTheme="minorEastAsia" w:hAnsi="Consolas"/>
      <w:iCs/>
      <w:color w:val="40A070"/>
      <w:sz w:val="22"/>
      <w:shd w:val="clear" w:color="auto" w:fill="F2F2F2" w:themeFill="background1" w:themeFillShade="F2"/>
    </w:rPr>
  </w:style>
  <w:style w:type="character" w:customStyle="1" w:styleId="FloatTok2">
    <w:name w:val="FloatTok"/>
    <w:basedOn w:val="VerbatimChar"/>
    <w:rPr>
      <w:rFonts w:ascii="Consolas" w:eastAsiaTheme="minorEastAsia" w:hAnsi="Consolas"/>
      <w:iCs/>
      <w:color w:val="40A070"/>
      <w:sz w:val="22"/>
      <w:shd w:val="clear" w:color="auto" w:fill="F2F2F2" w:themeFill="background1" w:themeFillShade="F2"/>
    </w:rPr>
  </w:style>
  <w:style w:type="character" w:customStyle="1" w:styleId="CharTok2">
    <w:name w:val="CharTok"/>
    <w:basedOn w:val="VerbatimChar"/>
    <w:rPr>
      <w:rFonts w:ascii="Consolas" w:eastAsiaTheme="minorEastAsia" w:hAnsi="Consolas"/>
      <w:iCs/>
      <w:color w:val="4070A0"/>
      <w:sz w:val="22"/>
      <w:shd w:val="clear" w:color="auto" w:fill="F2F2F2" w:themeFill="background1" w:themeFillShade="F2"/>
    </w:rPr>
  </w:style>
  <w:style w:type="character" w:customStyle="1" w:styleId="StringTok2">
    <w:name w:val="StringTok"/>
    <w:basedOn w:val="VerbatimChar"/>
    <w:rPr>
      <w:rFonts w:ascii="Consolas" w:eastAsiaTheme="minorEastAsia" w:hAnsi="Consolas"/>
      <w:iCs/>
      <w:color w:val="4070A0"/>
      <w:sz w:val="22"/>
      <w:shd w:val="clear" w:color="auto" w:fill="F2F2F2" w:themeFill="background1" w:themeFillShade="F2"/>
    </w:rPr>
  </w:style>
  <w:style w:type="character" w:customStyle="1" w:styleId="CommentTok2">
    <w:name w:val="CommentTok"/>
    <w:basedOn w:val="VerbatimChar"/>
    <w:rPr>
      <w:rFonts w:ascii="Consolas" w:eastAsiaTheme="minorEastAsia" w:hAnsi="Consolas"/>
      <w:i/>
      <w:iCs/>
      <w:color w:val="60A0B0"/>
      <w:sz w:val="22"/>
      <w:shd w:val="clear" w:color="auto" w:fill="F2F2F2" w:themeFill="background1" w:themeFillShade="F2"/>
    </w:rPr>
  </w:style>
  <w:style w:type="character" w:customStyle="1" w:styleId="OtherTok2">
    <w:name w:val="OtherTok"/>
    <w:basedOn w:val="VerbatimChar"/>
    <w:rPr>
      <w:rFonts w:ascii="Consolas" w:eastAsiaTheme="minorEastAsia" w:hAnsi="Consolas"/>
      <w:iCs/>
      <w:color w:val="007020"/>
      <w:sz w:val="22"/>
      <w:shd w:val="clear" w:color="auto" w:fill="F2F2F2" w:themeFill="background1" w:themeFillShade="F2"/>
    </w:rPr>
  </w:style>
  <w:style w:type="character" w:customStyle="1" w:styleId="AlertTok2">
    <w:name w:val="AlertTok"/>
    <w:basedOn w:val="VerbatimChar"/>
    <w:rPr>
      <w:rFonts w:ascii="Consolas" w:eastAsiaTheme="minorEastAsia" w:hAnsi="Consolas"/>
      <w:b/>
      <w:iCs/>
      <w:color w:val="FF0000"/>
      <w:sz w:val="22"/>
      <w:shd w:val="clear" w:color="auto" w:fill="F2F2F2" w:themeFill="background1" w:themeFillShade="F2"/>
    </w:rPr>
  </w:style>
  <w:style w:type="character" w:customStyle="1" w:styleId="FunctionTok2">
    <w:name w:val="FunctionTok"/>
    <w:basedOn w:val="VerbatimChar"/>
    <w:rPr>
      <w:rFonts w:ascii="Consolas" w:eastAsiaTheme="minorEastAsia" w:hAnsi="Consolas"/>
      <w:iCs/>
      <w:color w:val="06287E"/>
      <w:sz w:val="22"/>
      <w:shd w:val="clear" w:color="auto" w:fill="F2F2F2" w:themeFill="background1" w:themeFillShade="F2"/>
    </w:rPr>
  </w:style>
  <w:style w:type="character" w:customStyle="1" w:styleId="RegionMarkerTok2">
    <w:name w:val="RegionMarkerTok"/>
    <w:basedOn w:val="VerbatimChar"/>
    <w:rPr>
      <w:rFonts w:ascii="Consolas" w:eastAsiaTheme="minorEastAsia" w:hAnsi="Consolas"/>
      <w:iCs/>
      <w:color w:val="595959" w:themeColor="text1" w:themeTint="A6"/>
      <w:sz w:val="22"/>
      <w:shd w:val="clear" w:color="auto" w:fill="F2F2F2" w:themeFill="background1" w:themeFillShade="F2"/>
    </w:rPr>
  </w:style>
  <w:style w:type="character" w:customStyle="1" w:styleId="ErrorTok2">
    <w:name w:val="ErrorTok"/>
    <w:basedOn w:val="VerbatimChar"/>
    <w:rPr>
      <w:rFonts w:ascii="Consolas" w:eastAsiaTheme="minorEastAsia" w:hAnsi="Consolas"/>
      <w:b/>
      <w:iCs/>
      <w:color w:val="FF0000"/>
      <w:sz w:val="22"/>
      <w:shd w:val="clear" w:color="auto" w:fill="F2F2F2" w:themeFill="background1" w:themeFillShade="F2"/>
    </w:rPr>
  </w:style>
  <w:style w:type="character" w:customStyle="1" w:styleId="NormalTok2">
    <w:name w:val="NormalTok"/>
    <w:basedOn w:val="VerbatimChar"/>
    <w:rPr>
      <w:rFonts w:ascii="Consolas" w:eastAsiaTheme="minorEastAsia" w:hAnsi="Consolas"/>
      <w:iCs/>
      <w:color w:val="595959" w:themeColor="text1" w:themeTint="A6"/>
      <w:sz w:val="22"/>
      <w:shd w:val="clear" w:color="auto" w:fill="F2F2F2" w:themeFill="background1" w:themeFillShade="F2"/>
    </w:rPr>
  </w:style>
  <w:style w:type="paragraph" w:styleId="Header">
    <w:name w:val="header"/>
    <w:basedOn w:val="Normal"/>
    <w:link w:val="HeaderChar"/>
    <w:uiPriority w:val="99"/>
    <w:unhideWhenUsed/>
    <w:rsid w:val="00823CCF"/>
    <w:pPr>
      <w:tabs>
        <w:tab w:val="center" w:pos="4680"/>
        <w:tab w:val="right" w:pos="9360"/>
      </w:tabs>
      <w:spacing w:before="0"/>
    </w:pPr>
  </w:style>
  <w:style w:type="character" w:customStyle="1" w:styleId="HeaderChar">
    <w:name w:val="Header Char"/>
    <w:basedOn w:val="DefaultParagraphFont"/>
    <w:link w:val="Header"/>
    <w:uiPriority w:val="99"/>
    <w:rsid w:val="00823CCF"/>
    <w:rPr>
      <w:rFonts w:ascii="Minion Pro" w:hAnsi="Minion Pro"/>
    </w:rPr>
  </w:style>
  <w:style w:type="paragraph" w:styleId="Footer">
    <w:name w:val="footer"/>
    <w:basedOn w:val="Normal"/>
    <w:link w:val="FooterChar"/>
    <w:uiPriority w:val="99"/>
    <w:unhideWhenUsed/>
    <w:rsid w:val="00823CCF"/>
    <w:pPr>
      <w:tabs>
        <w:tab w:val="center" w:pos="4680"/>
        <w:tab w:val="right" w:pos="9360"/>
      </w:tabs>
      <w:spacing w:before="0"/>
    </w:pPr>
  </w:style>
  <w:style w:type="character" w:customStyle="1" w:styleId="FooterChar">
    <w:name w:val="Footer Char"/>
    <w:basedOn w:val="DefaultParagraphFont"/>
    <w:link w:val="Footer"/>
    <w:uiPriority w:val="99"/>
    <w:rsid w:val="00823CCF"/>
    <w:rPr>
      <w:rFonts w:ascii="Minion Pro" w:hAnsi="Minion Pro"/>
    </w:rPr>
  </w:style>
  <w:style w:type="paragraph" w:customStyle="1" w:styleId="SourceCode4">
    <w:name w:val="Source Code"/>
    <w:basedOn w:val="Normal"/>
    <w:pPr>
      <w:wordWrap w:val="0"/>
    </w:pPr>
  </w:style>
  <w:style w:type="character" w:customStyle="1" w:styleId="KeywordTok3">
    <w:name w:val="KeywordTok"/>
    <w:basedOn w:val="VerbatimChar"/>
    <w:rPr>
      <w:rFonts w:ascii="Consolas" w:eastAsiaTheme="minorEastAsia" w:hAnsi="Consolas"/>
      <w:b/>
      <w:iCs/>
      <w:color w:val="007020"/>
      <w:sz w:val="22"/>
      <w:shd w:val="clear" w:color="auto" w:fill="F2F2F2" w:themeFill="background1" w:themeFillShade="F2"/>
    </w:rPr>
  </w:style>
  <w:style w:type="character" w:customStyle="1" w:styleId="DataTypeTok3">
    <w:name w:val="DataTypeTok"/>
    <w:basedOn w:val="VerbatimChar"/>
    <w:rPr>
      <w:rFonts w:ascii="Consolas" w:eastAsiaTheme="minorEastAsia" w:hAnsi="Consolas"/>
      <w:iCs/>
      <w:color w:val="902000"/>
      <w:sz w:val="22"/>
      <w:shd w:val="clear" w:color="auto" w:fill="F2F2F2" w:themeFill="background1" w:themeFillShade="F2"/>
    </w:rPr>
  </w:style>
  <w:style w:type="character" w:customStyle="1" w:styleId="DecValTok3">
    <w:name w:val="DecValTok"/>
    <w:basedOn w:val="VerbatimChar"/>
    <w:rPr>
      <w:rFonts w:ascii="Consolas" w:eastAsiaTheme="minorEastAsia" w:hAnsi="Consolas"/>
      <w:iCs/>
      <w:color w:val="40A070"/>
      <w:sz w:val="22"/>
      <w:shd w:val="clear" w:color="auto" w:fill="F2F2F2" w:themeFill="background1" w:themeFillShade="F2"/>
    </w:rPr>
  </w:style>
  <w:style w:type="character" w:customStyle="1" w:styleId="BaseNTok3">
    <w:name w:val="BaseNTok"/>
    <w:basedOn w:val="VerbatimChar"/>
    <w:rPr>
      <w:rFonts w:ascii="Consolas" w:eastAsiaTheme="minorEastAsia" w:hAnsi="Consolas"/>
      <w:iCs/>
      <w:color w:val="40A070"/>
      <w:sz w:val="22"/>
      <w:shd w:val="clear" w:color="auto" w:fill="F2F2F2" w:themeFill="background1" w:themeFillShade="F2"/>
    </w:rPr>
  </w:style>
  <w:style w:type="character" w:customStyle="1" w:styleId="FloatTok3">
    <w:name w:val="FloatTok"/>
    <w:basedOn w:val="VerbatimChar"/>
    <w:rPr>
      <w:rFonts w:ascii="Consolas" w:eastAsiaTheme="minorEastAsia" w:hAnsi="Consolas"/>
      <w:iCs/>
      <w:color w:val="40A070"/>
      <w:sz w:val="22"/>
      <w:shd w:val="clear" w:color="auto" w:fill="F2F2F2" w:themeFill="background1" w:themeFillShade="F2"/>
    </w:rPr>
  </w:style>
  <w:style w:type="character" w:customStyle="1" w:styleId="CharTok3">
    <w:name w:val="CharTok"/>
    <w:basedOn w:val="VerbatimChar"/>
    <w:rPr>
      <w:rFonts w:ascii="Consolas" w:eastAsiaTheme="minorEastAsia" w:hAnsi="Consolas"/>
      <w:iCs/>
      <w:color w:val="4070A0"/>
      <w:sz w:val="22"/>
      <w:shd w:val="clear" w:color="auto" w:fill="F2F2F2" w:themeFill="background1" w:themeFillShade="F2"/>
    </w:rPr>
  </w:style>
  <w:style w:type="character" w:customStyle="1" w:styleId="StringTok3">
    <w:name w:val="StringTok"/>
    <w:basedOn w:val="VerbatimChar"/>
    <w:rPr>
      <w:rFonts w:ascii="Consolas" w:eastAsiaTheme="minorEastAsia" w:hAnsi="Consolas"/>
      <w:iCs/>
      <w:color w:val="4070A0"/>
      <w:sz w:val="22"/>
      <w:shd w:val="clear" w:color="auto" w:fill="F2F2F2" w:themeFill="background1" w:themeFillShade="F2"/>
    </w:rPr>
  </w:style>
  <w:style w:type="character" w:customStyle="1" w:styleId="CommentTok3">
    <w:name w:val="CommentTok"/>
    <w:basedOn w:val="VerbatimChar"/>
    <w:rPr>
      <w:rFonts w:ascii="Consolas" w:eastAsiaTheme="minorEastAsia" w:hAnsi="Consolas"/>
      <w:i/>
      <w:iCs/>
      <w:color w:val="60A0B0"/>
      <w:sz w:val="22"/>
      <w:shd w:val="clear" w:color="auto" w:fill="F2F2F2" w:themeFill="background1" w:themeFillShade="F2"/>
    </w:rPr>
  </w:style>
  <w:style w:type="character" w:customStyle="1" w:styleId="OtherTok3">
    <w:name w:val="OtherTok"/>
    <w:basedOn w:val="VerbatimChar"/>
    <w:rPr>
      <w:rFonts w:ascii="Consolas" w:eastAsiaTheme="minorEastAsia" w:hAnsi="Consolas"/>
      <w:iCs/>
      <w:color w:val="007020"/>
      <w:sz w:val="22"/>
      <w:shd w:val="clear" w:color="auto" w:fill="F2F2F2" w:themeFill="background1" w:themeFillShade="F2"/>
    </w:rPr>
  </w:style>
  <w:style w:type="character" w:customStyle="1" w:styleId="AlertTok3">
    <w:name w:val="AlertTok"/>
    <w:basedOn w:val="VerbatimChar"/>
    <w:rPr>
      <w:rFonts w:ascii="Consolas" w:eastAsiaTheme="minorEastAsia" w:hAnsi="Consolas"/>
      <w:b/>
      <w:iCs/>
      <w:color w:val="FF0000"/>
      <w:sz w:val="22"/>
      <w:shd w:val="clear" w:color="auto" w:fill="F2F2F2" w:themeFill="background1" w:themeFillShade="F2"/>
    </w:rPr>
  </w:style>
  <w:style w:type="character" w:customStyle="1" w:styleId="FunctionTok3">
    <w:name w:val="FunctionTok"/>
    <w:basedOn w:val="VerbatimChar"/>
    <w:rPr>
      <w:rFonts w:ascii="Consolas" w:eastAsiaTheme="minorEastAsia" w:hAnsi="Consolas"/>
      <w:iCs/>
      <w:color w:val="06287E"/>
      <w:sz w:val="22"/>
      <w:shd w:val="clear" w:color="auto" w:fill="F2F2F2" w:themeFill="background1" w:themeFillShade="F2"/>
    </w:rPr>
  </w:style>
  <w:style w:type="character" w:customStyle="1" w:styleId="RegionMarkerTok3">
    <w:name w:val="RegionMarkerTok"/>
    <w:basedOn w:val="VerbatimChar"/>
    <w:rPr>
      <w:rFonts w:ascii="Consolas" w:eastAsiaTheme="minorEastAsia" w:hAnsi="Consolas"/>
      <w:iCs/>
      <w:color w:val="595959" w:themeColor="text1" w:themeTint="A6"/>
      <w:sz w:val="22"/>
      <w:shd w:val="clear" w:color="auto" w:fill="F2F2F2" w:themeFill="background1" w:themeFillShade="F2"/>
    </w:rPr>
  </w:style>
  <w:style w:type="character" w:customStyle="1" w:styleId="ErrorTok3">
    <w:name w:val="ErrorTok"/>
    <w:basedOn w:val="VerbatimChar"/>
    <w:rPr>
      <w:rFonts w:ascii="Consolas" w:eastAsiaTheme="minorEastAsia" w:hAnsi="Consolas"/>
      <w:b/>
      <w:iCs/>
      <w:color w:val="FF0000"/>
      <w:sz w:val="22"/>
      <w:shd w:val="clear" w:color="auto" w:fill="F2F2F2" w:themeFill="background1" w:themeFillShade="F2"/>
    </w:rPr>
  </w:style>
  <w:style w:type="character" w:customStyle="1" w:styleId="NormalTok3">
    <w:name w:val="NormalTok"/>
    <w:basedOn w:val="VerbatimChar"/>
    <w:rPr>
      <w:rFonts w:ascii="Consolas" w:eastAsiaTheme="minorEastAsia" w:hAnsi="Consolas"/>
      <w:iCs/>
      <w:color w:val="595959" w:themeColor="text1" w:themeTint="A6"/>
      <w:sz w:val="22"/>
      <w:shd w:val="clear" w:color="auto" w:fill="F2F2F2" w:themeFill="background1" w:themeFillShade="F2"/>
    </w:rPr>
  </w:style>
  <w:style w:type="paragraph" w:customStyle="1" w:styleId="SourceCode5">
    <w:name w:val="Source Code"/>
    <w:basedOn w:val="Normal"/>
    <w:pPr>
      <w:wordWrap w:val="0"/>
    </w:pPr>
  </w:style>
  <w:style w:type="character" w:customStyle="1" w:styleId="KeywordTok4">
    <w:name w:val="KeywordTok"/>
    <w:basedOn w:val="VerbatimChar"/>
    <w:rPr>
      <w:rFonts w:ascii="Consolas" w:eastAsiaTheme="minorEastAsia" w:hAnsi="Consolas"/>
      <w:b/>
      <w:iCs/>
      <w:color w:val="007020"/>
      <w:sz w:val="22"/>
      <w:shd w:val="clear" w:color="auto" w:fill="F2F2F2" w:themeFill="background1" w:themeFillShade="F2"/>
    </w:rPr>
  </w:style>
  <w:style w:type="character" w:customStyle="1" w:styleId="DataTypeTok4">
    <w:name w:val="DataTypeTok"/>
    <w:basedOn w:val="VerbatimChar"/>
    <w:rPr>
      <w:rFonts w:ascii="Consolas" w:eastAsiaTheme="minorEastAsia" w:hAnsi="Consolas"/>
      <w:iCs/>
      <w:color w:val="902000"/>
      <w:sz w:val="22"/>
      <w:shd w:val="clear" w:color="auto" w:fill="F2F2F2" w:themeFill="background1" w:themeFillShade="F2"/>
    </w:rPr>
  </w:style>
  <w:style w:type="character" w:customStyle="1" w:styleId="DecValTok4">
    <w:name w:val="DecValTok"/>
    <w:basedOn w:val="VerbatimChar"/>
    <w:rPr>
      <w:rFonts w:ascii="Consolas" w:eastAsiaTheme="minorEastAsia" w:hAnsi="Consolas"/>
      <w:iCs/>
      <w:color w:val="40A070"/>
      <w:sz w:val="22"/>
      <w:shd w:val="clear" w:color="auto" w:fill="F2F2F2" w:themeFill="background1" w:themeFillShade="F2"/>
    </w:rPr>
  </w:style>
  <w:style w:type="character" w:customStyle="1" w:styleId="BaseNTok4">
    <w:name w:val="BaseNTok"/>
    <w:basedOn w:val="VerbatimChar"/>
    <w:rPr>
      <w:rFonts w:ascii="Consolas" w:eastAsiaTheme="minorEastAsia" w:hAnsi="Consolas"/>
      <w:iCs/>
      <w:color w:val="40A070"/>
      <w:sz w:val="22"/>
      <w:shd w:val="clear" w:color="auto" w:fill="F2F2F2" w:themeFill="background1" w:themeFillShade="F2"/>
    </w:rPr>
  </w:style>
  <w:style w:type="character" w:customStyle="1" w:styleId="FloatTok4">
    <w:name w:val="FloatTok"/>
    <w:basedOn w:val="VerbatimChar"/>
    <w:rPr>
      <w:rFonts w:ascii="Consolas" w:eastAsiaTheme="minorEastAsia" w:hAnsi="Consolas"/>
      <w:iCs/>
      <w:color w:val="40A070"/>
      <w:sz w:val="22"/>
      <w:shd w:val="clear" w:color="auto" w:fill="F2F2F2" w:themeFill="background1" w:themeFillShade="F2"/>
    </w:rPr>
  </w:style>
  <w:style w:type="character" w:customStyle="1" w:styleId="CharTok4">
    <w:name w:val="CharTok"/>
    <w:basedOn w:val="VerbatimChar"/>
    <w:rPr>
      <w:rFonts w:ascii="Consolas" w:eastAsiaTheme="minorEastAsia" w:hAnsi="Consolas"/>
      <w:iCs/>
      <w:color w:val="4070A0"/>
      <w:sz w:val="22"/>
      <w:shd w:val="clear" w:color="auto" w:fill="F2F2F2" w:themeFill="background1" w:themeFillShade="F2"/>
    </w:rPr>
  </w:style>
  <w:style w:type="character" w:customStyle="1" w:styleId="StringTok4">
    <w:name w:val="StringTok"/>
    <w:basedOn w:val="VerbatimChar"/>
    <w:rPr>
      <w:rFonts w:ascii="Consolas" w:eastAsiaTheme="minorEastAsia" w:hAnsi="Consolas"/>
      <w:iCs/>
      <w:color w:val="4070A0"/>
      <w:sz w:val="22"/>
      <w:shd w:val="clear" w:color="auto" w:fill="F2F2F2" w:themeFill="background1" w:themeFillShade="F2"/>
    </w:rPr>
  </w:style>
  <w:style w:type="character" w:customStyle="1" w:styleId="CommentTok4">
    <w:name w:val="CommentTok"/>
    <w:basedOn w:val="VerbatimChar"/>
    <w:rPr>
      <w:rFonts w:ascii="Consolas" w:eastAsiaTheme="minorEastAsia" w:hAnsi="Consolas"/>
      <w:i/>
      <w:iCs/>
      <w:color w:val="60A0B0"/>
      <w:sz w:val="22"/>
      <w:shd w:val="clear" w:color="auto" w:fill="F2F2F2" w:themeFill="background1" w:themeFillShade="F2"/>
    </w:rPr>
  </w:style>
  <w:style w:type="character" w:customStyle="1" w:styleId="OtherTok4">
    <w:name w:val="OtherTok"/>
    <w:basedOn w:val="VerbatimChar"/>
    <w:rPr>
      <w:rFonts w:ascii="Consolas" w:eastAsiaTheme="minorEastAsia" w:hAnsi="Consolas"/>
      <w:iCs/>
      <w:color w:val="007020"/>
      <w:sz w:val="22"/>
      <w:shd w:val="clear" w:color="auto" w:fill="F2F2F2" w:themeFill="background1" w:themeFillShade="F2"/>
    </w:rPr>
  </w:style>
  <w:style w:type="character" w:customStyle="1" w:styleId="AlertTok4">
    <w:name w:val="AlertTok"/>
    <w:basedOn w:val="VerbatimChar"/>
    <w:rPr>
      <w:rFonts w:ascii="Consolas" w:eastAsiaTheme="minorEastAsia" w:hAnsi="Consolas"/>
      <w:b/>
      <w:iCs/>
      <w:color w:val="FF0000"/>
      <w:sz w:val="22"/>
      <w:shd w:val="clear" w:color="auto" w:fill="F2F2F2" w:themeFill="background1" w:themeFillShade="F2"/>
    </w:rPr>
  </w:style>
  <w:style w:type="character" w:customStyle="1" w:styleId="FunctionTok4">
    <w:name w:val="FunctionTok"/>
    <w:basedOn w:val="VerbatimChar"/>
    <w:rPr>
      <w:rFonts w:ascii="Consolas" w:eastAsiaTheme="minorEastAsia" w:hAnsi="Consolas"/>
      <w:iCs/>
      <w:color w:val="06287E"/>
      <w:sz w:val="22"/>
      <w:shd w:val="clear" w:color="auto" w:fill="F2F2F2" w:themeFill="background1" w:themeFillShade="F2"/>
    </w:rPr>
  </w:style>
  <w:style w:type="character" w:customStyle="1" w:styleId="RegionMarkerTok4">
    <w:name w:val="RegionMarkerTok"/>
    <w:basedOn w:val="VerbatimChar"/>
    <w:rPr>
      <w:rFonts w:ascii="Consolas" w:eastAsiaTheme="minorEastAsia" w:hAnsi="Consolas"/>
      <w:iCs/>
      <w:color w:val="595959" w:themeColor="text1" w:themeTint="A6"/>
      <w:sz w:val="22"/>
      <w:shd w:val="clear" w:color="auto" w:fill="F2F2F2" w:themeFill="background1" w:themeFillShade="F2"/>
    </w:rPr>
  </w:style>
  <w:style w:type="character" w:customStyle="1" w:styleId="ErrorTok4">
    <w:name w:val="ErrorTok"/>
    <w:basedOn w:val="VerbatimChar"/>
    <w:rPr>
      <w:rFonts w:ascii="Consolas" w:eastAsiaTheme="minorEastAsia" w:hAnsi="Consolas"/>
      <w:b/>
      <w:iCs/>
      <w:color w:val="FF0000"/>
      <w:sz w:val="22"/>
      <w:shd w:val="clear" w:color="auto" w:fill="F2F2F2" w:themeFill="background1" w:themeFillShade="F2"/>
    </w:rPr>
  </w:style>
  <w:style w:type="character" w:customStyle="1" w:styleId="NormalTok4">
    <w:name w:val="NormalTok"/>
    <w:basedOn w:val="VerbatimChar"/>
    <w:rPr>
      <w:rFonts w:ascii="Consolas" w:eastAsiaTheme="minorEastAsia" w:hAnsi="Consolas"/>
      <w:iCs/>
      <w:color w:val="595959" w:themeColor="text1" w:themeTint="A6"/>
      <w:sz w:val="22"/>
      <w:shd w:val="clear" w:color="auto" w:fill="F2F2F2" w:themeFill="background1" w:themeFillShade="F2"/>
    </w:rPr>
  </w:style>
  <w:style w:type="paragraph" w:customStyle="1" w:styleId="SourceCode6">
    <w:name w:val="Source Code"/>
    <w:basedOn w:val="Normal"/>
    <w:rsid w:val="00AD1B68"/>
    <w:pPr>
      <w:shd w:val="clear" w:color="auto" w:fill="F2F2F2" w:themeFill="background1" w:themeFillShade="F2"/>
      <w:wordWrap w:val="0"/>
      <w:jc w:val="left"/>
    </w:pPr>
    <w:rPr>
      <w:rFonts w:ascii="Consolas" w:hAnsi="Consolas"/>
      <w:color w:val="595959" w:themeColor="text1" w:themeTint="A6"/>
      <w:sz w:val="20"/>
    </w:rPr>
  </w:style>
  <w:style w:type="character" w:customStyle="1" w:styleId="KeywordTok5">
    <w:name w:val="KeywordTok"/>
    <w:basedOn w:val="VerbatimChar"/>
    <w:rPr>
      <w:rFonts w:ascii="Consolas" w:eastAsiaTheme="minorEastAsia" w:hAnsi="Consolas"/>
      <w:b/>
      <w:iCs/>
      <w:color w:val="007020"/>
      <w:sz w:val="22"/>
      <w:shd w:val="clear" w:color="auto" w:fill="F2F2F2" w:themeFill="background1" w:themeFillShade="F2"/>
    </w:rPr>
  </w:style>
  <w:style w:type="character" w:customStyle="1" w:styleId="DataTypeTok5">
    <w:name w:val="DataTypeTok"/>
    <w:basedOn w:val="VerbatimChar"/>
    <w:rPr>
      <w:rFonts w:ascii="Consolas" w:eastAsiaTheme="minorEastAsia" w:hAnsi="Consolas"/>
      <w:iCs/>
      <w:color w:val="902000"/>
      <w:sz w:val="22"/>
      <w:shd w:val="clear" w:color="auto" w:fill="F2F2F2" w:themeFill="background1" w:themeFillShade="F2"/>
    </w:rPr>
  </w:style>
  <w:style w:type="character" w:customStyle="1" w:styleId="DecValTok5">
    <w:name w:val="DecValTok"/>
    <w:basedOn w:val="VerbatimChar"/>
    <w:rPr>
      <w:rFonts w:ascii="Consolas" w:eastAsiaTheme="minorEastAsia" w:hAnsi="Consolas"/>
      <w:iCs/>
      <w:color w:val="40A070"/>
      <w:sz w:val="22"/>
      <w:shd w:val="clear" w:color="auto" w:fill="F2F2F2" w:themeFill="background1" w:themeFillShade="F2"/>
    </w:rPr>
  </w:style>
  <w:style w:type="character" w:customStyle="1" w:styleId="BaseNTok5">
    <w:name w:val="BaseNTok"/>
    <w:basedOn w:val="VerbatimChar"/>
    <w:rPr>
      <w:rFonts w:ascii="Consolas" w:eastAsiaTheme="minorEastAsia" w:hAnsi="Consolas"/>
      <w:iCs/>
      <w:color w:val="40A070"/>
      <w:sz w:val="22"/>
      <w:shd w:val="clear" w:color="auto" w:fill="F2F2F2" w:themeFill="background1" w:themeFillShade="F2"/>
    </w:rPr>
  </w:style>
  <w:style w:type="character" w:customStyle="1" w:styleId="FloatTok5">
    <w:name w:val="FloatTok"/>
    <w:basedOn w:val="VerbatimChar"/>
    <w:rPr>
      <w:rFonts w:ascii="Consolas" w:eastAsiaTheme="minorEastAsia" w:hAnsi="Consolas"/>
      <w:iCs/>
      <w:color w:val="40A070"/>
      <w:sz w:val="22"/>
      <w:shd w:val="clear" w:color="auto" w:fill="F2F2F2" w:themeFill="background1" w:themeFillShade="F2"/>
    </w:rPr>
  </w:style>
  <w:style w:type="character" w:customStyle="1" w:styleId="CharTok5">
    <w:name w:val="CharTok"/>
    <w:basedOn w:val="VerbatimChar"/>
    <w:rPr>
      <w:rFonts w:ascii="Consolas" w:eastAsiaTheme="minorEastAsia" w:hAnsi="Consolas"/>
      <w:iCs/>
      <w:color w:val="4070A0"/>
      <w:sz w:val="22"/>
      <w:shd w:val="clear" w:color="auto" w:fill="F2F2F2" w:themeFill="background1" w:themeFillShade="F2"/>
    </w:rPr>
  </w:style>
  <w:style w:type="character" w:customStyle="1" w:styleId="StringTok5">
    <w:name w:val="StringTok"/>
    <w:basedOn w:val="VerbatimChar"/>
    <w:rPr>
      <w:rFonts w:ascii="Consolas" w:eastAsiaTheme="minorEastAsia" w:hAnsi="Consolas"/>
      <w:iCs/>
      <w:color w:val="4070A0"/>
      <w:sz w:val="22"/>
      <w:shd w:val="clear" w:color="auto" w:fill="F2F2F2" w:themeFill="background1" w:themeFillShade="F2"/>
    </w:rPr>
  </w:style>
  <w:style w:type="character" w:customStyle="1" w:styleId="CommentTok5">
    <w:name w:val="CommentTok"/>
    <w:basedOn w:val="VerbatimChar"/>
    <w:rPr>
      <w:rFonts w:ascii="Consolas" w:eastAsiaTheme="minorEastAsia" w:hAnsi="Consolas"/>
      <w:i/>
      <w:iCs/>
      <w:color w:val="60A0B0"/>
      <w:sz w:val="22"/>
      <w:shd w:val="clear" w:color="auto" w:fill="F2F2F2" w:themeFill="background1" w:themeFillShade="F2"/>
    </w:rPr>
  </w:style>
  <w:style w:type="character" w:customStyle="1" w:styleId="OtherTok5">
    <w:name w:val="OtherTok"/>
    <w:basedOn w:val="VerbatimChar"/>
    <w:rPr>
      <w:rFonts w:ascii="Consolas" w:eastAsiaTheme="minorEastAsia" w:hAnsi="Consolas"/>
      <w:iCs/>
      <w:color w:val="007020"/>
      <w:sz w:val="22"/>
      <w:shd w:val="clear" w:color="auto" w:fill="F2F2F2" w:themeFill="background1" w:themeFillShade="F2"/>
    </w:rPr>
  </w:style>
  <w:style w:type="character" w:customStyle="1" w:styleId="AlertTok5">
    <w:name w:val="AlertTok"/>
    <w:basedOn w:val="VerbatimChar"/>
    <w:rPr>
      <w:rFonts w:ascii="Consolas" w:eastAsiaTheme="minorEastAsia" w:hAnsi="Consolas"/>
      <w:b/>
      <w:iCs/>
      <w:color w:val="FF0000"/>
      <w:sz w:val="22"/>
      <w:shd w:val="clear" w:color="auto" w:fill="F2F2F2" w:themeFill="background1" w:themeFillShade="F2"/>
    </w:rPr>
  </w:style>
  <w:style w:type="character" w:customStyle="1" w:styleId="FunctionTok5">
    <w:name w:val="FunctionTok"/>
    <w:basedOn w:val="VerbatimChar"/>
    <w:rPr>
      <w:rFonts w:ascii="Consolas" w:eastAsiaTheme="minorEastAsia" w:hAnsi="Consolas"/>
      <w:iCs/>
      <w:color w:val="06287E"/>
      <w:sz w:val="22"/>
      <w:shd w:val="clear" w:color="auto" w:fill="F2F2F2" w:themeFill="background1" w:themeFillShade="F2"/>
    </w:rPr>
  </w:style>
  <w:style w:type="character" w:customStyle="1" w:styleId="RegionMarkerTok5">
    <w:name w:val="RegionMarkerTok"/>
    <w:basedOn w:val="VerbatimChar"/>
    <w:rPr>
      <w:rFonts w:ascii="Consolas" w:eastAsiaTheme="minorEastAsia" w:hAnsi="Consolas"/>
      <w:iCs/>
      <w:color w:val="595959" w:themeColor="text1" w:themeTint="A6"/>
      <w:sz w:val="22"/>
      <w:shd w:val="clear" w:color="auto" w:fill="F2F2F2" w:themeFill="background1" w:themeFillShade="F2"/>
    </w:rPr>
  </w:style>
  <w:style w:type="character" w:customStyle="1" w:styleId="ErrorTok5">
    <w:name w:val="ErrorTok"/>
    <w:basedOn w:val="VerbatimChar"/>
    <w:rPr>
      <w:rFonts w:ascii="Consolas" w:eastAsiaTheme="minorEastAsia" w:hAnsi="Consolas"/>
      <w:b/>
      <w:iCs/>
      <w:color w:val="FF0000"/>
      <w:sz w:val="22"/>
      <w:shd w:val="clear" w:color="auto" w:fill="F2F2F2" w:themeFill="background1" w:themeFillShade="F2"/>
    </w:rPr>
  </w:style>
  <w:style w:type="character" w:customStyle="1" w:styleId="NormalTok5">
    <w:name w:val="NormalTok"/>
    <w:basedOn w:val="VerbatimChar"/>
    <w:rPr>
      <w:rFonts w:ascii="Consolas" w:eastAsiaTheme="minorEastAsia" w:hAnsi="Consolas"/>
      <w:iCs/>
      <w:color w:val="595959" w:themeColor="text1" w:themeTint="A6"/>
      <w:sz w:val="22"/>
      <w:shd w:val="clear" w:color="auto" w:fill="F2F2F2" w:themeFill="background1" w:themeFillShade="F2"/>
    </w:rPr>
  </w:style>
  <w:style w:type="paragraph" w:customStyle="1" w:styleId="SourceCode7">
    <w:name w:val="Source Code"/>
    <w:basedOn w:val="Normal"/>
    <w:rsid w:val="00230DEA"/>
    <w:pPr>
      <w:shd w:val="clear" w:color="auto" w:fill="F2F2F2" w:themeFill="background1" w:themeFillShade="F2"/>
      <w:wordWrap w:val="0"/>
      <w:jc w:val="left"/>
    </w:pPr>
    <w:rPr>
      <w:rFonts w:ascii="Consolas" w:hAnsi="Consolas"/>
      <w:color w:val="595959" w:themeColor="text1" w:themeTint="A6"/>
      <w:sz w:val="20"/>
    </w:rPr>
  </w:style>
  <w:style w:type="character" w:customStyle="1" w:styleId="KeywordTok6">
    <w:name w:val="KeywordTok"/>
    <w:basedOn w:val="VerbatimChar"/>
    <w:rPr>
      <w:rFonts w:ascii="Consolas" w:eastAsiaTheme="minorEastAsia" w:hAnsi="Consolas"/>
      <w:b/>
      <w:iCs/>
      <w:color w:val="007020"/>
      <w:sz w:val="20"/>
      <w:shd w:val="clear" w:color="auto" w:fill="F2F2F2" w:themeFill="background1" w:themeFillShade="F2"/>
    </w:rPr>
  </w:style>
  <w:style w:type="character" w:customStyle="1" w:styleId="DataTypeTok6">
    <w:name w:val="DataTypeTok"/>
    <w:basedOn w:val="VerbatimChar"/>
    <w:rPr>
      <w:rFonts w:ascii="Consolas" w:eastAsiaTheme="minorEastAsia" w:hAnsi="Consolas"/>
      <w:iCs/>
      <w:color w:val="902000"/>
      <w:sz w:val="20"/>
      <w:shd w:val="clear" w:color="auto" w:fill="F2F2F2" w:themeFill="background1" w:themeFillShade="F2"/>
    </w:rPr>
  </w:style>
  <w:style w:type="character" w:customStyle="1" w:styleId="DecValTok6">
    <w:name w:val="DecValTok"/>
    <w:basedOn w:val="VerbatimChar"/>
    <w:rPr>
      <w:rFonts w:ascii="Consolas" w:eastAsiaTheme="minorEastAsia" w:hAnsi="Consolas"/>
      <w:iCs/>
      <w:color w:val="40A070"/>
      <w:sz w:val="20"/>
      <w:shd w:val="clear" w:color="auto" w:fill="F2F2F2" w:themeFill="background1" w:themeFillShade="F2"/>
    </w:rPr>
  </w:style>
  <w:style w:type="character" w:customStyle="1" w:styleId="BaseNTok6">
    <w:name w:val="BaseNTok"/>
    <w:basedOn w:val="VerbatimChar"/>
    <w:rPr>
      <w:rFonts w:ascii="Consolas" w:eastAsiaTheme="minorEastAsia" w:hAnsi="Consolas"/>
      <w:iCs/>
      <w:color w:val="40A070"/>
      <w:sz w:val="20"/>
      <w:shd w:val="clear" w:color="auto" w:fill="F2F2F2" w:themeFill="background1" w:themeFillShade="F2"/>
    </w:rPr>
  </w:style>
  <w:style w:type="character" w:customStyle="1" w:styleId="FloatTok6">
    <w:name w:val="FloatTok"/>
    <w:basedOn w:val="VerbatimChar"/>
    <w:rPr>
      <w:rFonts w:ascii="Consolas" w:eastAsiaTheme="minorEastAsia" w:hAnsi="Consolas"/>
      <w:iCs/>
      <w:color w:val="40A070"/>
      <w:sz w:val="20"/>
      <w:shd w:val="clear" w:color="auto" w:fill="F2F2F2" w:themeFill="background1" w:themeFillShade="F2"/>
    </w:rPr>
  </w:style>
  <w:style w:type="character" w:customStyle="1" w:styleId="CharTok6">
    <w:name w:val="CharTok"/>
    <w:basedOn w:val="VerbatimChar"/>
    <w:rPr>
      <w:rFonts w:ascii="Consolas" w:eastAsiaTheme="minorEastAsia" w:hAnsi="Consolas"/>
      <w:iCs/>
      <w:color w:val="4070A0"/>
      <w:sz w:val="20"/>
      <w:shd w:val="clear" w:color="auto" w:fill="F2F2F2" w:themeFill="background1" w:themeFillShade="F2"/>
    </w:rPr>
  </w:style>
  <w:style w:type="character" w:customStyle="1" w:styleId="StringTok6">
    <w:name w:val="StringTok"/>
    <w:basedOn w:val="VerbatimChar"/>
    <w:rPr>
      <w:rFonts w:ascii="Consolas" w:eastAsiaTheme="minorEastAsia" w:hAnsi="Consolas"/>
      <w:iCs/>
      <w:color w:val="4070A0"/>
      <w:sz w:val="20"/>
      <w:shd w:val="clear" w:color="auto" w:fill="F2F2F2" w:themeFill="background1" w:themeFillShade="F2"/>
    </w:rPr>
  </w:style>
  <w:style w:type="character" w:customStyle="1" w:styleId="CommentTok6">
    <w:name w:val="CommentTok"/>
    <w:basedOn w:val="VerbatimChar"/>
    <w:rPr>
      <w:rFonts w:ascii="Consolas" w:eastAsiaTheme="minorEastAsia" w:hAnsi="Consolas"/>
      <w:i/>
      <w:iCs/>
      <w:color w:val="60A0B0"/>
      <w:sz w:val="20"/>
      <w:shd w:val="clear" w:color="auto" w:fill="F2F2F2" w:themeFill="background1" w:themeFillShade="F2"/>
    </w:rPr>
  </w:style>
  <w:style w:type="character" w:customStyle="1" w:styleId="OtherTok6">
    <w:name w:val="OtherTok"/>
    <w:basedOn w:val="VerbatimChar"/>
    <w:rPr>
      <w:rFonts w:ascii="Consolas" w:eastAsiaTheme="minorEastAsia" w:hAnsi="Consolas"/>
      <w:iCs/>
      <w:color w:val="007020"/>
      <w:sz w:val="20"/>
      <w:shd w:val="clear" w:color="auto" w:fill="F2F2F2" w:themeFill="background1" w:themeFillShade="F2"/>
    </w:rPr>
  </w:style>
  <w:style w:type="character" w:customStyle="1" w:styleId="AlertTok6">
    <w:name w:val="AlertTok"/>
    <w:basedOn w:val="VerbatimChar"/>
    <w:rPr>
      <w:rFonts w:ascii="Consolas" w:eastAsiaTheme="minorEastAsia" w:hAnsi="Consolas"/>
      <w:b/>
      <w:iCs/>
      <w:color w:val="FF0000"/>
      <w:sz w:val="20"/>
      <w:shd w:val="clear" w:color="auto" w:fill="F2F2F2" w:themeFill="background1" w:themeFillShade="F2"/>
    </w:rPr>
  </w:style>
  <w:style w:type="character" w:customStyle="1" w:styleId="FunctionTok6">
    <w:name w:val="FunctionTok"/>
    <w:basedOn w:val="VerbatimChar"/>
    <w:rPr>
      <w:rFonts w:ascii="Consolas" w:eastAsiaTheme="minorEastAsia" w:hAnsi="Consolas"/>
      <w:iCs/>
      <w:color w:val="06287E"/>
      <w:sz w:val="20"/>
      <w:shd w:val="clear" w:color="auto" w:fill="F2F2F2" w:themeFill="background1" w:themeFillShade="F2"/>
    </w:rPr>
  </w:style>
  <w:style w:type="character" w:customStyle="1" w:styleId="RegionMarkerTok6">
    <w:name w:val="RegionMarkerTok"/>
    <w:basedOn w:val="VerbatimChar"/>
    <w:rPr>
      <w:rFonts w:ascii="Consolas" w:eastAsiaTheme="minorEastAsia" w:hAnsi="Consolas"/>
      <w:iCs/>
      <w:color w:val="595959" w:themeColor="text1" w:themeTint="A6"/>
      <w:sz w:val="20"/>
      <w:shd w:val="clear" w:color="auto" w:fill="F2F2F2" w:themeFill="background1" w:themeFillShade="F2"/>
    </w:rPr>
  </w:style>
  <w:style w:type="character" w:customStyle="1" w:styleId="ErrorTok6">
    <w:name w:val="ErrorTok"/>
    <w:basedOn w:val="VerbatimChar"/>
    <w:rPr>
      <w:rFonts w:ascii="Consolas" w:eastAsiaTheme="minorEastAsia" w:hAnsi="Consolas"/>
      <w:b/>
      <w:iCs/>
      <w:color w:val="FF0000"/>
      <w:sz w:val="20"/>
      <w:shd w:val="clear" w:color="auto" w:fill="F2F2F2" w:themeFill="background1" w:themeFillShade="F2"/>
    </w:rPr>
  </w:style>
  <w:style w:type="character" w:customStyle="1" w:styleId="NormalTok6">
    <w:name w:val="NormalTok"/>
    <w:basedOn w:val="VerbatimChar"/>
    <w:rPr>
      <w:rFonts w:ascii="Consolas" w:eastAsiaTheme="minorEastAsia" w:hAnsi="Consolas"/>
      <w:iCs/>
      <w:color w:val="595959" w:themeColor="text1" w:themeTint="A6"/>
      <w:sz w:val="20"/>
      <w:shd w:val="clear" w:color="auto" w:fill="F2F2F2" w:themeFill="background1" w:themeFillShade="F2"/>
    </w:rPr>
  </w:style>
  <w:style w:type="paragraph" w:customStyle="1" w:styleId="SourceCode8">
    <w:name w:val="Source Code"/>
    <w:basedOn w:val="Normal"/>
    <w:rsid w:val="00ED3863"/>
    <w:pPr>
      <w:shd w:val="clear" w:color="auto" w:fill="F2F2F2" w:themeFill="background1" w:themeFillShade="F2"/>
      <w:wordWrap w:val="0"/>
      <w:jc w:val="left"/>
    </w:pPr>
    <w:rPr>
      <w:rFonts w:ascii="Consolas" w:hAnsi="Consolas"/>
      <w:color w:val="595959" w:themeColor="text1" w:themeTint="A6"/>
      <w:sz w:val="20"/>
    </w:rPr>
  </w:style>
  <w:style w:type="character" w:customStyle="1" w:styleId="KeywordTok7">
    <w:name w:val="KeywordTok"/>
    <w:basedOn w:val="VerbatimChar"/>
    <w:rPr>
      <w:rFonts w:ascii="Consolas" w:eastAsiaTheme="minorEastAsia" w:hAnsi="Consolas"/>
      <w:b/>
      <w:iCs/>
      <w:color w:val="007020"/>
      <w:sz w:val="20"/>
      <w:shd w:val="clear" w:color="auto" w:fill="F2F2F2" w:themeFill="background1" w:themeFillShade="F2"/>
    </w:rPr>
  </w:style>
  <w:style w:type="character" w:customStyle="1" w:styleId="DataTypeTok7">
    <w:name w:val="DataTypeTok"/>
    <w:basedOn w:val="VerbatimChar"/>
    <w:rPr>
      <w:rFonts w:ascii="Consolas" w:eastAsiaTheme="minorEastAsia" w:hAnsi="Consolas"/>
      <w:iCs/>
      <w:color w:val="902000"/>
      <w:sz w:val="20"/>
      <w:shd w:val="clear" w:color="auto" w:fill="F2F2F2" w:themeFill="background1" w:themeFillShade="F2"/>
    </w:rPr>
  </w:style>
  <w:style w:type="character" w:customStyle="1" w:styleId="DecValTok7">
    <w:name w:val="DecValTok"/>
    <w:basedOn w:val="VerbatimChar"/>
    <w:rPr>
      <w:rFonts w:ascii="Consolas" w:eastAsiaTheme="minorEastAsia" w:hAnsi="Consolas"/>
      <w:iCs/>
      <w:color w:val="40A070"/>
      <w:sz w:val="20"/>
      <w:shd w:val="clear" w:color="auto" w:fill="F2F2F2" w:themeFill="background1" w:themeFillShade="F2"/>
    </w:rPr>
  </w:style>
  <w:style w:type="character" w:customStyle="1" w:styleId="BaseNTok7">
    <w:name w:val="BaseNTok"/>
    <w:basedOn w:val="VerbatimChar"/>
    <w:rPr>
      <w:rFonts w:ascii="Consolas" w:eastAsiaTheme="minorEastAsia" w:hAnsi="Consolas"/>
      <w:iCs/>
      <w:color w:val="40A070"/>
      <w:sz w:val="20"/>
      <w:shd w:val="clear" w:color="auto" w:fill="F2F2F2" w:themeFill="background1" w:themeFillShade="F2"/>
    </w:rPr>
  </w:style>
  <w:style w:type="character" w:customStyle="1" w:styleId="FloatTok7">
    <w:name w:val="FloatTok"/>
    <w:basedOn w:val="VerbatimChar"/>
    <w:rPr>
      <w:rFonts w:ascii="Consolas" w:eastAsiaTheme="minorEastAsia" w:hAnsi="Consolas"/>
      <w:iCs/>
      <w:color w:val="40A070"/>
      <w:sz w:val="20"/>
      <w:shd w:val="clear" w:color="auto" w:fill="F2F2F2" w:themeFill="background1" w:themeFillShade="F2"/>
    </w:rPr>
  </w:style>
  <w:style w:type="character" w:customStyle="1" w:styleId="CharTok7">
    <w:name w:val="CharTok"/>
    <w:basedOn w:val="VerbatimChar"/>
    <w:rPr>
      <w:rFonts w:ascii="Consolas" w:eastAsiaTheme="minorEastAsia" w:hAnsi="Consolas"/>
      <w:iCs/>
      <w:color w:val="4070A0"/>
      <w:sz w:val="20"/>
      <w:shd w:val="clear" w:color="auto" w:fill="F2F2F2" w:themeFill="background1" w:themeFillShade="F2"/>
    </w:rPr>
  </w:style>
  <w:style w:type="character" w:customStyle="1" w:styleId="StringTok7">
    <w:name w:val="StringTok"/>
    <w:basedOn w:val="VerbatimChar"/>
    <w:rPr>
      <w:rFonts w:ascii="Consolas" w:eastAsiaTheme="minorEastAsia" w:hAnsi="Consolas"/>
      <w:iCs/>
      <w:color w:val="4070A0"/>
      <w:sz w:val="20"/>
      <w:shd w:val="clear" w:color="auto" w:fill="F2F2F2" w:themeFill="background1" w:themeFillShade="F2"/>
    </w:rPr>
  </w:style>
  <w:style w:type="character" w:customStyle="1" w:styleId="CommentTok7">
    <w:name w:val="CommentTok"/>
    <w:basedOn w:val="VerbatimChar"/>
    <w:rPr>
      <w:rFonts w:ascii="Consolas" w:eastAsiaTheme="minorEastAsia" w:hAnsi="Consolas"/>
      <w:i/>
      <w:iCs/>
      <w:color w:val="60A0B0"/>
      <w:sz w:val="20"/>
      <w:shd w:val="clear" w:color="auto" w:fill="F2F2F2" w:themeFill="background1" w:themeFillShade="F2"/>
    </w:rPr>
  </w:style>
  <w:style w:type="character" w:customStyle="1" w:styleId="OtherTok7">
    <w:name w:val="OtherTok"/>
    <w:basedOn w:val="VerbatimChar"/>
    <w:rPr>
      <w:rFonts w:ascii="Consolas" w:eastAsiaTheme="minorEastAsia" w:hAnsi="Consolas"/>
      <w:iCs/>
      <w:color w:val="007020"/>
      <w:sz w:val="20"/>
      <w:shd w:val="clear" w:color="auto" w:fill="F2F2F2" w:themeFill="background1" w:themeFillShade="F2"/>
    </w:rPr>
  </w:style>
  <w:style w:type="character" w:customStyle="1" w:styleId="AlertTok7">
    <w:name w:val="AlertTok"/>
    <w:basedOn w:val="VerbatimChar"/>
    <w:rPr>
      <w:rFonts w:ascii="Consolas" w:eastAsiaTheme="minorEastAsia" w:hAnsi="Consolas"/>
      <w:b/>
      <w:iCs/>
      <w:color w:val="FF0000"/>
      <w:sz w:val="20"/>
      <w:shd w:val="clear" w:color="auto" w:fill="F2F2F2" w:themeFill="background1" w:themeFillShade="F2"/>
    </w:rPr>
  </w:style>
  <w:style w:type="character" w:customStyle="1" w:styleId="FunctionTok7">
    <w:name w:val="FunctionTok"/>
    <w:basedOn w:val="VerbatimChar"/>
    <w:rPr>
      <w:rFonts w:ascii="Consolas" w:eastAsiaTheme="minorEastAsia" w:hAnsi="Consolas"/>
      <w:iCs/>
      <w:color w:val="06287E"/>
      <w:sz w:val="20"/>
      <w:shd w:val="clear" w:color="auto" w:fill="F2F2F2" w:themeFill="background1" w:themeFillShade="F2"/>
    </w:rPr>
  </w:style>
  <w:style w:type="character" w:customStyle="1" w:styleId="RegionMarkerTok7">
    <w:name w:val="RegionMarkerTok"/>
    <w:basedOn w:val="VerbatimChar"/>
    <w:rPr>
      <w:rFonts w:ascii="Consolas" w:eastAsiaTheme="minorEastAsia" w:hAnsi="Consolas"/>
      <w:iCs/>
      <w:color w:val="595959" w:themeColor="text1" w:themeTint="A6"/>
      <w:sz w:val="20"/>
      <w:shd w:val="clear" w:color="auto" w:fill="F2F2F2" w:themeFill="background1" w:themeFillShade="F2"/>
    </w:rPr>
  </w:style>
  <w:style w:type="character" w:customStyle="1" w:styleId="ErrorTok7">
    <w:name w:val="ErrorTok"/>
    <w:basedOn w:val="VerbatimChar"/>
    <w:rPr>
      <w:rFonts w:ascii="Consolas" w:eastAsiaTheme="minorEastAsia" w:hAnsi="Consolas"/>
      <w:b/>
      <w:iCs/>
      <w:color w:val="FF0000"/>
      <w:sz w:val="20"/>
      <w:shd w:val="clear" w:color="auto" w:fill="F2F2F2" w:themeFill="background1" w:themeFillShade="F2"/>
    </w:rPr>
  </w:style>
  <w:style w:type="character" w:customStyle="1" w:styleId="NormalTok7">
    <w:name w:val="NormalTok"/>
    <w:basedOn w:val="VerbatimChar"/>
    <w:rPr>
      <w:rFonts w:ascii="Consolas" w:eastAsiaTheme="minorEastAsia" w:hAnsi="Consolas"/>
      <w:iCs/>
      <w:color w:val="595959" w:themeColor="text1" w:themeTint="A6"/>
      <w:sz w:val="20"/>
      <w:shd w:val="clear" w:color="auto" w:fill="F2F2F2" w:themeFill="background1" w:themeFillShade="F2"/>
    </w:rPr>
  </w:style>
  <w:style w:type="paragraph" w:customStyle="1" w:styleId="SourceCode9">
    <w:name w:val="Source Code"/>
    <w:basedOn w:val="Normal"/>
    <w:pPr>
      <w:wordWrap w:val="0"/>
    </w:pPr>
  </w:style>
  <w:style w:type="character" w:customStyle="1" w:styleId="KeywordTok8">
    <w:name w:val="KeywordTok"/>
    <w:basedOn w:val="VerbatimChar"/>
    <w:rPr>
      <w:rFonts w:ascii="Consolas" w:eastAsiaTheme="minorEastAsia" w:hAnsi="Consolas"/>
      <w:b/>
      <w:iCs/>
      <w:color w:val="007020"/>
      <w:sz w:val="20"/>
      <w:shd w:val="clear" w:color="auto" w:fill="F2F2F2" w:themeFill="background1" w:themeFillShade="F2"/>
    </w:rPr>
  </w:style>
  <w:style w:type="character" w:customStyle="1" w:styleId="DataTypeTok8">
    <w:name w:val="DataTypeTok"/>
    <w:basedOn w:val="VerbatimChar"/>
    <w:rPr>
      <w:rFonts w:ascii="Consolas" w:eastAsiaTheme="minorEastAsia" w:hAnsi="Consolas"/>
      <w:iCs/>
      <w:color w:val="902000"/>
      <w:sz w:val="20"/>
      <w:shd w:val="clear" w:color="auto" w:fill="F2F2F2" w:themeFill="background1" w:themeFillShade="F2"/>
    </w:rPr>
  </w:style>
  <w:style w:type="character" w:customStyle="1" w:styleId="DecValTok8">
    <w:name w:val="DecValTok"/>
    <w:basedOn w:val="VerbatimChar"/>
    <w:rPr>
      <w:rFonts w:ascii="Consolas" w:eastAsiaTheme="minorEastAsia" w:hAnsi="Consolas"/>
      <w:iCs/>
      <w:color w:val="40A070"/>
      <w:sz w:val="20"/>
      <w:shd w:val="clear" w:color="auto" w:fill="F2F2F2" w:themeFill="background1" w:themeFillShade="F2"/>
    </w:rPr>
  </w:style>
  <w:style w:type="character" w:customStyle="1" w:styleId="BaseNTok8">
    <w:name w:val="BaseNTok"/>
    <w:basedOn w:val="VerbatimChar"/>
    <w:rPr>
      <w:rFonts w:ascii="Consolas" w:eastAsiaTheme="minorEastAsia" w:hAnsi="Consolas"/>
      <w:iCs/>
      <w:color w:val="40A070"/>
      <w:sz w:val="20"/>
      <w:shd w:val="clear" w:color="auto" w:fill="F2F2F2" w:themeFill="background1" w:themeFillShade="F2"/>
    </w:rPr>
  </w:style>
  <w:style w:type="character" w:customStyle="1" w:styleId="FloatTok8">
    <w:name w:val="FloatTok"/>
    <w:basedOn w:val="VerbatimChar"/>
    <w:rPr>
      <w:rFonts w:ascii="Consolas" w:eastAsiaTheme="minorEastAsia" w:hAnsi="Consolas"/>
      <w:iCs/>
      <w:color w:val="40A070"/>
      <w:sz w:val="20"/>
      <w:shd w:val="clear" w:color="auto" w:fill="F2F2F2" w:themeFill="background1" w:themeFillShade="F2"/>
    </w:rPr>
  </w:style>
  <w:style w:type="character" w:customStyle="1" w:styleId="CharTok8">
    <w:name w:val="CharTok"/>
    <w:basedOn w:val="VerbatimChar"/>
    <w:rPr>
      <w:rFonts w:ascii="Consolas" w:eastAsiaTheme="minorEastAsia" w:hAnsi="Consolas"/>
      <w:iCs/>
      <w:color w:val="4070A0"/>
      <w:sz w:val="20"/>
      <w:shd w:val="clear" w:color="auto" w:fill="F2F2F2" w:themeFill="background1" w:themeFillShade="F2"/>
    </w:rPr>
  </w:style>
  <w:style w:type="character" w:customStyle="1" w:styleId="StringTok8">
    <w:name w:val="StringTok"/>
    <w:basedOn w:val="VerbatimChar"/>
    <w:rPr>
      <w:rFonts w:ascii="Consolas" w:eastAsiaTheme="minorEastAsia" w:hAnsi="Consolas"/>
      <w:iCs/>
      <w:color w:val="4070A0"/>
      <w:sz w:val="20"/>
      <w:shd w:val="clear" w:color="auto" w:fill="F2F2F2" w:themeFill="background1" w:themeFillShade="F2"/>
    </w:rPr>
  </w:style>
  <w:style w:type="character" w:customStyle="1" w:styleId="CommentTok8">
    <w:name w:val="CommentTok"/>
    <w:basedOn w:val="VerbatimChar"/>
    <w:rPr>
      <w:rFonts w:ascii="Consolas" w:eastAsiaTheme="minorEastAsia" w:hAnsi="Consolas"/>
      <w:i/>
      <w:iCs/>
      <w:color w:val="60A0B0"/>
      <w:sz w:val="20"/>
      <w:shd w:val="clear" w:color="auto" w:fill="F2F2F2" w:themeFill="background1" w:themeFillShade="F2"/>
    </w:rPr>
  </w:style>
  <w:style w:type="character" w:customStyle="1" w:styleId="OtherTok8">
    <w:name w:val="OtherTok"/>
    <w:basedOn w:val="VerbatimChar"/>
    <w:rPr>
      <w:rFonts w:ascii="Consolas" w:eastAsiaTheme="minorEastAsia" w:hAnsi="Consolas"/>
      <w:iCs/>
      <w:color w:val="007020"/>
      <w:sz w:val="20"/>
      <w:shd w:val="clear" w:color="auto" w:fill="F2F2F2" w:themeFill="background1" w:themeFillShade="F2"/>
    </w:rPr>
  </w:style>
  <w:style w:type="character" w:customStyle="1" w:styleId="AlertTok8">
    <w:name w:val="AlertTok"/>
    <w:basedOn w:val="VerbatimChar"/>
    <w:rPr>
      <w:rFonts w:ascii="Consolas" w:eastAsiaTheme="minorEastAsia" w:hAnsi="Consolas"/>
      <w:b/>
      <w:iCs/>
      <w:color w:val="FF0000"/>
      <w:sz w:val="20"/>
      <w:shd w:val="clear" w:color="auto" w:fill="F2F2F2" w:themeFill="background1" w:themeFillShade="F2"/>
    </w:rPr>
  </w:style>
  <w:style w:type="character" w:customStyle="1" w:styleId="FunctionTok8">
    <w:name w:val="FunctionTok"/>
    <w:basedOn w:val="VerbatimChar"/>
    <w:rPr>
      <w:rFonts w:ascii="Consolas" w:eastAsiaTheme="minorEastAsia" w:hAnsi="Consolas"/>
      <w:iCs/>
      <w:color w:val="06287E"/>
      <w:sz w:val="20"/>
      <w:shd w:val="clear" w:color="auto" w:fill="F2F2F2" w:themeFill="background1" w:themeFillShade="F2"/>
    </w:rPr>
  </w:style>
  <w:style w:type="character" w:customStyle="1" w:styleId="RegionMarkerTok8">
    <w:name w:val="RegionMarkerTok"/>
    <w:basedOn w:val="VerbatimChar"/>
    <w:rPr>
      <w:rFonts w:ascii="Consolas" w:eastAsiaTheme="minorEastAsia" w:hAnsi="Consolas"/>
      <w:iCs/>
      <w:color w:val="595959" w:themeColor="text1" w:themeTint="A6"/>
      <w:sz w:val="20"/>
      <w:shd w:val="clear" w:color="auto" w:fill="F2F2F2" w:themeFill="background1" w:themeFillShade="F2"/>
    </w:rPr>
  </w:style>
  <w:style w:type="character" w:customStyle="1" w:styleId="ErrorTok8">
    <w:name w:val="ErrorTok"/>
    <w:basedOn w:val="VerbatimChar"/>
    <w:rPr>
      <w:rFonts w:ascii="Consolas" w:eastAsiaTheme="minorEastAsia" w:hAnsi="Consolas"/>
      <w:b/>
      <w:iCs/>
      <w:color w:val="FF0000"/>
      <w:sz w:val="20"/>
      <w:shd w:val="clear" w:color="auto" w:fill="F2F2F2" w:themeFill="background1" w:themeFillShade="F2"/>
    </w:rPr>
  </w:style>
  <w:style w:type="character" w:customStyle="1" w:styleId="NormalTok8">
    <w:name w:val="NormalTok"/>
    <w:basedOn w:val="VerbatimChar"/>
    <w:rPr>
      <w:rFonts w:ascii="Consolas" w:eastAsiaTheme="minorEastAsia" w:hAnsi="Consolas"/>
      <w:iCs/>
      <w:color w:val="595959" w:themeColor="text1" w:themeTint="A6"/>
      <w:sz w:val="20"/>
      <w:shd w:val="clear" w:color="auto" w:fill="F2F2F2" w:themeFill="background1" w:themeFillShade="F2"/>
    </w:rPr>
  </w:style>
  <w:style w:type="table" w:styleId="PlainTable1">
    <w:name w:val="Plain Table 1"/>
    <w:basedOn w:val="TableNormal"/>
    <w:rsid w:val="00BB135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BB135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rsid w:val="00BB1354"/>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ourceCodea">
    <w:name w:val="Source Code"/>
    <w:basedOn w:val="Normal"/>
    <w:pPr>
      <w:wordWrap w:val="0"/>
    </w:pPr>
  </w:style>
  <w:style w:type="character" w:customStyle="1" w:styleId="KeywordTok9">
    <w:name w:val="KeywordTok"/>
    <w:basedOn w:val="VerbatimChar"/>
    <w:rPr>
      <w:rFonts w:ascii="Consolas" w:eastAsiaTheme="minorEastAsia" w:hAnsi="Consolas"/>
      <w:b/>
      <w:iCs/>
      <w:color w:val="007020"/>
      <w:sz w:val="20"/>
      <w:shd w:val="clear" w:color="auto" w:fill="F2F2F2" w:themeFill="background1" w:themeFillShade="F2"/>
    </w:rPr>
  </w:style>
  <w:style w:type="character" w:customStyle="1" w:styleId="DataTypeTok9">
    <w:name w:val="DataTypeTok"/>
    <w:basedOn w:val="VerbatimChar"/>
    <w:rPr>
      <w:rFonts w:ascii="Consolas" w:eastAsiaTheme="minorEastAsia" w:hAnsi="Consolas"/>
      <w:iCs/>
      <w:color w:val="902000"/>
      <w:sz w:val="20"/>
      <w:shd w:val="clear" w:color="auto" w:fill="F2F2F2" w:themeFill="background1" w:themeFillShade="F2"/>
    </w:rPr>
  </w:style>
  <w:style w:type="character" w:customStyle="1" w:styleId="DecValTok9">
    <w:name w:val="DecValTok"/>
    <w:basedOn w:val="VerbatimChar"/>
    <w:rPr>
      <w:rFonts w:ascii="Consolas" w:eastAsiaTheme="minorEastAsia" w:hAnsi="Consolas"/>
      <w:iCs/>
      <w:color w:val="40A070"/>
      <w:sz w:val="20"/>
      <w:shd w:val="clear" w:color="auto" w:fill="F2F2F2" w:themeFill="background1" w:themeFillShade="F2"/>
    </w:rPr>
  </w:style>
  <w:style w:type="character" w:customStyle="1" w:styleId="BaseNTok9">
    <w:name w:val="BaseNTok"/>
    <w:basedOn w:val="VerbatimChar"/>
    <w:rPr>
      <w:rFonts w:ascii="Consolas" w:eastAsiaTheme="minorEastAsia" w:hAnsi="Consolas"/>
      <w:iCs/>
      <w:color w:val="40A070"/>
      <w:sz w:val="20"/>
      <w:shd w:val="clear" w:color="auto" w:fill="F2F2F2" w:themeFill="background1" w:themeFillShade="F2"/>
    </w:rPr>
  </w:style>
  <w:style w:type="character" w:customStyle="1" w:styleId="FloatTok9">
    <w:name w:val="FloatTok"/>
    <w:basedOn w:val="VerbatimChar"/>
    <w:rPr>
      <w:rFonts w:ascii="Consolas" w:eastAsiaTheme="minorEastAsia" w:hAnsi="Consolas"/>
      <w:iCs/>
      <w:color w:val="40A070"/>
      <w:sz w:val="20"/>
      <w:shd w:val="clear" w:color="auto" w:fill="F2F2F2" w:themeFill="background1" w:themeFillShade="F2"/>
    </w:rPr>
  </w:style>
  <w:style w:type="character" w:customStyle="1" w:styleId="CharTok9">
    <w:name w:val="CharTok"/>
    <w:basedOn w:val="VerbatimChar"/>
    <w:rPr>
      <w:rFonts w:ascii="Consolas" w:eastAsiaTheme="minorEastAsia" w:hAnsi="Consolas"/>
      <w:iCs/>
      <w:color w:val="4070A0"/>
      <w:sz w:val="20"/>
      <w:shd w:val="clear" w:color="auto" w:fill="F2F2F2" w:themeFill="background1" w:themeFillShade="F2"/>
    </w:rPr>
  </w:style>
  <w:style w:type="character" w:customStyle="1" w:styleId="StringTok9">
    <w:name w:val="StringTok"/>
    <w:basedOn w:val="VerbatimChar"/>
    <w:rPr>
      <w:rFonts w:ascii="Consolas" w:eastAsiaTheme="minorEastAsia" w:hAnsi="Consolas"/>
      <w:iCs/>
      <w:color w:val="4070A0"/>
      <w:sz w:val="20"/>
      <w:shd w:val="clear" w:color="auto" w:fill="F2F2F2" w:themeFill="background1" w:themeFillShade="F2"/>
    </w:rPr>
  </w:style>
  <w:style w:type="character" w:customStyle="1" w:styleId="CommentTok9">
    <w:name w:val="CommentTok"/>
    <w:basedOn w:val="VerbatimChar"/>
    <w:rPr>
      <w:rFonts w:ascii="Consolas" w:eastAsiaTheme="minorEastAsia" w:hAnsi="Consolas"/>
      <w:i/>
      <w:iCs/>
      <w:color w:val="60A0B0"/>
      <w:sz w:val="20"/>
      <w:shd w:val="clear" w:color="auto" w:fill="F2F2F2" w:themeFill="background1" w:themeFillShade="F2"/>
    </w:rPr>
  </w:style>
  <w:style w:type="character" w:customStyle="1" w:styleId="OtherTok9">
    <w:name w:val="OtherTok"/>
    <w:basedOn w:val="VerbatimChar"/>
    <w:rPr>
      <w:rFonts w:ascii="Consolas" w:eastAsiaTheme="minorEastAsia" w:hAnsi="Consolas"/>
      <w:iCs/>
      <w:color w:val="007020"/>
      <w:sz w:val="20"/>
      <w:shd w:val="clear" w:color="auto" w:fill="F2F2F2" w:themeFill="background1" w:themeFillShade="F2"/>
    </w:rPr>
  </w:style>
  <w:style w:type="character" w:customStyle="1" w:styleId="AlertTok9">
    <w:name w:val="AlertTok"/>
    <w:basedOn w:val="VerbatimChar"/>
    <w:rPr>
      <w:rFonts w:ascii="Consolas" w:eastAsiaTheme="minorEastAsia" w:hAnsi="Consolas"/>
      <w:b/>
      <w:iCs/>
      <w:color w:val="FF0000"/>
      <w:sz w:val="20"/>
      <w:shd w:val="clear" w:color="auto" w:fill="F2F2F2" w:themeFill="background1" w:themeFillShade="F2"/>
    </w:rPr>
  </w:style>
  <w:style w:type="character" w:customStyle="1" w:styleId="FunctionTok9">
    <w:name w:val="FunctionTok"/>
    <w:basedOn w:val="VerbatimChar"/>
    <w:rPr>
      <w:rFonts w:ascii="Consolas" w:eastAsiaTheme="minorEastAsia" w:hAnsi="Consolas"/>
      <w:iCs/>
      <w:color w:val="06287E"/>
      <w:sz w:val="20"/>
      <w:shd w:val="clear" w:color="auto" w:fill="F2F2F2" w:themeFill="background1" w:themeFillShade="F2"/>
    </w:rPr>
  </w:style>
  <w:style w:type="character" w:customStyle="1" w:styleId="RegionMarkerTok9">
    <w:name w:val="RegionMarkerTok"/>
    <w:basedOn w:val="VerbatimChar"/>
    <w:rPr>
      <w:rFonts w:ascii="Consolas" w:eastAsiaTheme="minorEastAsia" w:hAnsi="Consolas"/>
      <w:iCs/>
      <w:color w:val="595959" w:themeColor="text1" w:themeTint="A6"/>
      <w:sz w:val="20"/>
      <w:shd w:val="clear" w:color="auto" w:fill="F2F2F2" w:themeFill="background1" w:themeFillShade="F2"/>
    </w:rPr>
  </w:style>
  <w:style w:type="character" w:customStyle="1" w:styleId="ErrorTok9">
    <w:name w:val="ErrorTok"/>
    <w:basedOn w:val="VerbatimChar"/>
    <w:rPr>
      <w:rFonts w:ascii="Consolas" w:eastAsiaTheme="minorEastAsia" w:hAnsi="Consolas"/>
      <w:b/>
      <w:iCs/>
      <w:color w:val="FF0000"/>
      <w:sz w:val="20"/>
      <w:shd w:val="clear" w:color="auto" w:fill="F2F2F2" w:themeFill="background1" w:themeFillShade="F2"/>
    </w:rPr>
  </w:style>
  <w:style w:type="character" w:customStyle="1" w:styleId="NormalTok9">
    <w:name w:val="NormalTok"/>
    <w:basedOn w:val="VerbatimChar"/>
    <w:rPr>
      <w:rFonts w:ascii="Consolas" w:eastAsiaTheme="minorEastAsia" w:hAnsi="Consolas"/>
      <w:iCs/>
      <w:color w:val="595959" w:themeColor="text1" w:themeTint="A6"/>
      <w:sz w:val="20"/>
      <w:shd w:val="clear" w:color="auto" w:fill="F2F2F2" w:themeFill="background1" w:themeFillShade="F2"/>
    </w:rPr>
  </w:style>
  <w:style w:type="character" w:styleId="FootnoteReference">
    <w:name w:val="footnote reference"/>
    <w:basedOn w:val="DefaultParagraphFont"/>
    <w:semiHidden/>
    <w:unhideWhenUsed/>
    <w:rsid w:val="000067F3"/>
    <w:rPr>
      <w:vertAlign w:val="superscript"/>
    </w:rPr>
  </w:style>
  <w:style w:type="paragraph" w:customStyle="1" w:styleId="SourceCodeb">
    <w:name w:val="Source Code"/>
    <w:basedOn w:val="Normal"/>
    <w:pPr>
      <w:wordWrap w:val="0"/>
    </w:pPr>
  </w:style>
  <w:style w:type="character" w:customStyle="1" w:styleId="KeywordToka">
    <w:name w:val="KeywordTok"/>
    <w:basedOn w:val="VerbatimChar"/>
    <w:rPr>
      <w:rFonts w:ascii="Consolas" w:eastAsiaTheme="minorEastAsia" w:hAnsi="Consolas"/>
      <w:b/>
      <w:iCs/>
      <w:color w:val="007020"/>
      <w:sz w:val="20"/>
      <w:shd w:val="clear" w:color="auto" w:fill="F2F2F2" w:themeFill="background1" w:themeFillShade="F2"/>
    </w:rPr>
  </w:style>
  <w:style w:type="character" w:customStyle="1" w:styleId="DataTypeToka">
    <w:name w:val="DataTypeTok"/>
    <w:basedOn w:val="VerbatimChar"/>
    <w:rPr>
      <w:rFonts w:ascii="Consolas" w:eastAsiaTheme="minorEastAsia" w:hAnsi="Consolas"/>
      <w:iCs/>
      <w:color w:val="902000"/>
      <w:sz w:val="20"/>
      <w:shd w:val="clear" w:color="auto" w:fill="F2F2F2" w:themeFill="background1" w:themeFillShade="F2"/>
    </w:rPr>
  </w:style>
  <w:style w:type="character" w:customStyle="1" w:styleId="DecValToka">
    <w:name w:val="DecValTok"/>
    <w:basedOn w:val="VerbatimChar"/>
    <w:rPr>
      <w:rFonts w:ascii="Consolas" w:eastAsiaTheme="minorEastAsia" w:hAnsi="Consolas"/>
      <w:iCs/>
      <w:color w:val="40A070"/>
      <w:sz w:val="20"/>
      <w:shd w:val="clear" w:color="auto" w:fill="F2F2F2" w:themeFill="background1" w:themeFillShade="F2"/>
    </w:rPr>
  </w:style>
  <w:style w:type="character" w:customStyle="1" w:styleId="BaseNToka">
    <w:name w:val="BaseNTok"/>
    <w:basedOn w:val="VerbatimChar"/>
    <w:rPr>
      <w:rFonts w:ascii="Consolas" w:eastAsiaTheme="minorEastAsia" w:hAnsi="Consolas"/>
      <w:iCs/>
      <w:color w:val="40A070"/>
      <w:sz w:val="20"/>
      <w:shd w:val="clear" w:color="auto" w:fill="F2F2F2" w:themeFill="background1" w:themeFillShade="F2"/>
    </w:rPr>
  </w:style>
  <w:style w:type="character" w:customStyle="1" w:styleId="FloatToka">
    <w:name w:val="FloatTok"/>
    <w:basedOn w:val="VerbatimChar"/>
    <w:rPr>
      <w:rFonts w:ascii="Consolas" w:eastAsiaTheme="minorEastAsia" w:hAnsi="Consolas"/>
      <w:iCs/>
      <w:color w:val="40A070"/>
      <w:sz w:val="20"/>
      <w:shd w:val="clear" w:color="auto" w:fill="F2F2F2" w:themeFill="background1" w:themeFillShade="F2"/>
    </w:rPr>
  </w:style>
  <w:style w:type="character" w:customStyle="1" w:styleId="CharToka">
    <w:name w:val="CharTok"/>
    <w:basedOn w:val="VerbatimChar"/>
    <w:rPr>
      <w:rFonts w:ascii="Consolas" w:eastAsiaTheme="minorEastAsia" w:hAnsi="Consolas"/>
      <w:iCs/>
      <w:color w:val="4070A0"/>
      <w:sz w:val="20"/>
      <w:shd w:val="clear" w:color="auto" w:fill="F2F2F2" w:themeFill="background1" w:themeFillShade="F2"/>
    </w:rPr>
  </w:style>
  <w:style w:type="character" w:customStyle="1" w:styleId="StringToka">
    <w:name w:val="StringTok"/>
    <w:basedOn w:val="VerbatimChar"/>
    <w:rPr>
      <w:rFonts w:ascii="Consolas" w:eastAsiaTheme="minorEastAsia" w:hAnsi="Consolas"/>
      <w:iCs/>
      <w:color w:val="4070A0"/>
      <w:sz w:val="20"/>
      <w:shd w:val="clear" w:color="auto" w:fill="F2F2F2" w:themeFill="background1" w:themeFillShade="F2"/>
    </w:rPr>
  </w:style>
  <w:style w:type="character" w:customStyle="1" w:styleId="CommentToka">
    <w:name w:val="CommentTok"/>
    <w:basedOn w:val="VerbatimChar"/>
    <w:rPr>
      <w:rFonts w:ascii="Consolas" w:eastAsiaTheme="minorEastAsia" w:hAnsi="Consolas"/>
      <w:i/>
      <w:iCs/>
      <w:color w:val="60A0B0"/>
      <w:sz w:val="20"/>
      <w:shd w:val="clear" w:color="auto" w:fill="F2F2F2" w:themeFill="background1" w:themeFillShade="F2"/>
    </w:rPr>
  </w:style>
  <w:style w:type="character" w:customStyle="1" w:styleId="OtherToka">
    <w:name w:val="OtherTok"/>
    <w:basedOn w:val="VerbatimChar"/>
    <w:rPr>
      <w:rFonts w:ascii="Consolas" w:eastAsiaTheme="minorEastAsia" w:hAnsi="Consolas"/>
      <w:iCs/>
      <w:color w:val="007020"/>
      <w:sz w:val="20"/>
      <w:shd w:val="clear" w:color="auto" w:fill="F2F2F2" w:themeFill="background1" w:themeFillShade="F2"/>
    </w:rPr>
  </w:style>
  <w:style w:type="character" w:customStyle="1" w:styleId="AlertToka">
    <w:name w:val="AlertTok"/>
    <w:basedOn w:val="VerbatimChar"/>
    <w:rPr>
      <w:rFonts w:ascii="Consolas" w:eastAsiaTheme="minorEastAsia" w:hAnsi="Consolas"/>
      <w:b/>
      <w:iCs/>
      <w:color w:val="FF0000"/>
      <w:sz w:val="20"/>
      <w:shd w:val="clear" w:color="auto" w:fill="F2F2F2" w:themeFill="background1" w:themeFillShade="F2"/>
    </w:rPr>
  </w:style>
  <w:style w:type="character" w:customStyle="1" w:styleId="FunctionToka">
    <w:name w:val="FunctionTok"/>
    <w:basedOn w:val="VerbatimChar"/>
    <w:rPr>
      <w:rFonts w:ascii="Consolas" w:eastAsiaTheme="minorEastAsia" w:hAnsi="Consolas"/>
      <w:iCs/>
      <w:color w:val="06287E"/>
      <w:sz w:val="20"/>
      <w:shd w:val="clear" w:color="auto" w:fill="F2F2F2" w:themeFill="background1" w:themeFillShade="F2"/>
    </w:rPr>
  </w:style>
  <w:style w:type="character" w:customStyle="1" w:styleId="RegionMarkerToka">
    <w:name w:val="RegionMarkerTok"/>
    <w:basedOn w:val="VerbatimChar"/>
    <w:rPr>
      <w:rFonts w:ascii="Consolas" w:eastAsiaTheme="minorEastAsia" w:hAnsi="Consolas"/>
      <w:iCs/>
      <w:color w:val="595959" w:themeColor="text1" w:themeTint="A6"/>
      <w:sz w:val="20"/>
      <w:shd w:val="clear" w:color="auto" w:fill="F2F2F2" w:themeFill="background1" w:themeFillShade="F2"/>
    </w:rPr>
  </w:style>
  <w:style w:type="character" w:customStyle="1" w:styleId="ErrorToka">
    <w:name w:val="ErrorTok"/>
    <w:basedOn w:val="VerbatimChar"/>
    <w:rPr>
      <w:rFonts w:ascii="Consolas" w:eastAsiaTheme="minorEastAsia" w:hAnsi="Consolas"/>
      <w:b/>
      <w:iCs/>
      <w:color w:val="FF0000"/>
      <w:sz w:val="20"/>
      <w:shd w:val="clear" w:color="auto" w:fill="F2F2F2" w:themeFill="background1" w:themeFillShade="F2"/>
    </w:rPr>
  </w:style>
  <w:style w:type="character" w:customStyle="1" w:styleId="NormalToka">
    <w:name w:val="NormalTok"/>
    <w:basedOn w:val="VerbatimChar"/>
    <w:rPr>
      <w:rFonts w:ascii="Consolas" w:eastAsiaTheme="minorEastAsia" w:hAnsi="Consolas"/>
      <w:iCs/>
      <w:color w:val="595959" w:themeColor="text1" w:themeTint="A6"/>
      <w:sz w:val="20"/>
      <w:shd w:val="clear" w:color="auto" w:fill="F2F2F2" w:themeFill="background1" w:themeFillShade="F2"/>
    </w:rPr>
  </w:style>
  <w:style w:type="paragraph" w:customStyle="1" w:styleId="SourceCode">
    <w:name w:val="Source Code"/>
    <w:basedOn w:val="BlockText"/>
    <w:link w:val="VerbatimChar"/>
    <w:rsid w:val="00701BBD"/>
    <w:pPr>
      <w:shd w:val="clear" w:color="auto" w:fill="F2F2F2" w:themeFill="background1" w:themeFillShade="F2"/>
      <w:wordWrap w:val="0"/>
      <w:ind w:left="0" w:right="0"/>
      <w:jc w:val="left"/>
    </w:pPr>
    <w:rPr>
      <w:rFonts w:ascii="Consolas" w:hAnsi="Consolas"/>
      <w:i/>
      <w:color w:val="595959" w:themeColor="text1" w:themeTint="A6"/>
      <w:sz w:val="20"/>
    </w:rPr>
  </w:style>
  <w:style w:type="character" w:customStyle="1" w:styleId="KeywordTokb">
    <w:name w:val="KeywordTok"/>
    <w:basedOn w:val="VerbatimChar"/>
    <w:rPr>
      <w:rFonts w:ascii="Consolas" w:eastAsiaTheme="minorEastAsia" w:hAnsi="Consolas"/>
      <w:b/>
      <w:iCs/>
      <w:color w:val="007020"/>
      <w:sz w:val="20"/>
      <w:shd w:val="clear" w:color="auto" w:fill="F2F2F2" w:themeFill="background1" w:themeFillShade="F2"/>
    </w:rPr>
  </w:style>
  <w:style w:type="character" w:customStyle="1" w:styleId="DataTypeTokb">
    <w:name w:val="DataTypeTok"/>
    <w:basedOn w:val="VerbatimChar"/>
    <w:rPr>
      <w:rFonts w:ascii="Consolas" w:eastAsiaTheme="minorEastAsia" w:hAnsi="Consolas"/>
      <w:iCs/>
      <w:color w:val="902000"/>
      <w:sz w:val="20"/>
      <w:shd w:val="clear" w:color="auto" w:fill="F2F2F2" w:themeFill="background1" w:themeFillShade="F2"/>
    </w:rPr>
  </w:style>
  <w:style w:type="character" w:customStyle="1" w:styleId="DecValTokb">
    <w:name w:val="DecValTok"/>
    <w:basedOn w:val="VerbatimChar"/>
    <w:rPr>
      <w:rFonts w:ascii="Consolas" w:eastAsiaTheme="minorEastAsia" w:hAnsi="Consolas"/>
      <w:iCs/>
      <w:color w:val="40A070"/>
      <w:sz w:val="20"/>
      <w:shd w:val="clear" w:color="auto" w:fill="F2F2F2" w:themeFill="background1" w:themeFillShade="F2"/>
    </w:rPr>
  </w:style>
  <w:style w:type="character" w:customStyle="1" w:styleId="BaseNTokb">
    <w:name w:val="BaseNTok"/>
    <w:basedOn w:val="VerbatimChar"/>
    <w:rPr>
      <w:rFonts w:ascii="Consolas" w:eastAsiaTheme="minorEastAsia" w:hAnsi="Consolas"/>
      <w:iCs/>
      <w:color w:val="40A070"/>
      <w:sz w:val="20"/>
      <w:shd w:val="clear" w:color="auto" w:fill="F2F2F2" w:themeFill="background1" w:themeFillShade="F2"/>
    </w:rPr>
  </w:style>
  <w:style w:type="character" w:customStyle="1" w:styleId="FloatTokb">
    <w:name w:val="FloatTok"/>
    <w:basedOn w:val="VerbatimChar"/>
    <w:rPr>
      <w:rFonts w:ascii="Consolas" w:eastAsiaTheme="minorEastAsia" w:hAnsi="Consolas"/>
      <w:iCs/>
      <w:color w:val="40A070"/>
      <w:sz w:val="20"/>
      <w:shd w:val="clear" w:color="auto" w:fill="F2F2F2" w:themeFill="background1" w:themeFillShade="F2"/>
    </w:rPr>
  </w:style>
  <w:style w:type="character" w:customStyle="1" w:styleId="CharTokb">
    <w:name w:val="CharTok"/>
    <w:basedOn w:val="VerbatimChar"/>
    <w:rPr>
      <w:rFonts w:ascii="Consolas" w:eastAsiaTheme="minorEastAsia" w:hAnsi="Consolas"/>
      <w:iCs/>
      <w:color w:val="4070A0"/>
      <w:sz w:val="20"/>
      <w:shd w:val="clear" w:color="auto" w:fill="F2F2F2" w:themeFill="background1" w:themeFillShade="F2"/>
    </w:rPr>
  </w:style>
  <w:style w:type="character" w:customStyle="1" w:styleId="StringTokb">
    <w:name w:val="StringTok"/>
    <w:basedOn w:val="VerbatimChar"/>
    <w:rPr>
      <w:rFonts w:ascii="Consolas" w:eastAsiaTheme="minorEastAsia" w:hAnsi="Consolas"/>
      <w:iCs/>
      <w:color w:val="4070A0"/>
      <w:sz w:val="20"/>
      <w:shd w:val="clear" w:color="auto" w:fill="F2F2F2" w:themeFill="background1" w:themeFillShade="F2"/>
    </w:rPr>
  </w:style>
  <w:style w:type="character" w:customStyle="1" w:styleId="CommentTokb">
    <w:name w:val="CommentTok"/>
    <w:basedOn w:val="VerbatimChar"/>
    <w:rPr>
      <w:rFonts w:ascii="Consolas" w:eastAsiaTheme="minorEastAsia" w:hAnsi="Consolas"/>
      <w:i/>
      <w:iCs/>
      <w:color w:val="60A0B0"/>
      <w:sz w:val="20"/>
      <w:shd w:val="clear" w:color="auto" w:fill="F2F2F2" w:themeFill="background1" w:themeFillShade="F2"/>
    </w:rPr>
  </w:style>
  <w:style w:type="character" w:customStyle="1" w:styleId="OtherTokb">
    <w:name w:val="OtherTok"/>
    <w:basedOn w:val="VerbatimChar"/>
    <w:rPr>
      <w:rFonts w:ascii="Consolas" w:eastAsiaTheme="minorEastAsia" w:hAnsi="Consolas"/>
      <w:iCs/>
      <w:color w:val="007020"/>
      <w:sz w:val="20"/>
      <w:shd w:val="clear" w:color="auto" w:fill="F2F2F2" w:themeFill="background1" w:themeFillShade="F2"/>
    </w:rPr>
  </w:style>
  <w:style w:type="character" w:customStyle="1" w:styleId="AlertTokb">
    <w:name w:val="AlertTok"/>
    <w:basedOn w:val="VerbatimChar"/>
    <w:rPr>
      <w:rFonts w:ascii="Consolas" w:eastAsiaTheme="minorEastAsia" w:hAnsi="Consolas"/>
      <w:b/>
      <w:iCs/>
      <w:color w:val="FF0000"/>
      <w:sz w:val="20"/>
      <w:shd w:val="clear" w:color="auto" w:fill="F2F2F2" w:themeFill="background1" w:themeFillShade="F2"/>
    </w:rPr>
  </w:style>
  <w:style w:type="character" w:customStyle="1" w:styleId="FunctionTokb">
    <w:name w:val="FunctionTok"/>
    <w:basedOn w:val="VerbatimChar"/>
    <w:rPr>
      <w:rFonts w:ascii="Consolas" w:eastAsiaTheme="minorEastAsia" w:hAnsi="Consolas"/>
      <w:iCs/>
      <w:color w:val="06287E"/>
      <w:sz w:val="20"/>
      <w:shd w:val="clear" w:color="auto" w:fill="F2F2F2" w:themeFill="background1" w:themeFillShade="F2"/>
    </w:rPr>
  </w:style>
  <w:style w:type="character" w:customStyle="1" w:styleId="RegionMarkerTokb">
    <w:name w:val="RegionMarkerTok"/>
    <w:basedOn w:val="VerbatimChar"/>
    <w:rPr>
      <w:rFonts w:ascii="Consolas" w:eastAsiaTheme="minorEastAsia" w:hAnsi="Consolas"/>
      <w:iCs/>
      <w:color w:val="595959" w:themeColor="text1" w:themeTint="A6"/>
      <w:sz w:val="20"/>
      <w:shd w:val="clear" w:color="auto" w:fill="F2F2F2" w:themeFill="background1" w:themeFillShade="F2"/>
    </w:rPr>
  </w:style>
  <w:style w:type="character" w:customStyle="1" w:styleId="ErrorTokb">
    <w:name w:val="ErrorTok"/>
    <w:basedOn w:val="VerbatimChar"/>
    <w:rPr>
      <w:rFonts w:ascii="Consolas" w:eastAsiaTheme="minorEastAsia" w:hAnsi="Consolas"/>
      <w:b/>
      <w:iCs/>
      <w:color w:val="FF0000"/>
      <w:sz w:val="20"/>
      <w:shd w:val="clear" w:color="auto" w:fill="F2F2F2" w:themeFill="background1" w:themeFillShade="F2"/>
    </w:rPr>
  </w:style>
  <w:style w:type="character" w:customStyle="1" w:styleId="NormalTokb">
    <w:name w:val="NormalTok"/>
    <w:basedOn w:val="VerbatimChar"/>
    <w:rPr>
      <w:rFonts w:ascii="Consolas" w:eastAsiaTheme="minorEastAsia" w:hAnsi="Consolas"/>
      <w:iCs/>
      <w:color w:val="595959" w:themeColor="text1" w:themeTint="A6"/>
      <w:sz w:val="20"/>
      <w:shd w:val="clear" w:color="auto" w:fill="F2F2F2" w:themeFill="background1" w:themeFillShade="F2"/>
    </w:rPr>
  </w:style>
  <w:style w:type="paragraph" w:styleId="BlockText">
    <w:name w:val="Block Text"/>
    <w:basedOn w:val="Normal"/>
    <w:rsid w:val="003946D4"/>
    <w:pPr>
      <w:spacing w:before="180" w:after="180"/>
      <w:ind w:left="540" w:right="540"/>
    </w:pPr>
    <w:rPr>
      <w:rFonts w:eastAsiaTheme="minorEastAsia"/>
      <w:iCs/>
    </w:rPr>
  </w:style>
  <w:style w:type="character" w:customStyle="1" w:styleId="ConstantTok">
    <w:name w:val="ConstantTok"/>
    <w:basedOn w:val="VerbatimChar"/>
    <w:rPr>
      <w:rFonts w:ascii="Consolas" w:eastAsiaTheme="minorEastAsia" w:hAnsi="Consolas"/>
      <w:iCs/>
      <w:color w:val="880000"/>
      <w:sz w:val="20"/>
      <w:shd w:val="clear" w:color="auto" w:fill="F2F2F2" w:themeFill="background1" w:themeFillShade="F2"/>
    </w:rPr>
  </w:style>
  <w:style w:type="character" w:customStyle="1" w:styleId="SpecialCharTok">
    <w:name w:val="SpecialCharTok"/>
    <w:basedOn w:val="VerbatimChar"/>
    <w:rPr>
      <w:rFonts w:ascii="Consolas" w:eastAsiaTheme="minorEastAsia" w:hAnsi="Consolas"/>
      <w:iCs/>
      <w:color w:val="4070A0"/>
      <w:sz w:val="20"/>
      <w:shd w:val="clear" w:color="auto" w:fill="F2F2F2" w:themeFill="background1" w:themeFillShade="F2"/>
    </w:rPr>
  </w:style>
  <w:style w:type="character" w:customStyle="1" w:styleId="VerbatimStringTok">
    <w:name w:val="VerbatimStringTok"/>
    <w:basedOn w:val="VerbatimChar"/>
    <w:rPr>
      <w:rFonts w:ascii="Consolas" w:eastAsiaTheme="minorEastAsia" w:hAnsi="Consolas"/>
      <w:iCs/>
      <w:color w:val="4070A0"/>
      <w:sz w:val="20"/>
      <w:shd w:val="clear" w:color="auto" w:fill="F2F2F2" w:themeFill="background1" w:themeFillShade="F2"/>
    </w:rPr>
  </w:style>
  <w:style w:type="character" w:customStyle="1" w:styleId="SpecialStringTok">
    <w:name w:val="SpecialStringTok"/>
    <w:basedOn w:val="VerbatimChar"/>
    <w:rPr>
      <w:rFonts w:ascii="Consolas" w:eastAsiaTheme="minorEastAsia" w:hAnsi="Consolas"/>
      <w:iCs/>
      <w:color w:val="BB6688"/>
      <w:sz w:val="20"/>
      <w:shd w:val="clear" w:color="auto" w:fill="F2F2F2" w:themeFill="background1" w:themeFillShade="F2"/>
    </w:rPr>
  </w:style>
  <w:style w:type="character" w:customStyle="1" w:styleId="ImportTok">
    <w:name w:val="ImportTok"/>
    <w:basedOn w:val="VerbatimChar"/>
    <w:rPr>
      <w:rFonts w:ascii="Consolas" w:eastAsiaTheme="minorEastAsia" w:hAnsi="Consolas"/>
      <w:iCs/>
      <w:color w:val="595959" w:themeColor="text1" w:themeTint="A6"/>
      <w:sz w:val="20"/>
      <w:shd w:val="clear" w:color="auto" w:fill="F2F2F2" w:themeFill="background1" w:themeFillShade="F2"/>
    </w:rPr>
  </w:style>
  <w:style w:type="character" w:customStyle="1" w:styleId="DocumentationTok">
    <w:name w:val="DocumentationTok"/>
    <w:basedOn w:val="VerbatimChar"/>
    <w:rPr>
      <w:rFonts w:ascii="Consolas" w:eastAsiaTheme="minorEastAsia" w:hAnsi="Consolas"/>
      <w:i/>
      <w:iCs/>
      <w:color w:val="BA2121"/>
      <w:sz w:val="20"/>
      <w:shd w:val="clear" w:color="auto" w:fill="F2F2F2" w:themeFill="background1" w:themeFillShade="F2"/>
    </w:rPr>
  </w:style>
  <w:style w:type="character" w:customStyle="1" w:styleId="AnnotationTok">
    <w:name w:val="AnnotationTok"/>
    <w:basedOn w:val="VerbatimChar"/>
    <w:rPr>
      <w:rFonts w:ascii="Consolas" w:eastAsiaTheme="minorEastAsia" w:hAnsi="Consolas"/>
      <w:b/>
      <w:i/>
      <w:iCs/>
      <w:color w:val="60A0B0"/>
      <w:sz w:val="20"/>
      <w:shd w:val="clear" w:color="auto" w:fill="F2F2F2" w:themeFill="background1" w:themeFillShade="F2"/>
    </w:rPr>
  </w:style>
  <w:style w:type="character" w:customStyle="1" w:styleId="CommentVarTok">
    <w:name w:val="CommentVarTok"/>
    <w:basedOn w:val="VerbatimChar"/>
    <w:rPr>
      <w:rFonts w:ascii="Consolas" w:eastAsiaTheme="minorEastAsia" w:hAnsi="Consolas"/>
      <w:b/>
      <w:i/>
      <w:iCs/>
      <w:color w:val="60A0B0"/>
      <w:sz w:val="20"/>
      <w:shd w:val="clear" w:color="auto" w:fill="F2F2F2" w:themeFill="background1" w:themeFillShade="F2"/>
    </w:rPr>
  </w:style>
  <w:style w:type="character" w:customStyle="1" w:styleId="VariableTok">
    <w:name w:val="VariableTok"/>
    <w:basedOn w:val="VerbatimChar"/>
    <w:rPr>
      <w:rFonts w:ascii="Consolas" w:eastAsiaTheme="minorEastAsia" w:hAnsi="Consolas"/>
      <w:iCs/>
      <w:color w:val="19177C"/>
      <w:sz w:val="20"/>
      <w:shd w:val="clear" w:color="auto" w:fill="F2F2F2" w:themeFill="background1" w:themeFillShade="F2"/>
    </w:rPr>
  </w:style>
  <w:style w:type="character" w:customStyle="1" w:styleId="ControlFlowTok">
    <w:name w:val="ControlFlowTok"/>
    <w:basedOn w:val="VerbatimChar"/>
    <w:rPr>
      <w:rFonts w:ascii="Consolas" w:eastAsiaTheme="minorEastAsia" w:hAnsi="Consolas"/>
      <w:b/>
      <w:iCs/>
      <w:color w:val="007020"/>
      <w:sz w:val="20"/>
      <w:shd w:val="clear" w:color="auto" w:fill="F2F2F2" w:themeFill="background1" w:themeFillShade="F2"/>
    </w:rPr>
  </w:style>
  <w:style w:type="character" w:customStyle="1" w:styleId="OperatorTok">
    <w:name w:val="OperatorTok"/>
    <w:basedOn w:val="VerbatimChar"/>
    <w:rPr>
      <w:rFonts w:ascii="Consolas" w:eastAsiaTheme="minorEastAsia" w:hAnsi="Consolas"/>
      <w:iCs/>
      <w:color w:val="666666"/>
      <w:sz w:val="20"/>
      <w:shd w:val="clear" w:color="auto" w:fill="F2F2F2" w:themeFill="background1" w:themeFillShade="F2"/>
    </w:rPr>
  </w:style>
  <w:style w:type="character" w:customStyle="1" w:styleId="BuiltInTok">
    <w:name w:val="BuiltInTok"/>
    <w:basedOn w:val="VerbatimChar"/>
    <w:rPr>
      <w:rFonts w:ascii="Consolas" w:eastAsiaTheme="minorEastAsia" w:hAnsi="Consolas"/>
      <w:iCs/>
      <w:color w:val="595959" w:themeColor="text1" w:themeTint="A6"/>
      <w:sz w:val="20"/>
      <w:shd w:val="clear" w:color="auto" w:fill="F2F2F2" w:themeFill="background1" w:themeFillShade="F2"/>
    </w:rPr>
  </w:style>
  <w:style w:type="character" w:customStyle="1" w:styleId="ExtensionTok">
    <w:name w:val="ExtensionTok"/>
    <w:basedOn w:val="VerbatimChar"/>
    <w:rPr>
      <w:rFonts w:ascii="Consolas" w:eastAsiaTheme="minorEastAsia" w:hAnsi="Consolas"/>
      <w:iCs/>
      <w:color w:val="595959" w:themeColor="text1" w:themeTint="A6"/>
      <w:sz w:val="20"/>
      <w:shd w:val="clear" w:color="auto" w:fill="F2F2F2" w:themeFill="background1" w:themeFillShade="F2"/>
    </w:rPr>
  </w:style>
  <w:style w:type="character" w:customStyle="1" w:styleId="PreprocessorTok">
    <w:name w:val="PreprocessorTok"/>
    <w:basedOn w:val="VerbatimChar"/>
    <w:rPr>
      <w:rFonts w:ascii="Consolas" w:eastAsiaTheme="minorEastAsia" w:hAnsi="Consolas"/>
      <w:iCs/>
      <w:color w:val="BC7A00"/>
      <w:sz w:val="20"/>
      <w:shd w:val="clear" w:color="auto" w:fill="F2F2F2" w:themeFill="background1" w:themeFillShade="F2"/>
    </w:rPr>
  </w:style>
  <w:style w:type="character" w:customStyle="1" w:styleId="AttributeTok">
    <w:name w:val="AttributeTok"/>
    <w:basedOn w:val="VerbatimChar"/>
    <w:rPr>
      <w:rFonts w:ascii="Consolas" w:eastAsiaTheme="minorEastAsia" w:hAnsi="Consolas"/>
      <w:iCs/>
      <w:color w:val="7D9029"/>
      <w:sz w:val="20"/>
      <w:shd w:val="clear" w:color="auto" w:fill="F2F2F2" w:themeFill="background1" w:themeFillShade="F2"/>
    </w:rPr>
  </w:style>
  <w:style w:type="character" w:customStyle="1" w:styleId="InformationTok">
    <w:name w:val="InformationTok"/>
    <w:basedOn w:val="VerbatimChar"/>
    <w:rPr>
      <w:rFonts w:ascii="Consolas" w:eastAsiaTheme="minorEastAsia" w:hAnsi="Consolas"/>
      <w:b/>
      <w:i/>
      <w:iCs/>
      <w:color w:val="60A0B0"/>
      <w:sz w:val="20"/>
      <w:shd w:val="clear" w:color="auto" w:fill="F2F2F2" w:themeFill="background1" w:themeFillShade="F2"/>
    </w:rPr>
  </w:style>
  <w:style w:type="character" w:customStyle="1" w:styleId="WarningTok">
    <w:name w:val="WarningTok"/>
    <w:basedOn w:val="VerbatimChar"/>
    <w:rPr>
      <w:rFonts w:ascii="Consolas" w:eastAsiaTheme="minorEastAsia" w:hAnsi="Consolas"/>
      <w:b/>
      <w:i/>
      <w:iCs/>
      <w:color w:val="60A0B0"/>
      <w:sz w:val="20"/>
      <w:shd w:val="clear" w:color="auto" w:fill="F2F2F2" w:themeFill="background1" w:themeFillShade="F2"/>
    </w:rPr>
  </w:style>
  <w:style w:type="paragraph" w:styleId="BalloonText">
    <w:name w:val="Balloon Text"/>
    <w:basedOn w:val="Normal"/>
    <w:link w:val="BalloonTextChar"/>
    <w:semiHidden/>
    <w:unhideWhenUsed/>
    <w:rsid w:val="00E13BA6"/>
    <w:pPr>
      <w:spacing w:before="0"/>
    </w:pPr>
    <w:rPr>
      <w:rFonts w:ascii="Segoe UI" w:hAnsi="Segoe UI" w:cs="Segoe UI"/>
      <w:sz w:val="18"/>
      <w:szCs w:val="18"/>
    </w:rPr>
  </w:style>
  <w:style w:type="character" w:customStyle="1" w:styleId="BalloonTextChar">
    <w:name w:val="Balloon Text Char"/>
    <w:basedOn w:val="DefaultParagraphFont"/>
    <w:link w:val="BalloonText"/>
    <w:semiHidden/>
    <w:rsid w:val="00E13B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5195/v5.a1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11/j.1365-2958.2004.04126.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1017/CBO9781107415324.00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073/pnas.1710341114"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i.org/10.1007/BF032085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93538-E223-4C09-A19D-ADAF0DF4F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22</Pages>
  <Words>5386</Words>
  <Characters>30702</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Kin Dependency Ratios: An Extension and Application of the Goodman Method for Estimating the Availability of Kin</vt:lpstr>
    </vt:vector>
  </TitlesOfParts>
  <Company/>
  <LinksUpToDate>false</LinksUpToDate>
  <CharactersWithSpaces>36016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Kin Dependency Ratios: An Extension and Application of the Goodman Method for Estimating the Availability of Kin</dc:title>
  <dc:creator/>
  <cp:keywords/>
  <cp:lastModifiedBy>Paul Chung</cp:lastModifiedBy>
  <cp:revision>13</cp:revision>
  <dcterms:created xsi:type="dcterms:W3CDTF">2019-03-22T20:47:00Z</dcterms:created>
  <dcterms:modified xsi:type="dcterms:W3CDTF">2019-03-22T21:02:00Z</dcterms:modified>
</cp:coreProperties>
</file>