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4"/>
        </w:rPr>
        <w:t>SEC 10-K Accounting Database Controls</w:t>
      </w:r>
    </w:p>
    <w:p>
      <w:pPr>
        <w:spacing w:before="0" w:after="360"/>
      </w:pPr>
      <w:r>
        <w:rPr>
          <w:rFonts w:ascii="Calibri" w:hAnsi="Calibri"/>
          <w:color w:val="4B6B94"/>
          <w:sz w:val="26"/>
        </w:rPr>
        <w:t>Technical Architecture &amp; Operational Breakdown of trigger_enforce_balance</w:t>
      </w:r>
    </w:p>
    <w:p>
      <w:pPr>
        <w:spacing w:before="0" w:after="240"/>
        <w:pBdr>
          <w:bottom w:val="single" w:sz="12" w:space="1" w:color="1B365D"/>
        </w:pBdr>
      </w:pPr>
    </w:p>
    <w:p>
      <w:pPr>
        <w:spacing w:before="240" w:after="120"/>
      </w:pPr>
      <w:r>
        <w:rPr>
          <w:b/>
          <w:color w:val="1B365D"/>
          <w:sz w:val="30"/>
        </w:rPr>
        <w:t>1. Executive Summary &amp; Regulatory Context</w:t>
      </w:r>
    </w:p>
    <w:p>
      <w:pPr>
        <w:spacing w:after="120" w:line="276" w:lineRule="auto"/>
      </w:pPr>
      <w:r>
        <w:t>For publicly traded corporations preparing SEC Form 10-K annual financial reports, data integrity within the accounting database is governed by strict regulatory standards under Sarbanes-Oxley (SOX) Section 404 and U.S. GAAP/IFRS. The core requirement of double-entry bookkeeping mandates that for every journal entry, total debits must equal total credits exactly.</w:t>
      </w:r>
    </w:p>
    <w:p>
      <w:pPr>
        <w:spacing w:after="240" w:line="276" w:lineRule="auto"/>
      </w:pPr>
      <w:r>
        <w:t xml:space="preserve">The PostgreSQL schema utilizes an automated database-level constraint trigger, </w:t>
      </w:r>
      <w:r>
        <w:rPr>
          <w:rFonts w:ascii="Consolas" w:hAnsi="Consolas"/>
          <w:b/>
          <w:sz w:val="20"/>
        </w:rPr>
        <w:t>trigger_enforce_balance</w:t>
      </w:r>
      <w:r>
        <w:t xml:space="preserve">, paired with the stored PL/pgSQL function </w:t>
      </w:r>
      <w:r>
        <w:rPr>
          <w:rFonts w:ascii="Consolas" w:hAnsi="Consolas"/>
          <w:b/>
          <w:sz w:val="20"/>
        </w:rPr>
        <w:t>bookkeeper.enforce_journal_entry_balance()</w:t>
      </w:r>
      <w:r>
        <w:t>. This mechanism serves as an automated gatekeeper that prevents unbalanced transactions from ever persisting in the database, thereby ensuring that downstream General Ledger reporting and SEC financial disclosures remain mathematically consistent and audit-ready.</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B365D"/>
              <w:bottom w:val="none"/>
              <w:right w:val="none"/>
            </w:tcBorders>
          </w:tcPr>
          <w:p>
            <w:pPr>
              <w:spacing w:before="0" w:after="80"/>
            </w:pPr>
            <w:r>
              <w:rPr>
                <w:rFonts w:ascii="Calibri" w:hAnsi="Calibri"/>
                <w:b/>
                <w:color w:val="1B365D"/>
                <w:sz w:val="20"/>
              </w:rPr>
              <w:t xml:space="preserve">SOX 404 CONTROL OBJECTIVE: </w:t>
            </w:r>
            <w:r>
              <w:rPr>
                <w:rFonts w:ascii="Calibri" w:hAnsi="Calibri"/>
                <w:color w:val="222222"/>
                <w:sz w:val="20"/>
              </w:rPr>
              <w:t>By enforcing zero-balance compliance directly within the database engine rather than relying solely on application software, the system guarantees ACID compliance and eliminates the risk of corrupted general ledger balances required for SEC filing accuracy.</w:t>
            </w:r>
          </w:p>
        </w:tc>
      </w:tr>
    </w:tbl>
    <w:p/>
    <w:p>
      <w:pPr>
        <w:spacing w:before="280" w:after="120"/>
      </w:pPr>
      <w:r>
        <w:rPr>
          <w:b/>
          <w:color w:val="1B365D"/>
          <w:sz w:val="30"/>
        </w:rPr>
        <w:t>2. Technical Trigger Architecture</w:t>
      </w:r>
    </w:p>
    <w:p>
      <w:pPr>
        <w:spacing w:after="160"/>
      </w:pPr>
      <w:r>
        <w:t>The balance enforcement mechanism comprises two primary database objects working in tandem:</w:t>
      </w:r>
    </w:p>
    <w:tbl>
      <w:tblPr>
        <w:tblW w:type="auto" w:w="0"/>
        <w:jc w:val="center"/>
        <w:tblLayout w:type="fixed"/>
        <w:tblLook w:firstColumn="1" w:firstRow="1" w:lastColumn="0" w:lastRow="0" w:noHBand="0" w:noVBand="1" w:val="04A0"/>
      </w:tblPr>
      <w:tblGrid>
        <w:gridCol w:w="4680"/>
        <w:gridCol w:w="4680"/>
      </w:tblGrid>
      <w:tr>
        <w:tc>
          <w:tcPr>
            <w:tcW w:type="dxa" w:w="3168"/>
            <w:shd w:fill="1B365D"/>
            <w:tcMar>
              <w:top w:w="100" w:type="dxa"/>
              <w:bottom w:w="100" w:type="dxa"/>
              <w:left w:w="120" w:type="dxa"/>
              <w:right w:w="120" w:type="dxa"/>
            </w:tcMar>
          </w:tcPr>
          <w:p>
            <w:pPr>
              <w:jc w:val="left"/>
            </w:pPr>
            <w:r>
              <w:rPr>
                <w:b/>
                <w:color w:val="FFFFFF"/>
                <w:sz w:val="20"/>
              </w:rPr>
              <w:t>Component</w:t>
            </w:r>
          </w:p>
        </w:tc>
        <w:tc>
          <w:tcPr>
            <w:tcW w:type="dxa" w:w="6192"/>
            <w:shd w:fill="1B365D"/>
            <w:tcMar>
              <w:top w:w="100" w:type="dxa"/>
              <w:bottom w:w="100" w:type="dxa"/>
              <w:left w:w="120" w:type="dxa"/>
              <w:right w:w="120" w:type="dxa"/>
            </w:tcMar>
          </w:tcPr>
          <w:p>
            <w:pPr>
              <w:jc w:val="left"/>
            </w:pPr>
            <w:r>
              <w:rPr>
                <w:b/>
                <w:color w:val="FFFFFF"/>
                <w:sz w:val="20"/>
              </w:rPr>
              <w:t>Technical Specification &amp; Function</w:t>
            </w:r>
          </w:p>
        </w:tc>
      </w:tr>
      <w:tr>
        <w:tc>
          <w:tcPr>
            <w:tcW w:type="dxa" w:w="3168"/>
            <w:shd w:fill="F9FAFC"/>
            <w:tcMar>
              <w:top w:w="90" w:type="dxa"/>
              <w:bottom w:w="90" w:type="dxa"/>
              <w:left w:w="120" w:type="dxa"/>
              <w:right w:w="120" w:type="dxa"/>
            </w:tcMar>
          </w:tcPr>
          <w:p>
            <w:r>
              <w:rPr>
                <w:b/>
                <w:color w:val="1B365D"/>
                <w:sz w:val="19"/>
              </w:rPr>
              <w:t>Target Table</w:t>
            </w:r>
          </w:p>
        </w:tc>
        <w:tc>
          <w:tcPr>
            <w:tcW w:type="dxa" w:w="6192"/>
            <w:shd w:fill="F9FAFC"/>
            <w:tcMar>
              <w:top w:w="90" w:type="dxa"/>
              <w:bottom w:w="90" w:type="dxa"/>
              <w:left w:w="120" w:type="dxa"/>
              <w:right w:w="120" w:type="dxa"/>
            </w:tcMar>
          </w:tcPr>
          <w:p>
            <w:r>
              <w:rPr>
                <w:sz w:val="19"/>
              </w:rPr>
              <w:t>bookkeeper.journal_lines — captures individual debit and credit detail lines linked to a parent journal entry ID.</w:t>
            </w:r>
          </w:p>
        </w:tc>
      </w:tr>
      <w:tr>
        <w:tc>
          <w:tcPr>
            <w:tcW w:type="dxa" w:w="3168"/>
            <w:shd w:fill="FFFFFF"/>
            <w:tcMar>
              <w:top w:w="90" w:type="dxa"/>
              <w:bottom w:w="90" w:type="dxa"/>
              <w:left w:w="120" w:type="dxa"/>
              <w:right w:w="120" w:type="dxa"/>
            </w:tcMar>
          </w:tcPr>
          <w:p>
            <w:r>
              <w:rPr>
                <w:b/>
                <w:color w:val="1B365D"/>
                <w:sz w:val="19"/>
              </w:rPr>
              <w:t>Validation Function</w:t>
            </w:r>
          </w:p>
        </w:tc>
        <w:tc>
          <w:tcPr>
            <w:tcW w:type="dxa" w:w="6192"/>
            <w:shd w:fill="FFFFFF"/>
            <w:tcMar>
              <w:top w:w="90" w:type="dxa"/>
              <w:bottom w:w="90" w:type="dxa"/>
              <w:left w:w="120" w:type="dxa"/>
              <w:right w:w="120" w:type="dxa"/>
            </w:tcMar>
          </w:tcPr>
          <w:p>
            <w:r>
              <w:rPr>
                <w:sz w:val="19"/>
              </w:rPr>
              <w:t>bookkeeper.enforce_journal_entry_balance() — a PL/pgSQL function that dynamically sums debits and credits for the target journal entry.</w:t>
            </w:r>
          </w:p>
        </w:tc>
      </w:tr>
      <w:tr>
        <w:tc>
          <w:tcPr>
            <w:tcW w:type="dxa" w:w="3168"/>
            <w:shd w:fill="F9FAFC"/>
            <w:tcMar>
              <w:top w:w="90" w:type="dxa"/>
              <w:bottom w:w="90" w:type="dxa"/>
              <w:left w:w="120" w:type="dxa"/>
              <w:right w:w="120" w:type="dxa"/>
            </w:tcMar>
          </w:tcPr>
          <w:p>
            <w:r>
              <w:rPr>
                <w:b/>
                <w:color w:val="1B365D"/>
                <w:sz w:val="19"/>
              </w:rPr>
              <w:t>Trigger Type &amp; Timing</w:t>
            </w:r>
          </w:p>
        </w:tc>
        <w:tc>
          <w:tcPr>
            <w:tcW w:type="dxa" w:w="6192"/>
            <w:shd w:fill="F9FAFC"/>
            <w:tcMar>
              <w:top w:w="90" w:type="dxa"/>
              <w:bottom w:w="90" w:type="dxa"/>
              <w:left w:w="120" w:type="dxa"/>
              <w:right w:w="120" w:type="dxa"/>
            </w:tcMar>
          </w:tcPr>
          <w:p>
            <w:r>
              <w:rPr>
                <w:sz w:val="19"/>
              </w:rPr>
              <w:t>CONSTRAINT TRIGGER AFTER INSERT OR UPDATE OR DELETE — fires after data modification events on journal lines.</w:t>
            </w:r>
          </w:p>
        </w:tc>
      </w:tr>
      <w:tr>
        <w:tc>
          <w:tcPr>
            <w:tcW w:type="dxa" w:w="3168"/>
            <w:shd w:fill="FFFFFF"/>
            <w:tcMar>
              <w:top w:w="90" w:type="dxa"/>
              <w:bottom w:w="90" w:type="dxa"/>
              <w:left w:w="120" w:type="dxa"/>
              <w:right w:w="120" w:type="dxa"/>
            </w:tcMar>
          </w:tcPr>
          <w:p>
            <w:r>
              <w:rPr>
                <w:b/>
                <w:color w:val="1B365D"/>
                <w:sz w:val="19"/>
              </w:rPr>
              <w:t>Deferral Mode</w:t>
            </w:r>
          </w:p>
        </w:tc>
        <w:tc>
          <w:tcPr>
            <w:tcW w:type="dxa" w:w="6192"/>
            <w:shd w:fill="FFFFFF"/>
            <w:tcMar>
              <w:top w:w="90" w:type="dxa"/>
              <w:bottom w:w="90" w:type="dxa"/>
              <w:left w:w="120" w:type="dxa"/>
              <w:right w:w="120" w:type="dxa"/>
            </w:tcMar>
          </w:tcPr>
          <w:p>
            <w:r>
              <w:rPr>
                <w:sz w:val="19"/>
              </w:rPr>
              <w:t>DEFERRABLE INITIALLY DEFERRED — delays evaluation until the end of the transaction (COMMIT time) rather than executing line-by-line.</w:t>
            </w:r>
          </w:p>
        </w:tc>
      </w:tr>
    </w:tbl>
    <w:p/>
    <w:p>
      <w:pPr>
        <w:spacing w:before="280" w:after="120"/>
      </w:pPr>
      <w:r>
        <w:rPr>
          <w:b/>
          <w:color w:val="1B365D"/>
          <w:sz w:val="30"/>
        </w:rPr>
        <w:t>3. Step-by-Step Execution Lifecycle</w:t>
      </w:r>
    </w:p>
    <w:p>
      <w:pPr>
        <w:spacing w:after="160"/>
      </w:pPr>
      <w:r>
        <w:t>Understanding why and how the trigger executes requires examining the database transaction lifecycle during multi-line accounting entries:</w:t>
      </w:r>
    </w:p>
    <w:p>
      <w:pPr>
        <w:spacing w:before="80" w:after="80"/>
        <w:ind w:left="288"/>
      </w:pPr>
      <w:r>
        <w:rPr>
          <w:b/>
          <w:color w:val="4B6B94"/>
        </w:rPr>
        <w:t xml:space="preserve">• Step 1: Transaction Initiation (BEGIN): </w:t>
      </w:r>
      <w:r>
        <w:rPr>
          <w:sz w:val="20"/>
        </w:rPr>
        <w:t>An accounting entry (e.g., an invoice, payroll batch, or revenue recognition) begins within a SQL transaction block. A parent record is inserted into bookkeeper.journal_entries.</w:t>
      </w:r>
    </w:p>
    <w:p>
      <w:pPr>
        <w:spacing w:before="80" w:after="80"/>
        <w:ind w:left="288"/>
      </w:pPr>
      <w:r>
        <w:rPr>
          <w:b/>
          <w:color w:val="4B6B94"/>
        </w:rPr>
        <w:t xml:space="preserve">• Step 2: Incremental Multi-Line Operations: </w:t>
      </w:r>
      <w:r>
        <w:rPr>
          <w:sz w:val="20"/>
        </w:rPr>
        <w:t>The application inserts individual rows into bookkeeper.journal_lines (e.g., Line 1: Debit Accounts Receivable $5,000; Line 2: Credit Sales Revenue $5,000). During these row insertions, the transaction is temporarily unbalanced after Line 1.</w:t>
      </w:r>
    </w:p>
    <w:p>
      <w:pPr>
        <w:spacing w:before="80" w:after="80"/>
        <w:ind w:left="288"/>
      </w:pPr>
      <w:r>
        <w:rPr>
          <w:b/>
          <w:color w:val="4B6B94"/>
        </w:rPr>
        <w:t xml:space="preserve">• Step 3: Trigger Queueing via DEFERRABLE INITIALLY DEFERRED: </w:t>
      </w:r>
      <w:r>
        <w:rPr>
          <w:sz w:val="20"/>
        </w:rPr>
        <w:t>Because the trigger is declared as DEFERRABLE INITIALLY DEFERRED, PostgreSQL does NOT execute the validation function immediately after Line 1 is inserted. Instead, it queues the execution of trigger_enforce_balance for each affected row until the transaction attempts to COMMIT.</w:t>
      </w:r>
    </w:p>
    <w:p>
      <w:pPr>
        <w:spacing w:before="80" w:after="80"/>
        <w:ind w:left="288"/>
      </w:pPr>
      <w:r>
        <w:rPr>
          <w:b/>
          <w:color w:val="4B6B94"/>
        </w:rPr>
        <w:t xml:space="preserve">• Step 4: Parent Entry Identification (COALESCE Logic): </w:t>
      </w:r>
      <w:r>
        <w:rPr>
          <w:sz w:val="20"/>
        </w:rPr>
        <w:t>When COMMIT is requested, the function executes for each modified row. It identifies the target entry using: v_journal_entry_id := COALESCE(NEW.journal_entry_id, OLD.journal_entry_id); This ensures full support for INSERT (using NEW), DELETE (using OLD), and UPDATE operations.</w:t>
      </w:r>
    </w:p>
    <w:p>
      <w:pPr>
        <w:spacing w:before="80" w:after="80"/>
        <w:ind w:left="288"/>
      </w:pPr>
      <w:r>
        <w:rPr>
          <w:b/>
          <w:color w:val="4B6B94"/>
        </w:rPr>
        <w:t xml:space="preserve">• Step 5: Net Balance Calculation: </w:t>
      </w:r>
      <w:r>
        <w:rPr>
          <w:sz w:val="20"/>
        </w:rPr>
        <w:t>The function executes the validation query: SELECT COALESCE(SUM(debit) - SUM(credit), 0) INTO v_balance_check FROM bookkeeper.journal_lines WHERE journal_entry_id = v_journal_entry_id; It computes the net difference across all saved lines for that specific journal entry.</w:t>
      </w:r>
    </w:p>
    <w:p>
      <w:pPr>
        <w:spacing w:before="80" w:after="80"/>
        <w:ind w:left="288"/>
      </w:pPr>
      <w:r>
        <w:rPr>
          <w:b/>
          <w:color w:val="4B6B94"/>
        </w:rPr>
        <w:t xml:space="preserve">• Step 6: Enforced Rollback or Commit Completion: </w:t>
      </w:r>
      <w:r>
        <w:rPr>
          <w:sz w:val="20"/>
        </w:rPr>
        <w:t>If v_balance_check != 0, the function executes RAISE EXCEPTION 'Transaction ID % is unbalanced...'. This immediately aborts the transaction, rolling back all uncommitted changes. If v_balance_check == 0, the commit completes successfully.</w:t>
      </w:r>
    </w:p>
    <w:p/>
    <w:p>
      <w:pPr>
        <w:spacing w:before="280" w:after="120"/>
      </w:pPr>
      <w:r>
        <w:rPr>
          <w:b/>
          <w:color w:val="1B365D"/>
          <w:sz w:val="30"/>
        </w:rPr>
        <w:t>4. Crucial Architectural Insights &amp; SEC Filing Impact</w:t>
      </w:r>
    </w:p>
    <w:p>
      <w:pPr>
        <w:spacing w:before="120" w:after="80"/>
      </w:pPr>
      <w:r>
        <w:rPr>
          <w:b/>
          <w:color w:val="4B6B94"/>
          <w:sz w:val="24"/>
        </w:rPr>
        <w:t>4.1 Why DEFERRABLE is Mandatory for Double-Entry Accounting</w:t>
      </w:r>
    </w:p>
    <w:p>
      <w:pPr>
        <w:spacing w:after="160" w:line="276" w:lineRule="auto"/>
      </w:pPr>
      <w:r>
        <w:t xml:space="preserve">In SQL relational databases, tables are populated row-by-row. If a standard (IMMEDIATE) trigger were used on </w:t>
      </w:r>
      <w:r>
        <w:rPr>
          <w:rFonts w:ascii="Consolas" w:hAnsi="Consolas"/>
          <w:sz w:val="20"/>
        </w:rPr>
        <w:t>journal_lines</w:t>
      </w:r>
      <w:r>
        <w:t xml:space="preserve">, inserting the first debit line would immediately trigger the balance check. Because the matching credit line hasn't been inserted yet, total debits would exceed total credits, causing the database to reject the first line! The </w:t>
      </w:r>
      <w:r>
        <w:rPr>
          <w:b/>
        </w:rPr>
        <w:t>DEFERRABLE INITIALLY DEFERRED</w:t>
      </w:r>
      <w:r>
        <w:t xml:space="preserve"> clause resolves this fundamental limitation by postponing validation until all lines within the transaction block have been inserted.</w:t>
      </w:r>
    </w:p>
    <w:p>
      <w:pPr>
        <w:spacing w:before="160" w:after="80"/>
      </w:pPr>
      <w:r>
        <w:rPr>
          <w:b/>
          <w:color w:val="4B6B94"/>
          <w:sz w:val="24"/>
        </w:rPr>
        <w:t>4.2 Upstream Protection of General Ledger &amp; 10-K Reports</w:t>
      </w:r>
    </w:p>
    <w:p>
      <w:pPr>
        <w:spacing w:after="160" w:line="276" w:lineRule="auto"/>
      </w:pPr>
      <w:r>
        <w:t xml:space="preserve">In Section 4 of the schema, the view </w:t>
      </w:r>
      <w:r>
        <w:rPr>
          <w:rFonts w:ascii="Consolas" w:hAnsi="Consolas"/>
          <w:sz w:val="20"/>
        </w:rPr>
        <w:t>bookkeeper.general_ledger</w:t>
      </w:r>
      <w:r>
        <w:t xml:space="preserve"> aggregates posted journal entries. Sub-ledgers (Accounts Payable, Accounts Receivable, Assets, and Depreciation) link directly to </w:t>
      </w:r>
      <w:r>
        <w:rPr>
          <w:rFonts w:ascii="Consolas" w:hAnsi="Consolas"/>
          <w:sz w:val="20"/>
        </w:rPr>
        <w:t>journal_entries</w:t>
      </w:r>
      <w:r>
        <w:t xml:space="preserve"> via foreign keys (e.g., </w:t>
      </w:r>
      <w:r>
        <w:rPr>
          <w:rFonts w:ascii="Consolas" w:hAnsi="Consolas"/>
          <w:sz w:val="20"/>
        </w:rPr>
        <w:t>recognition_entry_id</w:t>
      </w:r>
      <w:r>
        <w:t xml:space="preserve">, </w:t>
      </w:r>
      <w:r>
        <w:rPr>
          <w:rFonts w:ascii="Consolas" w:hAnsi="Consolas"/>
          <w:sz w:val="20"/>
        </w:rPr>
        <w:t>settlement_entry_id</w:t>
      </w:r>
      <w:r>
        <w:t xml:space="preserve">). Because the trigger guarantees that no unbalanced journal entry can ever exist in </w:t>
      </w:r>
      <w:r>
        <w:rPr>
          <w:rFonts w:ascii="Consolas" w:hAnsi="Consolas"/>
          <w:sz w:val="20"/>
        </w:rPr>
        <w:t>journal_lines</w:t>
      </w:r>
      <w:r>
        <w:t>, all general ledger reporting, trial balance calculations, financial statements (Balance Sheet, Income Statement, Cash Flows), and SEC Form 10-K disclosures inherit guaranteed mathematical integrity.</w:t>
      </w:r>
    </w:p>
    <w:p>
      <w:pPr>
        <w:spacing w:before="160" w:after="80"/>
      </w:pPr>
      <w:r>
        <w:rPr>
          <w:b/>
          <w:color w:val="4B6B94"/>
          <w:sz w:val="24"/>
        </w:rPr>
        <w:t>4.3 Row-Level vs. Statement-Level Execution Behavior</w:t>
      </w:r>
    </w:p>
    <w:p>
      <w:pPr>
        <w:spacing w:after="240" w:line="276" w:lineRule="auto"/>
      </w:pPr>
      <w:r>
        <w:t xml:space="preserve">The trigger is defined as </w:t>
      </w:r>
      <w:r>
        <w:rPr>
          <w:b/>
        </w:rPr>
        <w:t>FOR EACH ROW</w:t>
      </w:r>
      <w:r>
        <w:t xml:space="preserve">. When a transaction inserts N lines for a single journal entry, PostgreSQL queues N individual evaluations at COMMIT time. While each evaluation performs the exact same sum check on </w:t>
      </w:r>
      <w:r>
        <w:rPr>
          <w:rFonts w:ascii="Consolas" w:hAnsi="Consolas"/>
          <w:sz w:val="20"/>
        </w:rPr>
        <w:t>v_journal_entry_id</w:t>
      </w:r>
      <w:r>
        <w:t>, the deferred enforcement guarantees full transactional safety. If any line modification violates the zero-balance rule, the entire batch is aborted.</w:t>
      </w:r>
    </w:p>
    <w:p>
      <w:pPr>
        <w:spacing w:before="360" w:after="0"/>
        <w:jc w:val="right"/>
      </w:pPr>
      <w:r>
        <w:rPr>
          <w:color w:val="646464"/>
          <w:sz w:val="17"/>
        </w:rPr>
        <w:t>Database Architecture Documentation • SEC Financial Systems Controls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