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SQLAlchemy Database Interface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SQLAlchemy serves as the backend Object-Relational Mapper (ORM) and SQL toolkit, providing object-oriented access to the underlying SQL databases.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</w:rPr>
        <w:t>Module &amp; Schema Mapping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Times New Roman" w:hAnsi="Times New Roman"/>
          <w:b/>
        </w:rPr>
        <w:t>Authentication:</w:t>
      </w:r>
      <w:r>
        <w:rPr>
          <w:rFonts w:ascii="Times New Roman" w:hAnsi="Times New Roman"/>
        </w:rPr>
        <w:t xml:space="preserve"> </w:t>
      </w:r>
      <w:r>
        <w:rPr>
          <w:rStyle w:val="SourceText"/>
          <w:rFonts w:ascii="Times New Roman" w:hAnsi="Times New Roman"/>
        </w:rPr>
        <w:t>auth.py</w:t>
      </w:r>
      <w:r>
        <w:rPr>
          <w:rFonts w:ascii="Times New Roman" w:hAnsi="Times New Roman"/>
        </w:rPr>
        <w:t xml:space="preserve"> accesses the </w:t>
      </w:r>
      <w:r>
        <w:rPr>
          <w:rStyle w:val="SourceText"/>
          <w:rFonts w:ascii="Times New Roman" w:hAnsi="Times New Roman"/>
          <w:b/>
        </w:rPr>
        <w:t>applogins</w:t>
      </w:r>
      <w:r>
        <w:rPr>
          <w:rFonts w:ascii="Times New Roman" w:hAnsi="Times New Roman"/>
        </w:rPr>
        <w:t xml:space="preserve"> schema to handle user authorization (notably via </w:t>
      </w:r>
      <w:r>
        <w:rPr>
          <w:rStyle w:val="SourceText"/>
          <w:rFonts w:ascii="Times New Roman" w:hAnsi="Times New Roman"/>
        </w:rPr>
        <w:t>get_user_by_email</w:t>
      </w:r>
      <w:r>
        <w:rPr>
          <w:rFonts w:ascii="Times New Roman" w:hAnsi="Times New Roman"/>
        </w:rPr>
        <w:t>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Times New Roman" w:hAnsi="Times New Roman"/>
          <w:b/>
        </w:rPr>
        <w:t>Financial Services (10-Q / 10-K):</w:t>
      </w:r>
      <w:r>
        <w:rPr>
          <w:rFonts w:ascii="Times New Roman" w:hAnsi="Times New Roman"/>
        </w:rPr>
        <w:t xml:space="preserve"> </w:t>
      </w:r>
      <w:r>
        <w:rPr>
          <w:rStyle w:val="SourceText"/>
          <w:rFonts w:ascii="Times New Roman" w:hAnsi="Times New Roman"/>
        </w:rPr>
        <w:t>financial_service.py</w:t>
      </w:r>
      <w:r>
        <w:rPr>
          <w:rFonts w:ascii="Times New Roman" w:hAnsi="Times New Roman"/>
        </w:rPr>
        <w:t xml:space="preserve"> accesses the </w:t>
      </w:r>
      <w:r>
        <w:rPr>
          <w:rStyle w:val="SourceText"/>
          <w:rFonts w:ascii="Times New Roman" w:hAnsi="Times New Roman"/>
          <w:b/>
        </w:rPr>
        <w:t>bookkeeper</w:t>
      </w:r>
      <w:r>
        <w:rPr>
          <w:rFonts w:ascii="Times New Roman" w:hAnsi="Times New Roman"/>
        </w:rPr>
        <w:t xml:space="preserve"> schema. Key query functions include: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Times New Roman" w:hAnsi="Times New Roman"/>
        </w:rPr>
        <w:t>get_chart_of_accounts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Times New Roman" w:hAnsi="Times New Roman"/>
        </w:rPr>
        <w:t>get_loans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Times New Roman" w:hAnsi="Times New Roman"/>
        </w:rPr>
        <w:t>get_gl_balances_cumulative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Times New Roman" w:hAnsi="Times New Roman"/>
        </w:rPr>
        <w:t>get_gl_balances_range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Times New Roman" w:hAnsi="Times New Roman"/>
        </w:rPr>
        <w:t>_acct_bal_as_of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</w:rPr>
        <w:t>Data Serialization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Times New Roman" w:hAnsi="Times New Roman"/>
        </w:rPr>
        <w:t xml:space="preserve">Query results populate specialized data models defined in </w:t>
      </w:r>
      <w:r>
        <w:rPr>
          <w:rStyle w:val="SourceText"/>
          <w:rFonts w:ascii="Times New Roman" w:hAnsi="Times New Roman"/>
        </w:rPr>
        <w:t>schemas.py</w:t>
      </w:r>
      <w:r>
        <w:rPr>
          <w:rFonts w:ascii="Times New Roman" w:hAnsi="Times New Roman"/>
        </w:rPr>
        <w:t xml:space="preserve">—including </w:t>
      </w:r>
      <w:r>
        <w:rPr>
          <w:rStyle w:val="SourceText"/>
          <w:rFonts w:ascii="Times New Roman" w:hAnsi="Times New Roman"/>
        </w:rPr>
        <w:t>BalanceSheetRow</w:t>
      </w:r>
      <w:r>
        <w:rPr>
          <w:rFonts w:ascii="Times New Roman" w:hAnsi="Times New Roman"/>
        </w:rPr>
        <w:t xml:space="preserve">, </w:t>
      </w:r>
      <w:r>
        <w:rPr>
          <w:rStyle w:val="SourceText"/>
          <w:rFonts w:ascii="Times New Roman" w:hAnsi="Times New Roman"/>
        </w:rPr>
        <w:t>IncomeStatementRow</w:t>
      </w:r>
      <w:r>
        <w:rPr>
          <w:rFonts w:ascii="Times New Roman" w:hAnsi="Times New Roman"/>
        </w:rPr>
        <w:t xml:space="preserve">, </w:t>
      </w:r>
      <w:r>
        <w:rPr>
          <w:rStyle w:val="SourceText"/>
          <w:rFonts w:ascii="Times New Roman" w:hAnsi="Times New Roman"/>
        </w:rPr>
        <w:t>CashFlowRow</w:t>
      </w:r>
      <w:r>
        <w:rPr>
          <w:rFonts w:ascii="Times New Roman" w:hAnsi="Times New Roman"/>
        </w:rPr>
        <w:t xml:space="preserve">, and </w:t>
      </w:r>
      <w:r>
        <w:rPr>
          <w:rStyle w:val="SourceText"/>
          <w:rFonts w:ascii="Times New Roman" w:hAnsi="Times New Roman"/>
        </w:rPr>
        <w:t>StockholdersEquityRow</w:t>
      </w:r>
      <w:r>
        <w:rPr>
          <w:rFonts w:ascii="Times New Roman" w:hAnsi="Times New Roman"/>
        </w:rPr>
        <w:t>—which are then passed as structured responses to the frontend.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24576"/>
        </w:sectPr>
      </w:pP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2</TotalTime>
  <Application>LibreOffice/26.2.4.2$Windows_X86_64 LibreOffice_project/0229ac93fcf0d7cbc6376066c6f35021cef002dc</Application>
  <AppVersion>15.0000</AppVersion>
  <Pages>1</Pages>
  <Words>92</Words>
  <Characters>691</Characters>
  <CharactersWithSpaces>762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2026-08-18T15:04:24Z</dcterms:created>
  <dc:creator/>
  <dc:description/>
  <dc:language>en-US</dc:language>
  <cp:lastModifiedBy/>
  <dcterms:modified xsi:type="dcterms:W3CDTF">2026-08-18T15:07:20Z</dcterms:modified>
  <cp:revision>2</cp:revision>
  <dc:subject/>
  <dc:title>My Para Style</dc:title>
</cp:coreProperties>
</file>