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283"/>
        <w:jc w:val="start"/>
        <w:rPr/>
      </w:pPr>
      <w:r>
        <w:rPr/>
      </w:r>
    </w:p>
    <w:p>
      <w:pPr>
        <w:pStyle w:val="BodyText"/>
        <w:bidi w:val="0"/>
        <w:spacing w:lineRule="auto" w:line="276" w:before="0" w:after="140"/>
        <w:jc w:val="start"/>
        <w:rPr/>
      </w:pPr>
      <w:r>
        <w:rPr/>
        <w:t>For 10-Qs and 10-Ks filed on EDGAR, XBRL isn't optional — it's the machine-readable layer the SEC uses to turn your narrative filing into data.</w:t>
      </w:r>
    </w:p>
    <w:p>
      <w:pPr>
        <w:pStyle w:val="Heading2"/>
        <w:bidi w:val="0"/>
        <w:ind w:hanging="0" w:start="0"/>
        <w:jc w:val="start"/>
        <w:rPr/>
      </w:pPr>
      <w:r>
        <w:rPr/>
        <w:t>XBRL in one sentence</w:t>
      </w:r>
    </w:p>
    <w:p>
      <w:pPr>
        <w:pStyle w:val="BodyText"/>
        <w:bidi w:val="0"/>
        <w:jc w:val="start"/>
        <w:rPr/>
      </w:pPr>
      <w:r>
        <w:rPr/>
        <w:t>XBRL (eXtensible Business Reporting Language) is just a set of rules for attaching identifying codes — "tags" — to each item of financial information. Think of it as bar-coding for financial information.</w:t>
      </w:r>
    </w:p>
    <w:p>
      <w:pPr>
        <w:pStyle w:val="BodyText"/>
        <w:bidi w:val="0"/>
        <w:jc w:val="start"/>
        <w:rPr/>
      </w:pPr>
      <w:r>
        <w:rPr/>
        <w:t>Early on, Microsoft described it the same way: XBRL is an XML-based schema that lets business reporting data be represented in a "digital language" so it can be easily transported and analyzed by XBRL-aware applications.</w:t>
      </w:r>
    </w:p>
    <w:p>
      <w:pPr>
        <w:pStyle w:val="Heading2"/>
        <w:bidi w:val="0"/>
        <w:ind w:hanging="0" w:start="0"/>
        <w:jc w:val="start"/>
        <w:rPr/>
      </w:pPr>
      <w:r>
        <w:rPr/>
        <w:t>Why the SEC requires it for 10-K and 10-Q</w:t>
      </w:r>
    </w:p>
    <w:p>
      <w:pPr>
        <w:pStyle w:val="BodyText"/>
        <w:numPr>
          <w:ilvl w:val="0"/>
          <w:numId w:val="2"/>
        </w:numPr>
        <w:tabs>
          <w:tab w:val="clear" w:pos="709"/>
          <w:tab w:val="left" w:pos="709" w:leader="none"/>
        </w:tabs>
        <w:bidi w:val="0"/>
        <w:ind w:hanging="283" w:start="709"/>
        <w:jc w:val="start"/>
        <w:rPr/>
      </w:pPr>
      <w:r>
        <w:rPr/>
        <w:t>In 2018 the SEC adopted amendments to require Inline XBRL for operating company financial statement information. The goal: improve usefulness, timeliness, and quality, and over time decrease preparation cost.</w:t>
      </w:r>
    </w:p>
    <w:p>
      <w:pPr>
        <w:pStyle w:val="BodyText"/>
        <w:numPr>
          <w:ilvl w:val="0"/>
          <w:numId w:val="2"/>
        </w:numPr>
        <w:tabs>
          <w:tab w:val="clear" w:pos="709"/>
          <w:tab w:val="left" w:pos="709" w:leader="none"/>
        </w:tabs>
        <w:bidi w:val="0"/>
        <w:ind w:hanging="283" w:start="709"/>
        <w:jc w:val="start"/>
        <w:rPr/>
      </w:pPr>
      <w:r>
        <w:rPr/>
        <w:t>Effective date: September 17, 2018.</w:t>
      </w:r>
    </w:p>
    <w:p>
      <w:pPr>
        <w:pStyle w:val="BodyText"/>
        <w:numPr>
          <w:ilvl w:val="0"/>
          <w:numId w:val="2"/>
        </w:numPr>
        <w:tabs>
          <w:tab w:val="clear" w:pos="709"/>
          <w:tab w:val="left" w:pos="709" w:leader="none"/>
        </w:tabs>
        <w:bidi w:val="0"/>
        <w:ind w:hanging="283" w:start="709"/>
        <w:jc w:val="start"/>
        <w:rPr/>
      </w:pPr>
      <w:r>
        <w:rPr/>
        <w:t>Every 10-K cover page now asks: "has the registrant submitted electronically every Interactive Data File required to be submitted pursuant to Rule 405 of Regulation S-T?" — Apple Inc. checks "Yes", and the same language appears in recent 10-Qs.</w:t>
      </w:r>
    </w:p>
    <w:p>
      <w:pPr>
        <w:pStyle w:val="BodyText"/>
        <w:bidi w:val="0"/>
        <w:jc w:val="start"/>
        <w:rPr/>
      </w:pPr>
      <w:r>
        <w:rPr/>
        <w:t>That "Interactive Data File" is your XBRL instance, embedded directly in the HTML filing (Inline XBRL), not a separate exhibit.</w:t>
      </w:r>
    </w:p>
    <w:p>
      <w:pPr>
        <w:pStyle w:val="Heading2"/>
        <w:bidi w:val="0"/>
        <w:ind w:hanging="0" w:start="0"/>
        <w:jc w:val="start"/>
        <w:rPr/>
      </w:pPr>
      <w:r>
        <w:rPr/>
        <w:t>The Lego pieces you need to know</w:t>
      </w:r>
    </w:p>
    <w:p>
      <w:pPr>
        <w:pStyle w:val="BodyText"/>
        <w:bidi w:val="0"/>
        <w:jc w:val="start"/>
        <w:rPr/>
      </w:pPr>
      <w:r>
        <w:rPr/>
        <w:t>From the SEC's own glossary:</w:t>
      </w:r>
    </w:p>
    <w:p>
      <w:pPr>
        <w:pStyle w:val="BodyText"/>
        <w:numPr>
          <w:ilvl w:val="0"/>
          <w:numId w:val="3"/>
        </w:numPr>
        <w:tabs>
          <w:tab w:val="clear" w:pos="709"/>
          <w:tab w:val="left" w:pos="709" w:leader="none"/>
        </w:tabs>
        <w:bidi w:val="0"/>
        <w:ind w:hanging="283" w:start="709"/>
        <w:jc w:val="start"/>
        <w:rPr/>
      </w:pPr>
      <w:r>
        <w:rPr>
          <w:b/>
        </w:rPr>
        <w:t>Taxonomy</w:t>
      </w:r>
      <w:r>
        <w:rPr/>
        <w:t>: an electronic dictionary of business reporting elements — the.xsd schema plus relationship files that define concepts.</w:t>
      </w:r>
    </w:p>
    <w:p>
      <w:pPr>
        <w:pStyle w:val="BodyText"/>
        <w:numPr>
          <w:ilvl w:val="0"/>
          <w:numId w:val="3"/>
        </w:numPr>
        <w:tabs>
          <w:tab w:val="clear" w:pos="709"/>
          <w:tab w:val="left" w:pos="709" w:leader="none"/>
        </w:tabs>
        <w:bidi w:val="0"/>
        <w:ind w:hanging="283" w:start="709"/>
        <w:jc w:val="start"/>
        <w:rPr/>
      </w:pPr>
      <w:r>
        <w:rPr>
          <w:b/>
        </w:rPr>
        <w:t>Element (concept)</w:t>
      </w:r>
      <w:r>
        <w:rPr/>
        <w:t>: the representation of a financial reporting concept, like line items on the face of the statements.</w:t>
      </w:r>
    </w:p>
    <w:p>
      <w:pPr>
        <w:pStyle w:val="BodyText"/>
        <w:numPr>
          <w:ilvl w:val="0"/>
          <w:numId w:val="3"/>
        </w:numPr>
        <w:tabs>
          <w:tab w:val="clear" w:pos="709"/>
          <w:tab w:val="left" w:pos="709" w:leader="none"/>
        </w:tabs>
        <w:bidi w:val="0"/>
        <w:ind w:hanging="283" w:start="709"/>
        <w:jc w:val="start"/>
        <w:rPr/>
      </w:pPr>
      <w:r>
        <w:rPr>
          <w:b/>
        </w:rPr>
        <w:t>Fact</w:t>
      </w:r>
      <w:r>
        <w:rPr/>
        <w:t>: the occurrence in an instance document of a value tagged by an element.</w:t>
      </w:r>
    </w:p>
    <w:p>
      <w:pPr>
        <w:pStyle w:val="BodyText"/>
        <w:numPr>
          <w:ilvl w:val="0"/>
          <w:numId w:val="3"/>
        </w:numPr>
        <w:tabs>
          <w:tab w:val="clear" w:pos="709"/>
          <w:tab w:val="left" w:pos="709" w:leader="none"/>
        </w:tabs>
        <w:bidi w:val="0"/>
        <w:ind w:hanging="283" w:start="709"/>
        <w:jc w:val="start"/>
        <w:rPr/>
      </w:pPr>
      <w:r>
        <w:rPr>
          <w:b/>
        </w:rPr>
        <w:t>Context</w:t>
      </w:r>
      <w:r>
        <w:rPr/>
        <w:t>: the entity and report-specific information — reporting period, instant vs duration, segment — that lets a tagged number be understood.</w:t>
      </w:r>
    </w:p>
    <w:p>
      <w:pPr>
        <w:pStyle w:val="BodyText"/>
        <w:numPr>
          <w:ilvl w:val="0"/>
          <w:numId w:val="3"/>
        </w:numPr>
        <w:tabs>
          <w:tab w:val="clear" w:pos="709"/>
          <w:tab w:val="left" w:pos="709" w:leader="none"/>
        </w:tabs>
        <w:bidi w:val="0"/>
        <w:ind w:hanging="283" w:start="709"/>
        <w:jc w:val="start"/>
        <w:rPr/>
      </w:pPr>
      <w:r>
        <w:rPr>
          <w:b/>
        </w:rPr>
        <w:t>Namespace prefix</w:t>
      </w:r>
      <w:r>
        <w:rPr/>
        <w:t xml:space="preserve">: "us-gaap" is shorthand for the US GAAP namespace </w:t>
      </w:r>
      <w:hyperlink r:id="rId2">
        <w:r>
          <w:rPr>
            <w:rStyle w:val="Hyperlink"/>
          </w:rPr>
          <w:t>http://xbrl.us/us-gaap/</w:t>
        </w:r>
      </w:hyperlink>
      <w:r>
        <w:rPr/>
        <w:t>....</w:t>
      </w:r>
    </w:p>
    <w:p>
      <w:pPr>
        <w:pStyle w:val="BodyText"/>
        <w:numPr>
          <w:ilvl w:val="0"/>
          <w:numId w:val="3"/>
        </w:numPr>
        <w:tabs>
          <w:tab w:val="clear" w:pos="709"/>
          <w:tab w:val="left" w:pos="709" w:leader="none"/>
        </w:tabs>
        <w:bidi w:val="0"/>
        <w:ind w:hanging="283" w:start="709"/>
        <w:jc w:val="start"/>
        <w:rPr/>
      </w:pPr>
      <w:r>
        <w:rPr>
          <w:b/>
        </w:rPr>
        <w:t>Axis / dimension</w:t>
      </w:r>
      <w:r>
        <w:rPr/>
        <w:t>: a way to slice a fact — e.g., revenue by business unit, country, product.</w:t>
      </w:r>
    </w:p>
    <w:p>
      <w:pPr>
        <w:pStyle w:val="Heading2"/>
        <w:numPr>
          <w:ilvl w:val="0"/>
          <w:numId w:val="0"/>
        </w:numPr>
        <w:bidi w:val="0"/>
        <w:ind w:hanging="0" w:start="0"/>
        <w:jc w:val="start"/>
        <w:rPr/>
      </w:pPr>
      <w:r>
        <w:rPr/>
        <w:t>How it lives inside a 10-K</w:t>
      </w:r>
    </w:p>
    <w:p>
      <w:pPr>
        <w:pStyle w:val="BodyText"/>
        <w:bidi w:val="0"/>
        <w:jc w:val="start"/>
        <w:rPr/>
      </w:pPr>
      <w:r>
        <w:rPr/>
        <w:t>With Inline XBRL, you don't see a wall of XML anymore. The filing looks like normal HTML, but numbers are wrapped in invisible tags. Open any recent 10-K in the SEC's Inline XBRL Viewer and hover — the number lights up and shows its tag, context, and unit.</w:t>
      </w:r>
    </w:p>
    <w:p>
      <w:pPr>
        <w:pStyle w:val="BodyText"/>
        <w:bidi w:val="0"/>
        <w:jc w:val="start"/>
        <w:rPr/>
      </w:pPr>
      <w:r>
        <w:rPr/>
        <w:t>Behind the scenes, a fact looks like this in the source:</w:t>
      </w:r>
    </w:p>
    <w:p>
      <w:pPr>
        <w:pStyle w:val="PreformattedText"/>
        <w:shd w:fill="E1E1E1" w:val="clear"/>
        <w:bidi w:val="0"/>
        <w:spacing w:before="0" w:after="283"/>
        <w:jc w:val="start"/>
        <w:rPr/>
      </w:pPr>
      <w:r>
        <w:rPr/>
        <w:t>&lt;us-gaap:Revenues</w:t>
        <w:br/>
        <w:t xml:space="preserve">  contextRef="FY2024"</w:t>
        <w:br/>
        <w:t xml:space="preserve">  unitRef="USD"</w:t>
        <w:br/>
        <w:t xml:space="preserve">  decimals="-6"&gt;391035&lt;/us-gaap:Revenues&gt;</w:t>
      </w:r>
    </w:p>
    <w:p>
      <w:pPr>
        <w:pStyle w:val="BodyText"/>
        <w:numPr>
          <w:ilvl w:val="0"/>
          <w:numId w:val="4"/>
        </w:numPr>
        <w:tabs>
          <w:tab w:val="clear" w:pos="709"/>
          <w:tab w:val="left" w:pos="709" w:leader="none"/>
        </w:tabs>
        <w:bidi w:val="0"/>
        <w:ind w:hanging="283" w:start="709"/>
        <w:jc w:val="start"/>
        <w:rPr/>
      </w:pPr>
      <w:r>
        <w:rPr>
          <w:rFonts w:ascii="Liberation Mono" w:hAnsi="Liberation Mono"/>
        </w:rPr>
        <w:t>us-gaap:Revenues</w:t>
      </w:r>
      <w:r>
        <w:rPr/>
        <w:t xml:space="preserve"> = the element from the US GAAP taxonomy</w:t>
      </w:r>
    </w:p>
    <w:p>
      <w:pPr>
        <w:pStyle w:val="BodyText"/>
        <w:numPr>
          <w:ilvl w:val="0"/>
          <w:numId w:val="4"/>
        </w:numPr>
        <w:tabs>
          <w:tab w:val="clear" w:pos="709"/>
          <w:tab w:val="left" w:pos="709" w:leader="none"/>
        </w:tabs>
        <w:bidi w:val="0"/>
        <w:ind w:hanging="283" w:start="709"/>
        <w:jc w:val="start"/>
        <w:rPr/>
      </w:pPr>
      <w:r>
        <w:rPr>
          <w:rFonts w:ascii="Liberation Mono" w:hAnsi="Liberation Mono"/>
        </w:rPr>
        <w:t>contextRef="FY2024"</w:t>
      </w:r>
      <w:r>
        <w:rPr/>
        <w:t xml:space="preserve"> = points to a context defining Apple Inc., duration 2023-10-01 to 2024-09-28</w:t>
      </w:r>
    </w:p>
    <w:p>
      <w:pPr>
        <w:pStyle w:val="BodyText"/>
        <w:numPr>
          <w:ilvl w:val="0"/>
          <w:numId w:val="4"/>
        </w:numPr>
        <w:tabs>
          <w:tab w:val="clear" w:pos="709"/>
          <w:tab w:val="left" w:pos="709" w:leader="none"/>
        </w:tabs>
        <w:bidi w:val="0"/>
        <w:ind w:hanging="283" w:start="709"/>
        <w:jc w:val="start"/>
        <w:rPr/>
      </w:pPr>
      <w:r>
        <w:rPr>
          <w:rFonts w:ascii="Liberation Mono" w:hAnsi="Liberation Mono"/>
        </w:rPr>
        <w:t>unitRef="USD"</w:t>
      </w:r>
      <w:r>
        <w:rPr/>
        <w:t xml:space="preserve"> = US dollars</w:t>
      </w:r>
    </w:p>
    <w:p>
      <w:pPr>
        <w:pStyle w:val="BodyText"/>
        <w:numPr>
          <w:ilvl w:val="0"/>
          <w:numId w:val="4"/>
        </w:numPr>
        <w:tabs>
          <w:tab w:val="clear" w:pos="709"/>
          <w:tab w:val="left" w:pos="709" w:leader="none"/>
        </w:tabs>
        <w:bidi w:val="0"/>
        <w:ind w:hanging="283" w:start="709"/>
        <w:jc w:val="start"/>
        <w:rPr/>
      </w:pPr>
      <w:r>
        <w:rPr>
          <w:rFonts w:ascii="Liberation Mono" w:hAnsi="Liberation Mono"/>
        </w:rPr>
        <w:t>decimals="-6"</w:t>
      </w:r>
      <w:r>
        <w:rPr/>
        <w:t xml:space="preserve"> = rounded to millions (391,035 = $391,035 million)</w:t>
      </w:r>
    </w:p>
    <w:p>
      <w:pPr>
        <w:pStyle w:val="Heading2"/>
        <w:numPr>
          <w:ilvl w:val="0"/>
          <w:numId w:val="0"/>
        </w:numPr>
        <w:bidi w:val="0"/>
        <w:ind w:hanging="0" w:start="0"/>
        <w:jc w:val="start"/>
        <w:rPr/>
      </w:pPr>
      <w:r>
        <w:rPr/>
        <w:t>3 real-world 10-K style examples</w:t>
      </w:r>
    </w:p>
    <w:p>
      <w:pPr>
        <w:pStyle w:val="BodyText"/>
        <w:bidi w:val="0"/>
        <w:jc w:val="start"/>
        <w:rPr/>
      </w:pPr>
      <w:r>
        <w:rPr/>
        <w:t>These mirror what you'd see tagging the core statements in a Form 10-K:</w:t>
      </w:r>
    </w:p>
    <w:p>
      <w:pPr>
        <w:pStyle w:val="Heading3"/>
        <w:bidi w:val="0"/>
        <w:ind w:hanging="0" w:start="0"/>
        <w:jc w:val="start"/>
        <w:rPr/>
      </w:pPr>
      <w:r>
        <w:rPr/>
        <w:t>1. Income statement — total revenues</w:t>
      </w:r>
    </w:p>
    <w:p>
      <w:pPr>
        <w:pStyle w:val="PreformattedText"/>
        <w:shd w:fill="E1E1E1" w:val="clear"/>
        <w:bidi w:val="0"/>
        <w:spacing w:before="0" w:after="283"/>
        <w:jc w:val="start"/>
        <w:rPr/>
      </w:pPr>
      <w:r>
        <w:rPr/>
        <w:t>&lt;us-gaap:RevenueFromContractWithCustomerExcludingAssessedTax</w:t>
        <w:br/>
        <w:t xml:space="preserve">  contextRef="c2024_Duration"</w:t>
        <w:br/>
        <w:t xml:space="preserve">  unitRef="usd"</w:t>
        <w:br/>
        <w:t xml:space="preserve">  decimals="-3"&gt;383285000&lt;/us-gaap:RevenueFromContractWithCustomerExcludingAssessedTax&gt;</w:t>
      </w:r>
    </w:p>
    <w:p>
      <w:pPr>
        <w:pStyle w:val="BodyText"/>
        <w:numPr>
          <w:ilvl w:val="0"/>
          <w:numId w:val="5"/>
        </w:numPr>
        <w:tabs>
          <w:tab w:val="clear" w:pos="709"/>
          <w:tab w:val="left" w:pos="709" w:leader="none"/>
        </w:tabs>
        <w:bidi w:val="0"/>
        <w:ind w:hanging="283" w:start="709"/>
        <w:jc w:val="start"/>
        <w:rPr/>
      </w:pPr>
      <w:r>
        <w:rPr/>
        <w:t>Used for the top line in many tech 10-Ks. Duration context because revenue covers a period.</w:t>
      </w:r>
    </w:p>
    <w:p>
      <w:pPr>
        <w:pStyle w:val="Heading3"/>
        <w:numPr>
          <w:ilvl w:val="0"/>
          <w:numId w:val="0"/>
        </w:numPr>
        <w:bidi w:val="0"/>
        <w:ind w:hanging="0" w:start="0"/>
        <w:jc w:val="start"/>
        <w:rPr/>
      </w:pPr>
      <w:r>
        <w:rPr/>
        <w:t>2. Balance sheet — total assets</w:t>
      </w:r>
    </w:p>
    <w:p>
      <w:pPr>
        <w:pStyle w:val="PreformattedText"/>
        <w:shd w:fill="E1E1E1" w:val="clear"/>
        <w:bidi w:val="0"/>
        <w:spacing w:before="0" w:after="283"/>
        <w:jc w:val="start"/>
        <w:rPr/>
      </w:pPr>
      <w:r>
        <w:rPr/>
        <w:t>&lt;us-gaap:Assets</w:t>
        <w:br/>
        <w:t xml:space="preserve">  contextRef="c2024_Instant"</w:t>
        <w:br/>
        <w:t xml:space="preserve">  unitRef="usd"</w:t>
        <w:br/>
        <w:t xml:space="preserve">  decimals="-3"&gt;352755000&lt;/us-gaap:Assets&gt;</w:t>
      </w:r>
    </w:p>
    <w:p>
      <w:pPr>
        <w:pStyle w:val="BodyText"/>
        <w:numPr>
          <w:ilvl w:val="0"/>
          <w:numId w:val="6"/>
        </w:numPr>
        <w:tabs>
          <w:tab w:val="clear" w:pos="709"/>
          <w:tab w:val="left" w:pos="709" w:leader="none"/>
        </w:tabs>
        <w:bidi w:val="0"/>
        <w:ind w:hanging="283" w:start="709"/>
        <w:jc w:val="start"/>
        <w:rPr/>
      </w:pPr>
      <w:r>
        <w:rPr/>
        <w:t>Instant context (as of September 28, 2024) because balance sheet is a point in time. Balance attribute in the taxonomy marks this as a debit.</w:t>
      </w:r>
    </w:p>
    <w:p>
      <w:pPr>
        <w:pStyle w:val="Heading3"/>
        <w:numPr>
          <w:ilvl w:val="0"/>
          <w:numId w:val="0"/>
        </w:numPr>
        <w:bidi w:val="0"/>
        <w:ind w:hanging="0" w:start="0"/>
        <w:jc w:val="start"/>
        <w:rPr/>
      </w:pPr>
      <w:r>
        <w:rPr/>
        <w:t>3. Dimensional breakdown — revenue by segment</w:t>
      </w:r>
    </w:p>
    <w:p>
      <w:pPr>
        <w:pStyle w:val="PreformattedText"/>
        <w:shd w:fill="E1E1E1" w:val="clear"/>
        <w:bidi w:val="0"/>
        <w:spacing w:before="0" w:after="283"/>
        <w:jc w:val="start"/>
        <w:rPr/>
      </w:pPr>
      <w:r>
        <w:rPr/>
        <w:t>&lt;us-gaap:RevenueFromContractWithCustomerExcludingAssessedTax</w:t>
        <w:br/>
        <w:t xml:space="preserve">  contextRef="c2024_Americas"</w:t>
        <w:br/>
        <w:t xml:space="preserve">  unitRef="usd"</w:t>
        <w:br/>
        <w:t xml:space="preserve">  decimals="-3"&gt;167000000&lt;/us-gaap:RevenueFromContractWithCustomerExcludingAssessedTax&gt;</w:t>
      </w:r>
    </w:p>
    <w:p>
      <w:pPr>
        <w:pStyle w:val="BodyText"/>
        <w:bidi w:val="0"/>
        <w:jc w:val="start"/>
        <w:rPr/>
      </w:pPr>
      <w:r>
        <w:rPr/>
        <w:t xml:space="preserve">Where </w:t>
      </w:r>
      <w:r>
        <w:rPr>
          <w:rFonts w:ascii="Liberation Mono" w:hAnsi="Liberation Mono"/>
        </w:rPr>
        <w:t>c2024_Americas</w:t>
      </w:r>
      <w:r>
        <w:rPr/>
        <w:t xml:space="preserve"> includes:</w:t>
      </w:r>
    </w:p>
    <w:p>
      <w:pPr>
        <w:pStyle w:val="BodyText"/>
        <w:numPr>
          <w:ilvl w:val="0"/>
          <w:numId w:val="7"/>
        </w:numPr>
        <w:tabs>
          <w:tab w:val="clear" w:pos="709"/>
          <w:tab w:val="left" w:pos="709" w:leader="none"/>
        </w:tabs>
        <w:bidi w:val="0"/>
        <w:ind w:hanging="283" w:start="709"/>
        <w:jc w:val="start"/>
        <w:rPr/>
      </w:pPr>
      <w:r>
        <w:rPr/>
        <w:t>Entity: Apple Inc.</w:t>
      </w:r>
    </w:p>
    <w:p>
      <w:pPr>
        <w:pStyle w:val="BodyText"/>
        <w:numPr>
          <w:ilvl w:val="0"/>
          <w:numId w:val="7"/>
        </w:numPr>
        <w:tabs>
          <w:tab w:val="clear" w:pos="709"/>
          <w:tab w:val="left" w:pos="709" w:leader="none"/>
        </w:tabs>
        <w:bidi w:val="0"/>
        <w:ind w:hanging="283" w:start="709"/>
        <w:jc w:val="start"/>
        <w:rPr/>
      </w:pPr>
      <w:r>
        <w:rPr/>
        <w:t>Period: FY2024</w:t>
      </w:r>
    </w:p>
    <w:p>
      <w:pPr>
        <w:pStyle w:val="BodyText"/>
        <w:numPr>
          <w:ilvl w:val="0"/>
          <w:numId w:val="7"/>
        </w:numPr>
        <w:tabs>
          <w:tab w:val="clear" w:pos="709"/>
          <w:tab w:val="left" w:pos="709" w:leader="none"/>
        </w:tabs>
        <w:bidi w:val="0"/>
        <w:ind w:hanging="283" w:start="709"/>
        <w:jc w:val="start"/>
        <w:rPr/>
      </w:pPr>
      <w:r>
        <w:rPr/>
        <w:t xml:space="preserve">Axis: </w:t>
      </w:r>
      <w:r>
        <w:rPr>
          <w:rFonts w:ascii="Liberation Mono" w:hAnsi="Liberation Mono"/>
        </w:rPr>
        <w:t>us-gaap:StatementBusinessSegmentsAxis</w:t>
      </w:r>
    </w:p>
    <w:p>
      <w:pPr>
        <w:pStyle w:val="BodyText"/>
        <w:numPr>
          <w:ilvl w:val="0"/>
          <w:numId w:val="7"/>
        </w:numPr>
        <w:tabs>
          <w:tab w:val="clear" w:pos="709"/>
          <w:tab w:val="left" w:pos="709" w:leader="none"/>
        </w:tabs>
        <w:bidi w:val="0"/>
        <w:ind w:hanging="283" w:start="709"/>
        <w:jc w:val="start"/>
        <w:rPr/>
      </w:pPr>
      <w:r>
        <w:rPr/>
        <w:t xml:space="preserve">Member: </w:t>
      </w:r>
      <w:r>
        <w:rPr>
          <w:rFonts w:ascii="Liberation Mono" w:hAnsi="Liberation Mono"/>
        </w:rPr>
        <w:t>aapl:AmericasSegmentMember</w:t>
      </w:r>
    </w:p>
    <w:p>
      <w:pPr>
        <w:pStyle w:val="BodyText"/>
        <w:bidi w:val="0"/>
        <w:jc w:val="start"/>
        <w:rPr/>
      </w:pPr>
      <w:r>
        <w:rPr/>
        <w:t>This is how the SEC lets you compare "Americas revenue" across all filers — the axis/member structure is standardized.</w:t>
      </w:r>
    </w:p>
    <w:p>
      <w:pPr>
        <w:pStyle w:val="Heading2"/>
        <w:bidi w:val="0"/>
        <w:ind w:hanging="0" w:start="0"/>
        <w:jc w:val="start"/>
        <w:rPr/>
      </w:pPr>
      <w:r>
        <w:rPr/>
        <w:t>How to read it yourself (no coding needed)</w:t>
      </w:r>
    </w:p>
    <w:p>
      <w:pPr>
        <w:pStyle w:val="BodyText"/>
        <w:numPr>
          <w:ilvl w:val="0"/>
          <w:numId w:val="8"/>
        </w:numPr>
        <w:tabs>
          <w:tab w:val="clear" w:pos="709"/>
          <w:tab w:val="left" w:pos="709" w:leader="none"/>
        </w:tabs>
        <w:bidi w:val="0"/>
        <w:ind w:hanging="283" w:start="709"/>
        <w:jc w:val="start"/>
        <w:rPr/>
      </w:pPr>
      <w:r>
        <w:rPr/>
        <w:t>Go to any 10-K on SEC.gov, click "View Filing" then "Interactive Data" — it opens the Inline XBRL Viewer.</w:t>
      </w:r>
    </w:p>
    <w:p>
      <w:pPr>
        <w:pStyle w:val="BodyText"/>
        <w:numPr>
          <w:ilvl w:val="0"/>
          <w:numId w:val="8"/>
        </w:numPr>
        <w:tabs>
          <w:tab w:val="clear" w:pos="709"/>
          <w:tab w:val="left" w:pos="709" w:leader="none"/>
        </w:tabs>
        <w:bidi w:val="0"/>
        <w:ind w:hanging="283" w:start="709"/>
        <w:jc w:val="start"/>
        <w:rPr/>
      </w:pPr>
      <w:r>
        <w:rPr/>
        <w:t>Hover any number: you'll see the tag name, label, period, and whether it's a standard us-gaap element or a company extension.</w:t>
      </w:r>
    </w:p>
    <w:p>
      <w:pPr>
        <w:pStyle w:val="BodyText"/>
        <w:numPr>
          <w:ilvl w:val="0"/>
          <w:numId w:val="8"/>
        </w:numPr>
        <w:tabs>
          <w:tab w:val="clear" w:pos="709"/>
          <w:tab w:val="left" w:pos="709" w:leader="none"/>
        </w:tabs>
        <w:bidi w:val="0"/>
        <w:ind w:hanging="283" w:start="709"/>
        <w:jc w:val="start"/>
        <w:rPr/>
      </w:pPr>
      <w:r>
        <w:rPr/>
        <w:t>Use the left panel to filter by "Statements" — Income, Balance Sheet, Cash Flows — or search "Revenues" to jump to all revenue facts.</w:t>
      </w:r>
    </w:p>
    <w:p>
      <w:pPr>
        <w:pStyle w:val="BodyText"/>
        <w:numPr>
          <w:ilvl w:val="0"/>
          <w:numId w:val="8"/>
        </w:numPr>
        <w:tabs>
          <w:tab w:val="clear" w:pos="709"/>
          <w:tab w:val="left" w:pos="709" w:leader="none"/>
        </w:tabs>
        <w:bidi w:val="0"/>
        <w:ind w:hanging="283" w:start="709"/>
        <w:jc w:val="start"/>
        <w:rPr/>
      </w:pPr>
      <w:r>
        <w:rPr/>
        <w:t>Export: the viewer lets you copy a fact's full context, which is handy when you're mapping your own ERP output to XBRL.</w:t>
      </w:r>
    </w:p>
    <w:p>
      <w:pPr>
        <w:pStyle w:val="Heading3"/>
        <w:numPr>
          <w:ilvl w:val="0"/>
          <w:numId w:val="0"/>
        </w:numPr>
        <w:bidi w:val="0"/>
        <w:ind w:hanging="0" w:start="0"/>
        <w:jc w:val="start"/>
        <w:rPr/>
      </w:pPr>
      <w:r>
        <w:rPr/>
        <w:t>Practical tips for filers</w:t>
      </w:r>
    </w:p>
    <w:p>
      <w:pPr>
        <w:pStyle w:val="BodyText"/>
        <w:numPr>
          <w:ilvl w:val="0"/>
          <w:numId w:val="9"/>
        </w:numPr>
        <w:tabs>
          <w:tab w:val="clear" w:pos="709"/>
          <w:tab w:val="left" w:pos="709" w:leader="none"/>
        </w:tabs>
        <w:bidi w:val="0"/>
        <w:ind w:hanging="283" w:start="709"/>
        <w:jc w:val="start"/>
        <w:rPr/>
      </w:pPr>
      <w:r>
        <w:rPr/>
        <w:t>Start with the US GAAP taxonomy, only create an extension when no standard element fits — custom tags reduce comparability and the SEC tracks them closely.</w:t>
      </w:r>
    </w:p>
    <w:p>
      <w:pPr>
        <w:pStyle w:val="BodyText"/>
        <w:numPr>
          <w:ilvl w:val="0"/>
          <w:numId w:val="9"/>
        </w:numPr>
        <w:tabs>
          <w:tab w:val="clear" w:pos="709"/>
          <w:tab w:val="left" w:pos="709" w:leader="none"/>
        </w:tabs>
        <w:bidi w:val="0"/>
        <w:ind w:hanging="283" w:start="709"/>
        <w:jc w:val="start"/>
        <w:rPr/>
      </w:pPr>
      <w:r>
        <w:rPr/>
        <w:t>Match period types: income items are duration, balance sheet items are instant.</w:t>
      </w:r>
    </w:p>
    <w:p>
      <w:pPr>
        <w:pStyle w:val="BodyText"/>
        <w:numPr>
          <w:ilvl w:val="0"/>
          <w:numId w:val="9"/>
        </w:numPr>
        <w:tabs>
          <w:tab w:val="clear" w:pos="709"/>
          <w:tab w:val="left" w:pos="709" w:leader="none"/>
        </w:tabs>
        <w:bidi w:val="0"/>
        <w:ind w:hanging="283" w:start="709"/>
        <w:jc w:val="start"/>
        <w:rPr/>
      </w:pPr>
      <w:r>
        <w:rPr/>
        <w:t>Keep units consistent — declare USD once, reference it everywhere.</w:t>
      </w:r>
    </w:p>
    <w:p>
      <w:pPr>
        <w:pStyle w:val="BodyText"/>
        <w:numPr>
          <w:ilvl w:val="0"/>
          <w:numId w:val="9"/>
        </w:numPr>
        <w:tabs>
          <w:tab w:val="clear" w:pos="709"/>
          <w:tab w:val="left" w:pos="709" w:leader="none"/>
        </w:tabs>
        <w:bidi w:val="0"/>
        <w:ind w:hanging="283" w:start="709"/>
        <w:jc w:val="start"/>
        <w:rPr/>
      </w:pPr>
      <w:r>
        <w:rPr/>
        <w:t>Validate with the EDGAR Renderer before filing; it shows the same errors the SEC will see.</w:t>
      </w:r>
    </w:p>
    <w:p>
      <w:pPr>
        <w:pStyle w:val="BodyText"/>
        <w:bidi w:val="0"/>
        <w:jc w:val="start"/>
        <w:rPr/>
      </w:pPr>
      <w:r>
        <w:rPr/>
        <w:t>XBRL turns your 10-K from a PDF-shaped story into structured data that investors, analysts, and even AI tools can pull instantly. Once you think in tags, contexts, and dimensions, the filing stops feeling like compliance and starts feeling like publishing data.</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Liberation Mono">
    <w:altName w:val="Courier New"/>
    <w:charset w:val="00" w:characterSet="windows-1252"/>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3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8"/>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8"/>
      <w:szCs w:val="24"/>
      <w:lang w:val="en-US" w:eastAsia="zh-CN" w:bidi="hi-IN"/>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sz w:val="24"/>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sz w:val="24"/>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xbrl.us/us-gaap/"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LibreOffice/26.2.4.2$Windows_X86_64 LibreOffice_project/0229ac93fcf0d7cbc6376066c6f35021cef002dc</Application>
  <AppVersion>15.0000</AppVersion>
  <Pages>4</Pages>
  <Words>745</Words>
  <Characters>4347</Characters>
  <CharactersWithSpaces>5055</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2026-06-23T11:04:10Z</dcterms:created>
  <dc:creator/>
  <dc:description/>
  <dc:language>en-US</dc:language>
  <cp:lastModifiedBy/>
  <dcterms:modified xsi:type="dcterms:W3CDTF">2026-06-23T11:06:14Z</dcterms:modified>
  <cp:revision>1</cp:revision>
  <dc:subject/>
  <dc:title/>
</cp:coreProperties>
</file>