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2"/>
          <w:numId w:val="1"/>
        </w:numPr>
        <w:bidi w:val="0"/>
        <w:spacing w:lineRule="auto" w:line="274" w:before="0" w:after="120"/>
        <w:ind w:hanging="0" w:start="0" w:end="0"/>
        <w:jc w:val="start"/>
        <w:rPr/>
      </w:pPr>
      <w:r>
        <w:rPr>
          <w:rStyle w:val="SourceText"/>
        </w:rPr>
        <w:t>Data Workspace (C:\AppIO)</w:t>
      </w:r>
    </w:p>
    <w:p>
      <w:pPr>
        <w:pStyle w:val="BodyText"/>
        <w:bidi w:val="0"/>
        <w:spacing w:lineRule="auto" w:line="274" w:before="0" w:after="120"/>
        <w:ind w:hanging="0" w:start="0" w:end="0"/>
        <w:jc w:val="start"/>
        <w:rPr/>
      </w:pPr>
      <w:r>
        <w:rPr>
          <w:rStyle w:val="SourceText"/>
        </w:rPr>
        <w:t>Input and output data is stored separately from the application code, as listed below.</w:t>
      </w:r>
    </w:p>
    <w:p>
      <w:pPr>
        <w:pStyle w:val="Heading3"/>
        <w:numPr>
          <w:ilvl w:val="0"/>
          <w:numId w:val="0"/>
        </w:numPr>
        <w:bidi w:val="0"/>
        <w:spacing w:lineRule="auto" w:line="274" w:before="0" w:after="120"/>
        <w:ind w:hanging="0" w:start="0" w:end="0"/>
        <w:jc w:val="start"/>
        <w:rPr>
          <w:b w:val="false"/>
          <w:bCs w:val="false"/>
        </w:rPr>
      </w:pPr>
      <w:r>
        <w:rPr>
          <w:b w:val="false"/>
          <w:bCs w:val="false"/>
        </w:rPr>
        <w:t>C:\AppIO</w:t>
      </w:r>
    </w:p>
    <w:p>
      <w:pPr>
        <w:pStyle w:val="BodyText"/>
        <w:numPr>
          <w:ilvl w:val="0"/>
          <w:numId w:val="0"/>
        </w:numPr>
        <w:bidi w:val="0"/>
        <w:spacing w:lineRule="auto" w:line="274" w:before="0" w:after="120"/>
        <w:ind w:hanging="0" w:start="0" w:end="0"/>
        <w:jc w:val="start"/>
        <w:rPr/>
      </w:pPr>
      <w:r>
        <w:rPr/>
        <w:t>|-- reports</w:t>
      </w:r>
    </w:p>
    <w:p>
      <w:pPr>
        <w:pStyle w:val="BodyText"/>
        <w:numPr>
          <w:ilvl w:val="0"/>
          <w:numId w:val="0"/>
        </w:numPr>
        <w:bidi w:val="0"/>
        <w:spacing w:lineRule="auto" w:line="274" w:before="0" w:after="120"/>
        <w:ind w:hanging="0" w:start="0" w:end="0"/>
        <w:jc w:val="start"/>
        <w:rPr/>
      </w:pPr>
      <w:r>
        <w:rPr/>
        <w:t>|-- sec10k</w:t>
      </w:r>
    </w:p>
    <w:p>
      <w:pPr>
        <w:pStyle w:val="BodyText"/>
        <w:numPr>
          <w:ilvl w:val="0"/>
          <w:numId w:val="0"/>
        </w:numPr>
        <w:bidi w:val="0"/>
        <w:spacing w:lineRule="auto" w:line="274" w:before="0" w:after="120"/>
        <w:ind w:hanging="0" w:start="0" w:end="0"/>
        <w:jc w:val="start"/>
        <w:rPr/>
      </w:pPr>
      <w:r>
        <w:rPr/>
        <w:t>|-- sec10q-q1</w:t>
      </w:r>
    </w:p>
    <w:p>
      <w:pPr>
        <w:pStyle w:val="BodyText"/>
        <w:numPr>
          <w:ilvl w:val="0"/>
          <w:numId w:val="0"/>
        </w:numPr>
        <w:bidi w:val="0"/>
        <w:spacing w:lineRule="auto" w:line="274" w:before="0" w:after="120"/>
        <w:ind w:hanging="0" w:start="0" w:end="0"/>
        <w:jc w:val="start"/>
        <w:rPr/>
      </w:pPr>
      <w:r>
        <w:rPr/>
        <w:t>|-- sec10q-q2</w:t>
      </w:r>
    </w:p>
    <w:p>
      <w:pPr>
        <w:pStyle w:val="BodyText"/>
        <w:numPr>
          <w:ilvl w:val="0"/>
          <w:numId w:val="0"/>
        </w:numPr>
        <w:bidi w:val="0"/>
        <w:spacing w:lineRule="auto" w:line="274" w:before="0" w:after="120"/>
        <w:ind w:hanging="0" w:start="0" w:end="0"/>
        <w:jc w:val="start"/>
        <w:rPr/>
      </w:pPr>
      <w:r>
        <w:rPr/>
        <w:t>|-- sec10q-q3</w:t>
      </w:r>
    </w:p>
    <w:p>
      <w:pPr>
        <w:pStyle w:val="BodyText"/>
        <w:numPr>
          <w:ilvl w:val="0"/>
          <w:numId w:val="0"/>
        </w:numPr>
        <w:bidi w:val="0"/>
        <w:spacing w:lineRule="auto" w:line="274" w:before="0" w:after="120"/>
        <w:ind w:hanging="0" w:start="0" w:end="0"/>
        <w:jc w:val="start"/>
        <w:rPr/>
      </w:pPr>
      <w:r>
        <w:rPr/>
        <w:t>+-- user_input</w:t>
      </w:r>
    </w:p>
    <w:p>
      <w:pPr>
        <w:pStyle w:val="BodyText"/>
        <w:numPr>
          <w:ilvl w:val="0"/>
          <w:numId w:val="0"/>
        </w:numPr>
        <w:bidi w:val="0"/>
        <w:spacing w:lineRule="auto" w:line="274" w:before="0" w:after="120"/>
        <w:ind w:hanging="0" w:start="0" w:end="0"/>
        <w:jc w:val="start"/>
        <w:rPr/>
      </w:pPr>
      <w:r>
        <w:rPr/>
        <w:t>Before describing the report document layout, the user must understand the user_input files, listed here:</w:t>
      </w:r>
    </w:p>
    <w:p>
      <w:pPr>
        <w:pStyle w:val="BodyText"/>
        <w:bidi w:val="0"/>
        <w:ind w:hanging="0" w:start="720"/>
        <w:rPr/>
      </w:pPr>
      <w:r>
        <w:rPr/>
        <w:t>business_info.toml</w:t>
      </w:r>
    </w:p>
    <w:p>
      <w:pPr>
        <w:pStyle w:val="BodyText"/>
        <w:bidi w:val="0"/>
        <w:ind w:hanging="0" w:start="720"/>
        <w:rPr/>
      </w:pPr>
      <w:r>
        <w:rPr/>
        <w:t>item001-10-k-cover.docx</w:t>
      </w:r>
    </w:p>
    <w:p>
      <w:pPr>
        <w:pStyle w:val="BodyText"/>
        <w:bidi w:val="0"/>
        <w:ind w:hanging="0" w:start="720"/>
        <w:rPr/>
      </w:pPr>
      <w:r>
        <w:rPr/>
        <w:t>item001-10-q-cover.docx</w:t>
      </w:r>
    </w:p>
    <w:p>
      <w:pPr>
        <w:pStyle w:val="BodyText"/>
        <w:bidi w:val="0"/>
        <w:ind w:hanging="0" w:start="720"/>
        <w:rPr/>
      </w:pPr>
      <w:r>
        <w:rPr/>
        <w:t>note_list_10k.toml</w:t>
      </w:r>
    </w:p>
    <w:p>
      <w:pPr>
        <w:pStyle w:val="BodyText"/>
        <w:bidi w:val="0"/>
        <w:ind w:hanging="0" w:start="720"/>
        <w:rPr/>
      </w:pPr>
      <w:r>
        <w:rPr/>
        <w:t>note_list_10q-q1.toml</w:t>
      </w:r>
    </w:p>
    <w:p>
      <w:pPr>
        <w:pStyle w:val="BodyText"/>
        <w:bidi w:val="0"/>
        <w:ind w:hanging="0" w:start="720"/>
        <w:rPr/>
      </w:pPr>
      <w:r>
        <w:rPr/>
        <w:t>note_list_10q-q2.toml</w:t>
      </w:r>
    </w:p>
    <w:p>
      <w:pPr>
        <w:pStyle w:val="BodyText"/>
        <w:bidi w:val="0"/>
        <w:ind w:hanging="0" w:start="720"/>
        <w:rPr/>
      </w:pPr>
      <w:r>
        <w:rPr/>
        <w:t>note_list_10q-q3.toml</w:t>
      </w:r>
    </w:p>
    <w:p>
      <w:pPr>
        <w:pStyle w:val="BodyText"/>
        <w:bidi w:val="0"/>
        <w:ind w:hanging="0" w:start="720"/>
        <w:rPr/>
      </w:pPr>
      <w:r>
        <w:rPr/>
        <w:t>us-gaap-2026.zip</w:t>
      </w:r>
    </w:p>
    <w:p>
      <w:pPr>
        <w:pStyle w:val="BodyText"/>
        <w:bidi w:val="0"/>
        <w:jc w:val="start"/>
        <w:rPr/>
      </w:pPr>
      <w:r>
        <w:rPr/>
        <w:t xml:space="preserve">The business_info.toml file contains basic company information such as name, description, ticker, address, filer status, auditor, shares, etc. Some of this data is applied to the report cover page as substitution variables as seen in item001-10-k-cover.docx and item001-10-q-cover.docx. </w:t>
      </w:r>
      <w:r>
        <w:rPr>
          <w:b/>
          <w:bCs/>
        </w:rPr>
        <w:t>Notice</w:t>
      </w:r>
      <w:r>
        <w:rPr/>
        <w:t>: the parameters “legal_proceedings” and “purchase_commitments” are special inputs for the “</w:t>
      </w:r>
      <w:r>
        <w:rPr>
          <w:rFonts w:ascii="Times New Roman" w:hAnsi="Times New Roman"/>
          <w:b w:val="false"/>
          <w:color w:val="000000"/>
          <w:sz w:val="28"/>
          <w:szCs w:val="28"/>
          <w:shd w:fill="FFFFFF" w:val="clear"/>
        </w:rPr>
        <w:t>Commitments and Contingencies</w:t>
      </w:r>
      <w:r>
        <w:rPr/>
        <w:t>” notes, to be used whenever either of these conditions actually exist (see notes_agent.py, but no code change required).</w:t>
      </w:r>
    </w:p>
    <w:p>
      <w:pPr>
        <w:pStyle w:val="BodyText"/>
        <w:tabs>
          <w:tab w:val="clear" w:pos="709"/>
          <w:tab w:val="left" w:pos="9185" w:leader="none"/>
        </w:tabs>
        <w:bidi w:val="0"/>
        <w:jc w:val="start"/>
        <w:rPr/>
      </w:pPr>
      <w:r>
        <w:rPr/>
        <w:t xml:space="preserve">The 10-K notes list file, note_list_10k.toml, may be edited by the user each year to select which Notes to the Financial Statements to include in the 10-K report, by setting the “select” parameter to “true”. Similarly, the note_list_10q files may be edited for each quarterly 10-Q report. </w:t>
      </w:r>
      <w:r>
        <w:rPr>
          <w:b/>
          <w:bCs/>
        </w:rPr>
        <w:t>Notice</w:t>
      </w:r>
      <w:r>
        <w:rPr/>
        <w:t xml:space="preserve">: when adding new notes, sometimes the Python code must be modified (see notes_agent.py, notes_registry.py, and xbrl_tagger.py). Currently there are three placeholders for new notes in notes_registry.py: </w:t>
      </w:r>
      <w:r>
        <w:rPr>
          <w:rFonts w:ascii="Times New Roman" w:hAnsi="Times New Roman"/>
          <w:b w:val="false"/>
          <w:color w:val="000000"/>
          <w:sz w:val="28"/>
          <w:szCs w:val="28"/>
          <w:shd w:fill="FFFFFF" w:val="clear"/>
        </w:rPr>
        <w:t>Stock-Based Compensation, Fair Value Measurements, Business</w:t>
      </w:r>
      <w:r>
        <w:rPr>
          <w:rFonts w:ascii="Times New Roman" w:hAnsi="Times New Roman"/>
          <w:color w:val="000000"/>
          <w:sz w:val="28"/>
          <w:szCs w:val="28"/>
          <w:shd w:fill="FFFFFF" w:val="clear"/>
        </w:rPr>
        <w:t xml:space="preserve"> </w:t>
      </w:r>
      <w:r>
        <w:rPr>
          <w:rFonts w:ascii="Times New Roman" w:hAnsi="Times New Roman"/>
          <w:b w:val="false"/>
          <w:color w:val="000000"/>
          <w:sz w:val="28"/>
          <w:szCs w:val="28"/>
          <w:shd w:fill="FFFFFF" w:val="clear"/>
        </w:rPr>
        <w:t>Combinations. Use these placeholders as templates for adding more notes as desired.</w:t>
      </w:r>
    </w:p>
    <w:p>
      <w:pPr>
        <w:pStyle w:val="BodyText"/>
        <w:bidi w:val="0"/>
        <w:jc w:val="start"/>
        <w:rPr/>
      </w:pPr>
      <w:r>
        <w:rPr/>
        <w:t>The last file, us-gaap-2026.zip, is a convenience for the Arelle validation and viewer tool, to store taxonomy information locally rather than downloading from the internet.</w:t>
      </w:r>
    </w:p>
    <w:p>
      <w:pPr>
        <w:pStyle w:val="BodyText"/>
        <w:numPr>
          <w:ilvl w:val="0"/>
          <w:numId w:val="0"/>
        </w:numPr>
        <w:bidi w:val="0"/>
        <w:spacing w:lineRule="auto" w:line="274" w:before="0" w:after="120"/>
        <w:ind w:hanging="0" w:start="0" w:end="0"/>
        <w:jc w:val="start"/>
        <w:rPr/>
      </w:pPr>
      <w:r>
        <w:rPr/>
      </w:r>
    </w:p>
    <w:p>
      <w:pPr>
        <w:pStyle w:val="Heading3"/>
        <w:numPr>
          <w:ilvl w:val="2"/>
          <w:numId w:val="1"/>
        </w:numPr>
        <w:bidi w:val="0"/>
        <w:spacing w:lineRule="auto" w:line="274" w:before="0" w:after="120"/>
        <w:ind w:hanging="0" w:start="0" w:end="0"/>
        <w:jc w:val="start"/>
        <w:rPr/>
      </w:pPr>
      <w:r>
        <w:rPr/>
        <w:t>Document Generation Workspace (</w:t>
      </w:r>
      <w:r>
        <w:rPr>
          <w:rStyle w:val="SourceText"/>
        </w:rPr>
        <w:t>C:\AppIO</w:t>
      </w:r>
      <w:r>
        <w:rPr/>
        <w:t>)</w:t>
      </w:r>
    </w:p>
    <w:p>
      <w:pPr>
        <w:pStyle w:val="BodyText"/>
        <w:bidi w:val="0"/>
        <w:spacing w:lineRule="auto" w:line="274" w:before="0" w:after="140"/>
        <w:ind w:hanging="0" w:start="0" w:end="0"/>
        <w:jc w:val="start"/>
        <w:rPr>
          <w:rFonts w:ascii="Times New Roman" w:hAnsi="Times New Roman"/>
        </w:rPr>
      </w:pPr>
      <w:r>
        <w:rPr/>
        <w:t>To successfully compile massive, highly regulated regulatory filings, the application uses a modular, multi-file assembly strategy. Each official item of an SEC Form 10-K is generated as an independent document snippet before being systematically compiled into the final master report. (The Form 10-Q files, not shown below, are listed under sec10q-q1, sec10q-q2, sec10q-q3.)</w:t>
      </w:r>
    </w:p>
    <w:p>
      <w:pPr>
        <w:pStyle w:val="BodyText"/>
        <w:bidi w:val="0"/>
        <w:spacing w:lineRule="auto" w:line="274" w:before="0" w:after="140"/>
        <w:ind w:hanging="0" w:start="0" w:end="0"/>
        <w:jc w:val="start"/>
        <w:rPr>
          <w:rFonts w:ascii="Times New Roman" w:hAnsi="Times New Roman"/>
        </w:rPr>
      </w:pPr>
      <w:r>
        <w:rPr>
          <w:rFonts w:ascii="Times New Roman" w:hAnsi="Times New Roman"/>
        </w:rPr>
      </w:r>
    </w:p>
    <w:p>
      <w:pPr>
        <w:pStyle w:val="PreformattedText"/>
        <w:bidi w:val="0"/>
        <w:jc w:val="start"/>
        <w:rPr/>
      </w:pPr>
      <w:r>
        <w:rPr>
          <w:rStyle w:val="SourceText"/>
        </w:rPr>
        <w:t>C:\AppIO</w:t>
      </w:r>
    </w:p>
    <w:p>
      <w:pPr>
        <w:pStyle w:val="PreformattedText"/>
        <w:bidi w:val="0"/>
        <w:jc w:val="start"/>
        <w:rPr/>
      </w:pPr>
      <w:r>
        <w:rPr>
          <w:rStyle w:val="SourceText"/>
        </w:rPr>
        <w:t xml:space="preserve">├── </w:t>
      </w:r>
      <w:r>
        <w:rPr>
          <w:rStyle w:val="SourceText"/>
        </w:rPr>
        <w:t>reports/</w:t>
      </w:r>
    </w:p>
    <w:p>
      <w:pPr>
        <w:pStyle w:val="PreformattedText"/>
        <w:bidi w:val="0"/>
        <w:jc w:val="start"/>
        <w:rPr/>
      </w:pPr>
      <w:r>
        <w:rPr>
          <w:rStyle w:val="SourceText"/>
        </w:rPr>
        <w:t xml:space="preserve">│   ├── </w:t>
      </w:r>
      <w:r>
        <w:rPr>
          <w:rStyle w:val="SourceText"/>
        </w:rPr>
        <w:t>sec-10q-2025-q1.docx              # Final Compiled 10-Q Q1 Report</w:t>
      </w:r>
    </w:p>
    <w:p>
      <w:pPr>
        <w:pStyle w:val="PreformattedText"/>
        <w:bidi w:val="0"/>
        <w:jc w:val="start"/>
        <w:rPr/>
      </w:pPr>
      <w:r>
        <w:rPr>
          <w:rStyle w:val="SourceText"/>
        </w:rPr>
        <w:t xml:space="preserve">│   ├── </w:t>
      </w:r>
      <w:r>
        <w:rPr>
          <w:rStyle w:val="SourceText"/>
        </w:rPr>
        <w:t>sec-10q-2025-q2.docx              # Final Compiled 10-Q Q2 Report</w:t>
      </w:r>
    </w:p>
    <w:p>
      <w:pPr>
        <w:pStyle w:val="PreformattedText"/>
        <w:bidi w:val="0"/>
        <w:jc w:val="start"/>
        <w:rPr/>
      </w:pPr>
      <w:r>
        <w:rPr>
          <w:rStyle w:val="SourceText"/>
        </w:rPr>
        <w:t xml:space="preserve">│   ├── </w:t>
      </w:r>
      <w:r>
        <w:rPr>
          <w:rStyle w:val="SourceText"/>
        </w:rPr>
        <w:t>sec-10q-2025-q3.docx              # Final Compiled 10-Q Q3 Report</w:t>
      </w:r>
    </w:p>
    <w:p>
      <w:pPr>
        <w:pStyle w:val="PreformattedText"/>
        <w:bidi w:val="0"/>
        <w:jc w:val="start"/>
        <w:rPr/>
      </w:pPr>
      <w:r>
        <w:rPr>
          <w:rStyle w:val="SourceText"/>
        </w:rPr>
        <w:t xml:space="preserve">│   ├── </w:t>
      </w:r>
      <w:r>
        <w:rPr>
          <w:rStyle w:val="SourceText"/>
        </w:rPr>
        <w:t>sec-10k-2025.docx                   # Final Compiled 10-K Report</w:t>
      </w:r>
    </w:p>
    <w:p>
      <w:pPr>
        <w:pStyle w:val="PreformattedText"/>
        <w:bidi w:val="0"/>
        <w:jc w:val="start"/>
        <w:rPr/>
      </w:pPr>
      <w:r>
        <w:rPr>
          <w:rStyle w:val="SourceText"/>
        </w:rPr>
        <w:t>│   │</w:t>
      </w:r>
    </w:p>
    <w:p>
      <w:pPr>
        <w:pStyle w:val="PreformattedText"/>
        <w:bidi w:val="0"/>
        <w:jc w:val="start"/>
        <w:rPr/>
      </w:pPr>
      <w:r>
        <w:rPr>
          <w:rStyle w:val="SourceText"/>
        </w:rPr>
        <w:t xml:space="preserve">│   └── </w:t>
      </w:r>
      <w:r>
        <w:rPr>
          <w:rStyle w:val="SourceText"/>
        </w:rPr>
        <w:t>sec10K/                             # Granular 10-K Component Registry</w:t>
      </w:r>
    </w:p>
    <w:p>
      <w:pPr>
        <w:pStyle w:val="PreformattedText"/>
        <w:bidi w:val="0"/>
        <w:jc w:val="start"/>
        <w:rPr/>
      </w:pPr>
      <w:r>
        <w:rPr>
          <w:rStyle w:val="SourceText"/>
        </w:rPr>
        <w:t>│       │</w:t>
      </w:r>
    </w:p>
    <w:p>
      <w:pPr>
        <w:pStyle w:val="PreformattedText"/>
        <w:bidi w:val="0"/>
        <w:jc w:val="start"/>
        <w:rPr/>
      </w:pPr>
      <w:r>
        <w:rPr>
          <w:rStyle w:val="SourceText"/>
        </w:rPr>
        <w:t xml:space="preserve">│       ├── </w:t>
      </w:r>
      <w:r>
        <w:rPr>
          <w:rStyle w:val="SourceText"/>
        </w:rPr>
        <w:t>intro/                          # Document Preliminaries</w:t>
      </w:r>
    </w:p>
    <w:p>
      <w:pPr>
        <w:pStyle w:val="PreformattedText"/>
        <w:bidi w:val="0"/>
        <w:jc w:val="start"/>
        <w:rPr/>
      </w:pPr>
      <w:r>
        <w:rPr>
          <w:rStyle w:val="SourceText"/>
        </w:rPr>
        <w:t xml:space="preserve">│       │   ├── </w:t>
      </w:r>
      <w:r>
        <w:rPr>
          <w:rStyle w:val="SourceText"/>
        </w:rPr>
        <w:t>item001-10-k-cover.docx      # Cover Page</w:t>
      </w:r>
    </w:p>
    <w:p>
      <w:pPr>
        <w:pStyle w:val="PreformattedText"/>
        <w:bidi w:val="0"/>
        <w:jc w:val="start"/>
        <w:rPr/>
      </w:pPr>
      <w:r>
        <w:rPr>
          <w:rStyle w:val="SourceText"/>
        </w:rPr>
        <w:t xml:space="preserve">│       │   └── </w:t>
      </w:r>
      <w:r>
        <w:rPr>
          <w:rStyle w:val="SourceText"/>
        </w:rPr>
        <w:t>item002-10-k-TOC.docx       # Table of Contents</w:t>
      </w:r>
    </w:p>
    <w:p>
      <w:pPr>
        <w:pStyle w:val="PreformattedText"/>
        <w:bidi w:val="0"/>
        <w:jc w:val="start"/>
        <w:rPr/>
      </w:pPr>
      <w:r>
        <w:rPr>
          <w:rStyle w:val="SourceText"/>
        </w:rPr>
        <w:t>│       │</w:t>
      </w:r>
    </w:p>
    <w:p>
      <w:pPr>
        <w:pStyle w:val="PreformattedText"/>
        <w:bidi w:val="0"/>
        <w:jc w:val="start"/>
        <w:rPr/>
      </w:pPr>
      <w:r>
        <w:rPr>
          <w:rStyle w:val="SourceText"/>
        </w:rPr>
        <w:t xml:space="preserve">│       ├── </w:t>
      </w:r>
      <w:r>
        <w:rPr>
          <w:rStyle w:val="SourceText"/>
        </w:rPr>
        <w:t>part1/                          # Part I: Operational Disclosures</w:t>
      </w:r>
    </w:p>
    <w:p>
      <w:pPr>
        <w:pStyle w:val="PreformattedText"/>
        <w:bidi w:val="0"/>
        <w:jc w:val="start"/>
        <w:rPr/>
      </w:pPr>
      <w:r>
        <w:rPr>
          <w:rStyle w:val="SourceText"/>
        </w:rPr>
        <w:t xml:space="preserve">│       │   ├── </w:t>
      </w:r>
      <w:r>
        <w:rPr>
          <w:rStyle w:val="SourceText"/>
        </w:rPr>
        <w:t>item010-BusinessProfile.docx</w:t>
      </w:r>
    </w:p>
    <w:p>
      <w:pPr>
        <w:pStyle w:val="PreformattedText"/>
        <w:bidi w:val="0"/>
        <w:jc w:val="start"/>
        <w:rPr/>
      </w:pPr>
      <w:r>
        <w:rPr>
          <w:rStyle w:val="SourceText"/>
        </w:rPr>
        <w:t xml:space="preserve">│       │   ├── </w:t>
      </w:r>
      <w:r>
        <w:rPr>
          <w:rStyle w:val="SourceText"/>
        </w:rPr>
        <w:t>item01A-Risk-Factors.docx</w:t>
      </w:r>
    </w:p>
    <w:p>
      <w:pPr>
        <w:pStyle w:val="PreformattedText"/>
        <w:bidi w:val="0"/>
        <w:jc w:val="start"/>
        <w:rPr/>
      </w:pPr>
      <w:r>
        <w:rPr>
          <w:rStyle w:val="SourceText"/>
        </w:rPr>
        <w:t xml:space="preserve">│       │   ├── </w:t>
      </w:r>
      <w:r>
        <w:rPr>
          <w:rStyle w:val="SourceText"/>
        </w:rPr>
        <w:t>item01B-Unresolved-Staff-Comments.docx</w:t>
      </w:r>
    </w:p>
    <w:p>
      <w:pPr>
        <w:pStyle w:val="PreformattedText"/>
        <w:bidi w:val="0"/>
        <w:jc w:val="start"/>
        <w:rPr/>
      </w:pPr>
      <w:r>
        <w:rPr>
          <w:rStyle w:val="SourceText"/>
        </w:rPr>
        <w:t xml:space="preserve">│       │   ├── </w:t>
      </w:r>
      <w:r>
        <w:rPr>
          <w:rStyle w:val="SourceText"/>
        </w:rPr>
        <w:t>item01C-Cybersecurity.docx</w:t>
      </w:r>
    </w:p>
    <w:p>
      <w:pPr>
        <w:pStyle w:val="PreformattedText"/>
        <w:bidi w:val="0"/>
        <w:jc w:val="start"/>
        <w:rPr/>
      </w:pPr>
      <w:r>
        <w:rPr>
          <w:rStyle w:val="SourceText"/>
        </w:rPr>
        <w:t xml:space="preserve">│       │   ├── </w:t>
      </w:r>
      <w:r>
        <w:rPr>
          <w:rStyle w:val="SourceText"/>
        </w:rPr>
        <w:t>item020-Properties.docx</w:t>
      </w:r>
    </w:p>
    <w:p>
      <w:pPr>
        <w:pStyle w:val="PreformattedText"/>
        <w:bidi w:val="0"/>
        <w:jc w:val="start"/>
        <w:rPr/>
      </w:pPr>
      <w:r>
        <w:rPr>
          <w:rStyle w:val="SourceText"/>
        </w:rPr>
        <w:t xml:space="preserve">│       │   ├── </w:t>
      </w:r>
      <w:r>
        <w:rPr>
          <w:rStyle w:val="SourceText"/>
        </w:rPr>
        <w:t>item030-Legal-Proceedings.docx</w:t>
      </w:r>
    </w:p>
    <w:p>
      <w:pPr>
        <w:pStyle w:val="PreformattedText"/>
        <w:bidi w:val="0"/>
        <w:jc w:val="start"/>
        <w:rPr/>
      </w:pPr>
      <w:r>
        <w:rPr>
          <w:rStyle w:val="SourceText"/>
        </w:rPr>
        <w:t xml:space="preserve">│       │   └── </w:t>
      </w:r>
      <w:r>
        <w:rPr>
          <w:rStyle w:val="SourceText"/>
        </w:rPr>
        <w:t>item040-Mine-Safety-Disclosures.docx</w:t>
      </w:r>
    </w:p>
    <w:p>
      <w:pPr>
        <w:pStyle w:val="PreformattedText"/>
        <w:bidi w:val="0"/>
        <w:jc w:val="start"/>
        <w:rPr/>
      </w:pPr>
      <w:r>
        <w:rPr>
          <w:rStyle w:val="SourceText"/>
        </w:rPr>
        <w:t>│       │</w:t>
      </w:r>
    </w:p>
    <w:p>
      <w:pPr>
        <w:pStyle w:val="PreformattedText"/>
        <w:bidi w:val="0"/>
        <w:jc w:val="start"/>
        <w:rPr/>
      </w:pPr>
      <w:r>
        <w:rPr>
          <w:rStyle w:val="SourceText"/>
        </w:rPr>
        <w:t xml:space="preserve">│       ├── </w:t>
      </w:r>
      <w:r>
        <w:rPr>
          <w:rStyle w:val="SourceText"/>
        </w:rPr>
        <w:t>part2/                          # Part II: Financials, MD&amp;A, and Notes</w:t>
      </w:r>
    </w:p>
    <w:p>
      <w:pPr>
        <w:pStyle w:val="PreformattedText"/>
        <w:bidi w:val="0"/>
        <w:jc w:val="start"/>
        <w:rPr/>
      </w:pPr>
      <w:r>
        <w:rPr>
          <w:rStyle w:val="SourceText"/>
        </w:rPr>
        <w:t xml:space="preserve">│       │   ├── </w:t>
      </w:r>
      <w:r>
        <w:rPr>
          <w:rStyle w:val="SourceText"/>
        </w:rPr>
        <w:t>item050-Common-Equity.docx</w:t>
      </w:r>
    </w:p>
    <w:p>
      <w:pPr>
        <w:pStyle w:val="PreformattedText"/>
        <w:bidi w:val="0"/>
        <w:jc w:val="start"/>
        <w:rPr/>
      </w:pPr>
      <w:r>
        <w:rPr>
          <w:rStyle w:val="SourceText"/>
        </w:rPr>
        <w:t xml:space="preserve">│       │   ├── </w:t>
      </w:r>
      <w:r>
        <w:rPr>
          <w:rStyle w:val="SourceText"/>
        </w:rPr>
        <w:t>item060-Reserved.docx</w:t>
      </w:r>
    </w:p>
    <w:p>
      <w:pPr>
        <w:pStyle w:val="PreformattedText"/>
        <w:bidi w:val="0"/>
        <w:jc w:val="start"/>
        <w:rPr/>
      </w:pPr>
      <w:r>
        <w:rPr>
          <w:rStyle w:val="SourceText"/>
        </w:rPr>
        <w:t xml:space="preserve">│       │   ├── </w:t>
      </w:r>
      <w:r>
        <w:rPr>
          <w:rStyle w:val="SourceText"/>
        </w:rPr>
        <w:t>item070-MDA.docx            # Management's Discussion &amp; Analysis</w:t>
      </w:r>
    </w:p>
    <w:p>
      <w:pPr>
        <w:pStyle w:val="PreformattedText"/>
        <w:bidi w:val="0"/>
        <w:jc w:val="start"/>
        <w:rPr/>
      </w:pPr>
      <w:r>
        <w:rPr>
          <w:rStyle w:val="SourceText"/>
        </w:rPr>
        <w:t xml:space="preserve">│       │   ├── </w:t>
      </w:r>
      <w:r>
        <w:rPr>
          <w:rStyle w:val="SourceText"/>
        </w:rPr>
        <w:t>item07A-Disclose-Market-Risk.docx</w:t>
      </w:r>
    </w:p>
    <w:p>
      <w:pPr>
        <w:pStyle w:val="PreformattedText"/>
        <w:bidi w:val="0"/>
        <w:jc w:val="start"/>
        <w:rPr/>
      </w:pPr>
      <w:r>
        <w:rPr>
          <w:rStyle w:val="SourceText"/>
        </w:rPr>
        <w:t xml:space="preserve">│       │   ├── </w:t>
      </w:r>
      <w:r>
        <w:rPr>
          <w:rStyle w:val="SourceText"/>
        </w:rPr>
        <w:t>item080-AuditorReport.docx</w:t>
      </w:r>
    </w:p>
    <w:p>
      <w:pPr>
        <w:pStyle w:val="PreformattedText"/>
        <w:bidi w:val="0"/>
        <w:jc w:val="start"/>
        <w:rPr/>
      </w:pPr>
      <w:r>
        <w:rPr>
          <w:rStyle w:val="SourceText"/>
        </w:rPr>
        <w:t xml:space="preserve">│       │   ├── </w:t>
      </w:r>
      <w:r>
        <w:rPr>
          <w:rStyle w:val="SourceText"/>
        </w:rPr>
        <w:t>item081-Financial-Statements.docx</w:t>
      </w:r>
    </w:p>
    <w:p>
      <w:pPr>
        <w:pStyle w:val="PreformattedText"/>
        <w:bidi w:val="0"/>
        <w:jc w:val="start"/>
        <w:rPr/>
      </w:pPr>
      <w:r>
        <w:rPr>
          <w:rStyle w:val="SourceText"/>
        </w:rPr>
        <w:t xml:space="preserve">│       │   ├── </w:t>
      </w:r>
      <w:r>
        <w:rPr>
          <w:rStyle w:val="SourceText"/>
        </w:rPr>
        <w:t>item082-Notes-to-Financial-Statements.docx</w:t>
      </w:r>
    </w:p>
    <w:p>
      <w:pPr>
        <w:pStyle w:val="PreformattedText"/>
        <w:bidi w:val="0"/>
        <w:jc w:val="start"/>
        <w:rPr/>
      </w:pPr>
      <w:r>
        <w:rPr>
          <w:rStyle w:val="SourceText"/>
        </w:rPr>
        <w:t xml:space="preserve">│       │   ├── </w:t>
      </w:r>
      <w:r>
        <w:rPr>
          <w:rStyle w:val="SourceText"/>
        </w:rPr>
        <w:t>item090-Disagreements-with-Accountants.docx</w:t>
      </w:r>
    </w:p>
    <w:p>
      <w:pPr>
        <w:pStyle w:val="PreformattedText"/>
        <w:bidi w:val="0"/>
        <w:jc w:val="start"/>
        <w:rPr/>
      </w:pPr>
      <w:r>
        <w:rPr>
          <w:rStyle w:val="SourceText"/>
        </w:rPr>
        <w:t xml:space="preserve">│       │   ├── </w:t>
      </w:r>
      <w:r>
        <w:rPr>
          <w:rStyle w:val="SourceText"/>
        </w:rPr>
        <w:t>item09A-Controls-Procedures.docx</w:t>
      </w:r>
    </w:p>
    <w:p>
      <w:pPr>
        <w:pStyle w:val="PreformattedText"/>
        <w:bidi w:val="0"/>
        <w:jc w:val="start"/>
        <w:rPr/>
      </w:pPr>
      <w:r>
        <w:rPr>
          <w:rStyle w:val="SourceText"/>
        </w:rPr>
        <w:t xml:space="preserve">│       │   ├── </w:t>
      </w:r>
      <w:r>
        <w:rPr>
          <w:rStyle w:val="SourceText"/>
        </w:rPr>
        <w:t>item09B-Other-Information.docx</w:t>
      </w:r>
    </w:p>
    <w:p>
      <w:pPr>
        <w:pStyle w:val="PreformattedText"/>
        <w:bidi w:val="0"/>
        <w:jc w:val="start"/>
        <w:rPr/>
      </w:pPr>
      <w:r>
        <w:rPr>
          <w:rStyle w:val="SourceText"/>
        </w:rPr>
        <w:t xml:space="preserve">│       │   └── </w:t>
      </w:r>
      <w:r>
        <w:rPr>
          <w:rStyle w:val="SourceText"/>
        </w:rPr>
        <w:t>item09C-Disclosure-Foreign-Inspections.docx</w:t>
      </w:r>
    </w:p>
    <w:p>
      <w:pPr>
        <w:pStyle w:val="PreformattedText"/>
        <w:bidi w:val="0"/>
        <w:jc w:val="start"/>
        <w:rPr/>
      </w:pPr>
      <w:r>
        <w:rPr>
          <w:rStyle w:val="SourceText"/>
        </w:rPr>
        <w:t>│       │</w:t>
      </w:r>
    </w:p>
    <w:p>
      <w:pPr>
        <w:pStyle w:val="PreformattedText"/>
        <w:bidi w:val="0"/>
        <w:jc w:val="start"/>
        <w:rPr/>
      </w:pPr>
      <w:r>
        <w:rPr>
          <w:rStyle w:val="SourceText"/>
        </w:rPr>
        <w:t xml:space="preserve">│       ├── </w:t>
      </w:r>
      <w:r>
        <w:rPr>
          <w:rStyle w:val="SourceText"/>
        </w:rPr>
        <w:t>part3/                          # Part III: Corporate Governance</w:t>
      </w:r>
    </w:p>
    <w:p>
      <w:pPr>
        <w:pStyle w:val="PreformattedText"/>
        <w:bidi w:val="0"/>
        <w:jc w:val="start"/>
        <w:rPr/>
      </w:pPr>
      <w:r>
        <w:rPr>
          <w:rStyle w:val="SourceText"/>
        </w:rPr>
        <w:t xml:space="preserve">│       │   ├── </w:t>
      </w:r>
      <w:r>
        <w:rPr>
          <w:rStyle w:val="SourceText"/>
        </w:rPr>
        <w:t>item100-Directors-Exec.docx</w:t>
      </w:r>
    </w:p>
    <w:p>
      <w:pPr>
        <w:pStyle w:val="PreformattedText"/>
        <w:bidi w:val="0"/>
        <w:jc w:val="start"/>
        <w:rPr/>
      </w:pPr>
      <w:r>
        <w:rPr>
          <w:rStyle w:val="SourceText"/>
        </w:rPr>
        <w:t xml:space="preserve">│       │   ├── </w:t>
      </w:r>
      <w:r>
        <w:rPr>
          <w:rStyle w:val="SourceText"/>
        </w:rPr>
        <w:t>item110-Exec-Compensation.docx</w:t>
      </w:r>
    </w:p>
    <w:p>
      <w:pPr>
        <w:pStyle w:val="PreformattedText"/>
        <w:bidi w:val="0"/>
        <w:jc w:val="start"/>
        <w:rPr/>
      </w:pPr>
      <w:r>
        <w:rPr>
          <w:rStyle w:val="SourceText"/>
        </w:rPr>
        <w:t xml:space="preserve">│       │   ├── </w:t>
      </w:r>
      <w:r>
        <w:rPr>
          <w:rStyle w:val="SourceText"/>
        </w:rPr>
        <w:t>item120-Beneficial-Owners.docx</w:t>
      </w:r>
    </w:p>
    <w:p>
      <w:pPr>
        <w:pStyle w:val="PreformattedText"/>
        <w:bidi w:val="0"/>
        <w:jc w:val="start"/>
        <w:rPr/>
      </w:pPr>
      <w:r>
        <w:rPr>
          <w:rStyle w:val="SourceText"/>
        </w:rPr>
        <w:t xml:space="preserve">│       │   ├── </w:t>
      </w:r>
      <w:r>
        <w:rPr>
          <w:rStyle w:val="SourceText"/>
        </w:rPr>
        <w:t>item130-Certain-Relationships.docx</w:t>
      </w:r>
    </w:p>
    <w:p>
      <w:pPr>
        <w:pStyle w:val="PreformattedText"/>
        <w:bidi w:val="0"/>
        <w:jc w:val="start"/>
        <w:rPr/>
      </w:pPr>
      <w:r>
        <w:rPr>
          <w:rStyle w:val="SourceText"/>
        </w:rPr>
        <w:t xml:space="preserve">│       │   └── </w:t>
      </w:r>
      <w:r>
        <w:rPr>
          <w:rStyle w:val="SourceText"/>
        </w:rPr>
        <w:t>item140-Accountant-Fees.docx</w:t>
      </w:r>
    </w:p>
    <w:p>
      <w:pPr>
        <w:pStyle w:val="PreformattedText"/>
        <w:bidi w:val="0"/>
        <w:jc w:val="start"/>
        <w:rPr/>
      </w:pPr>
      <w:r>
        <w:rPr>
          <w:rStyle w:val="SourceText"/>
        </w:rPr>
        <w:t>│       │</w:t>
      </w:r>
    </w:p>
    <w:p>
      <w:pPr>
        <w:pStyle w:val="PreformattedText"/>
        <w:bidi w:val="0"/>
        <w:jc w:val="start"/>
        <w:rPr/>
      </w:pPr>
      <w:r>
        <w:rPr>
          <w:rStyle w:val="SourceText"/>
        </w:rPr>
        <w:t xml:space="preserve">│       ├── </w:t>
      </w:r>
      <w:r>
        <w:rPr>
          <w:rStyle w:val="SourceText"/>
        </w:rPr>
        <w:t xml:space="preserve">part4/                          # Part IV: Exhibits </w:t>
      </w:r>
    </w:p>
    <w:p>
      <w:pPr>
        <w:pStyle w:val="PreformattedText"/>
        <w:bidi w:val="0"/>
        <w:jc w:val="start"/>
        <w:rPr/>
      </w:pPr>
      <w:r>
        <w:rPr>
          <w:rStyle w:val="SourceText"/>
        </w:rPr>
        <w:t xml:space="preserve">│       │   ├── </w:t>
      </w:r>
      <w:r>
        <w:rPr>
          <w:rStyle w:val="SourceText"/>
        </w:rPr>
        <w:t>item150-Exhibit-Schedules.docx</w:t>
      </w:r>
    </w:p>
    <w:p>
      <w:pPr>
        <w:pStyle w:val="PreformattedText"/>
        <w:bidi w:val="0"/>
        <w:jc w:val="start"/>
        <w:rPr/>
      </w:pPr>
      <w:r>
        <w:rPr>
          <w:rStyle w:val="SourceText"/>
        </w:rPr>
        <w:t xml:space="preserve">│       │   └── </w:t>
      </w:r>
      <w:r>
        <w:rPr>
          <w:rStyle w:val="SourceText"/>
        </w:rPr>
        <w:t>item160-Form-10-K-Summary.docx</w:t>
      </w:r>
    </w:p>
    <w:p>
      <w:pPr>
        <w:pStyle w:val="PreformattedText"/>
        <w:bidi w:val="0"/>
        <w:jc w:val="start"/>
        <w:rPr/>
      </w:pPr>
      <w:r>
        <w:rPr>
          <w:rStyle w:val="SourceText"/>
        </w:rPr>
        <w:t>│       │</w:t>
      </w:r>
    </w:p>
    <w:p>
      <w:pPr>
        <w:pStyle w:val="PreformattedText"/>
        <w:bidi w:val="0"/>
        <w:jc w:val="start"/>
        <w:rPr/>
      </w:pPr>
      <w:r>
        <w:rPr>
          <w:rStyle w:val="SourceText"/>
        </w:rPr>
        <w:t xml:space="preserve">│       └── </w:t>
      </w:r>
      <w:r>
        <w:rPr>
          <w:rStyle w:val="SourceText"/>
        </w:rPr>
        <w:t>sigs/                           # Signatures</w:t>
      </w:r>
    </w:p>
    <w:p>
      <w:pPr>
        <w:pStyle w:val="PreformattedText"/>
        <w:bidi w:val="0"/>
        <w:jc w:val="start"/>
        <w:rPr/>
      </w:pPr>
      <w:r>
        <w:rPr>
          <w:rStyle w:val="SourceText"/>
        </w:rPr>
        <w:t xml:space="preserve">│           └── </w:t>
      </w:r>
      <w:r>
        <w:rPr>
          <w:rStyle w:val="SourceText"/>
        </w:rPr>
        <w:t>item999-10-K-Signatures.docx</w:t>
      </w:r>
    </w:p>
    <w:p>
      <w:pPr>
        <w:pStyle w:val="Normal"/>
        <w:bidi w:val="0"/>
        <w:jc w:val="start"/>
        <w:rPr>
          <w:rFonts w:ascii="Times New Roman" w:hAnsi="Times New Roman"/>
        </w:rPr>
      </w:pPr>
      <w:r>
        <w:rPr>
          <w:rFonts w:ascii="Times New Roman" w:hAnsi="Times New Roman"/>
        </w:rPr>
      </w:r>
    </w:p>
    <w:p>
      <w:pPr>
        <w:pStyle w:val="Heading2"/>
        <w:numPr>
          <w:ilvl w:val="0"/>
          <w:numId w:val="0"/>
        </w:numPr>
        <w:bidi w:val="0"/>
        <w:spacing w:lineRule="auto" w:line="274" w:before="0" w:after="140"/>
        <w:ind w:hanging="0" w:start="0" w:end="0"/>
        <w:jc w:val="start"/>
        <w:rPr>
          <w:sz w:val="28"/>
          <w:szCs w:val="28"/>
        </w:rPr>
      </w:pPr>
      <w:r>
        <w:rPr>
          <w:rFonts w:ascii="Arial" w:hAnsi="Arial"/>
          <w:sz w:val="28"/>
          <w:szCs w:val="28"/>
        </w:rPr>
      </w:r>
    </w:p>
    <w:p>
      <w:pPr>
        <w:pStyle w:val="Heading2"/>
        <w:numPr>
          <w:ilvl w:val="1"/>
          <w:numId w:val="1"/>
        </w:numPr>
        <w:bidi w:val="0"/>
        <w:spacing w:lineRule="auto" w:line="274" w:before="0" w:after="140"/>
        <w:ind w:hanging="0" w:start="0" w:end="0"/>
        <w:jc w:val="start"/>
        <w:rPr>
          <w:sz w:val="28"/>
          <w:szCs w:val="28"/>
        </w:rPr>
      </w:pPr>
      <w:r>
        <w:rPr>
          <w:rFonts w:ascii="Arial" w:hAnsi="Arial"/>
          <w:sz w:val="28"/>
          <w:szCs w:val="28"/>
        </w:rPr>
        <w:t>Architectural Design Choices</w:t>
      </w:r>
    </w:p>
    <w:p>
      <w:pPr>
        <w:pStyle w:val="BodyText"/>
        <w:bidi w:val="0"/>
        <w:spacing w:lineRule="auto" w:line="274" w:before="0" w:after="140"/>
        <w:ind w:hanging="0" w:start="0" w:end="0"/>
        <w:jc w:val="start"/>
        <w:rPr>
          <w:rFonts w:ascii="Times New Roman" w:hAnsi="Times New Roman"/>
        </w:rPr>
      </w:pPr>
      <w:bookmarkStart w:id="0" w:name="p-rc_e366685821c9c8b7-29"/>
      <w:bookmarkEnd w:id="0"/>
      <w:r>
        <w:rPr/>
        <w:t xml:space="preserve">Even though the final Form 10-K (or Form 10-Q) report is submitted to the SEC as a single, consolidated file, the system deliberately processes individual sections as separate documents. This architectural choice was made to simplify application logic and support collaborative workflows: </w:t>
      </w:r>
    </w:p>
    <w:p>
      <w:pPr>
        <w:pStyle w:val="BodyText"/>
        <w:numPr>
          <w:ilvl w:val="0"/>
          <w:numId w:val="2"/>
        </w:numPr>
        <w:tabs>
          <w:tab w:val="clear" w:pos="709"/>
          <w:tab w:val="left" w:pos="709" w:leader="none"/>
        </w:tabs>
        <w:bidi w:val="0"/>
        <w:spacing w:lineRule="auto" w:line="274" w:before="0" w:after="140"/>
        <w:ind w:hanging="283" w:start="709" w:end="0"/>
        <w:jc w:val="start"/>
        <w:rPr>
          <w:rFonts w:ascii="Times New Roman" w:hAnsi="Times New Roman"/>
        </w:rPr>
      </w:pPr>
      <w:bookmarkStart w:id="1" w:name="p-rc_e366685821c9c8b7-30"/>
      <w:bookmarkEnd w:id="1"/>
      <w:r>
        <w:rPr>
          <w:b w:val="false"/>
          <w:bCs w:val="false"/>
        </w:rPr>
        <w:t xml:space="preserve">Distributed Authoring: </w:t>
      </w:r>
      <w:r>
        <w:rPr/>
        <w:t xml:space="preserve">Separate files allow different internal employees or outsourced teams to work on specific sections simultaneously without version control conflicts. </w:t>
      </w:r>
    </w:p>
    <w:p>
      <w:pPr>
        <w:pStyle w:val="BodyText"/>
        <w:numPr>
          <w:ilvl w:val="0"/>
          <w:numId w:val="2"/>
        </w:numPr>
        <w:tabs>
          <w:tab w:val="clear" w:pos="709"/>
          <w:tab w:val="left" w:pos="709" w:leader="none"/>
        </w:tabs>
        <w:bidi w:val="0"/>
        <w:spacing w:lineRule="auto" w:line="274" w:before="0" w:after="140"/>
        <w:ind w:hanging="283" w:start="709" w:end="0"/>
        <w:jc w:val="start"/>
        <w:rPr/>
      </w:pPr>
      <w:bookmarkStart w:id="2" w:name="p-rc_e366685821c9c8b7-31"/>
      <w:bookmarkEnd w:id="2"/>
      <w:r>
        <w:rPr>
          <w:b w:val="false"/>
          <w:bCs w:val="false"/>
        </w:rPr>
        <w:t xml:space="preserve">Third-Party Integration: </w:t>
      </w:r>
      <w:r>
        <w:rPr/>
        <w:t xml:space="preserve">Certain sections are naturally generated by external software or specialized vendors. For instance, </w:t>
      </w:r>
      <w:r>
        <w:rPr>
          <w:rStyle w:val="SourceText"/>
        </w:rPr>
        <w:t>item080-AuditorReport.docx</w:t>
      </w:r>
      <w:r>
        <w:rPr/>
        <w:t xml:space="preserve"> is typically prepared and delivered by an outside auditing firm. </w:t>
      </w:r>
    </w:p>
    <w:p>
      <w:pPr>
        <w:pStyle w:val="Heading2"/>
        <w:numPr>
          <w:ilvl w:val="0"/>
          <w:numId w:val="0"/>
        </w:numPr>
        <w:bidi w:val="0"/>
        <w:spacing w:lineRule="auto" w:line="274" w:before="0" w:after="140"/>
        <w:ind w:hanging="0" w:start="0" w:end="0"/>
        <w:jc w:val="start"/>
        <w:rPr>
          <w:sz w:val="28"/>
          <w:szCs w:val="28"/>
        </w:rPr>
      </w:pPr>
      <w:r>
        <w:rPr>
          <w:rFonts w:ascii="Arial" w:hAnsi="Arial"/>
          <w:sz w:val="28"/>
          <w:szCs w:val="28"/>
        </w:rPr>
      </w:r>
    </w:p>
    <w:p>
      <w:pPr>
        <w:pStyle w:val="Heading2"/>
        <w:numPr>
          <w:ilvl w:val="0"/>
          <w:numId w:val="0"/>
        </w:numPr>
        <w:bidi w:val="0"/>
        <w:spacing w:lineRule="auto" w:line="274" w:before="0" w:after="140"/>
        <w:ind w:hanging="0" w:start="0" w:end="0"/>
        <w:jc w:val="start"/>
        <w:rPr>
          <w:sz w:val="28"/>
          <w:szCs w:val="28"/>
        </w:rPr>
      </w:pPr>
      <w:r>
        <w:rPr>
          <w:rFonts w:ascii="Arial" w:hAnsi="Arial"/>
          <w:sz w:val="28"/>
          <w:szCs w:val="28"/>
        </w:rPr>
        <w:t>Application Limitations</w:t>
      </w:r>
    </w:p>
    <w:p>
      <w:pPr>
        <w:pStyle w:val="BodyText"/>
        <w:bidi w:val="0"/>
        <w:spacing w:lineRule="auto" w:line="274" w:before="0" w:after="140"/>
        <w:ind w:hanging="0" w:start="0" w:end="0"/>
        <w:jc w:val="start"/>
        <w:rPr>
          <w:rFonts w:ascii="Times New Roman" w:hAnsi="Times New Roman"/>
        </w:rPr>
      </w:pPr>
      <w:bookmarkStart w:id="3" w:name="p-rc_e366685821c9c8b7-32"/>
      <w:bookmarkEnd w:id="3"/>
      <w:r>
        <w:rPr/>
        <w:t xml:space="preserve">To maintain a highly focused project scope, the application's direct editing and generation capabilities are strictly limited. </w:t>
      </w:r>
    </w:p>
    <w:p>
      <w:pPr>
        <w:pStyle w:val="BlockQuotation"/>
        <w:bidi w:val="0"/>
        <w:spacing w:lineRule="auto" w:line="274" w:before="0" w:after="283"/>
        <w:ind w:hanging="0" w:start="567" w:end="567"/>
        <w:jc w:val="start"/>
        <w:rPr/>
      </w:pPr>
      <w:bookmarkStart w:id="4" w:name="p-rc_e366685821c9c8b7-33"/>
      <w:bookmarkEnd w:id="4"/>
      <w:r>
        <w:rPr>
          <w:b/>
        </w:rPr>
        <w:t>Key Takeaway:</w:t>
      </w:r>
      <w:r>
        <w:rPr/>
        <w:t xml:space="preserve"> The software only edits and produces six specific files (for 10-K): </w:t>
      </w:r>
    </w:p>
    <w:p>
      <w:pPr>
        <w:pStyle w:val="BlockQuotation"/>
        <w:bidi w:val="0"/>
        <w:spacing w:lineRule="auto" w:line="274" w:before="0" w:after="283"/>
        <w:ind w:hanging="0" w:start="567" w:end="567"/>
        <w:jc w:val="start"/>
        <w:rPr/>
      </w:pPr>
      <w:r>
        <w:rPr/>
        <w:t>1. item001-10-k-cover.docx (Cover Page)</w:t>
      </w:r>
    </w:p>
    <w:p>
      <w:pPr>
        <w:pStyle w:val="BlockQuotation"/>
        <w:bidi w:val="0"/>
        <w:spacing w:lineRule="auto" w:line="274" w:before="0" w:after="283"/>
        <w:ind w:hanging="0" w:start="567" w:end="567"/>
        <w:jc w:val="start"/>
        <w:rPr/>
      </w:pPr>
      <w:r>
        <w:rPr/>
        <w:t>2. item002-10-k-TOC.docx (Table of Contents)</w:t>
      </w:r>
    </w:p>
    <w:p>
      <w:pPr>
        <w:pStyle w:val="BlockQuotation"/>
        <w:bidi w:val="0"/>
        <w:spacing w:lineRule="auto" w:line="274" w:before="0" w:after="283"/>
        <w:ind w:hanging="0" w:start="567" w:end="567"/>
        <w:jc w:val="start"/>
        <w:rPr/>
      </w:pPr>
      <w:r>
        <w:rPr>
          <w:rStyle w:val="SourceText"/>
        </w:rPr>
        <w:t>3. item070-MDA.docx</w:t>
      </w:r>
      <w:r>
        <w:rPr/>
        <w:t xml:space="preserve"> (Management's Discussion and Analysis) </w:t>
      </w:r>
    </w:p>
    <w:p>
      <w:pPr>
        <w:pStyle w:val="BlockQuotation"/>
        <w:bidi w:val="0"/>
        <w:spacing w:lineRule="auto" w:line="274" w:before="0" w:after="283"/>
        <w:ind w:hanging="0" w:start="567" w:end="567"/>
        <w:jc w:val="start"/>
        <w:rPr/>
      </w:pPr>
      <w:r>
        <w:rPr/>
        <w:t xml:space="preserve">4. </w:t>
      </w:r>
      <w:r>
        <w:rPr>
          <w:rStyle w:val="SourceText"/>
        </w:rPr>
        <w:t>item081-Financial-Statements.docx</w:t>
      </w:r>
      <w:r>
        <w:rPr/>
        <w:t xml:space="preserve"> (Balance Sheet, Income Statement, Cash Flow Statement, Stockholders Equity)</w:t>
      </w:r>
    </w:p>
    <w:p>
      <w:pPr>
        <w:pStyle w:val="BlockQuotation"/>
        <w:bidi w:val="0"/>
        <w:spacing w:lineRule="auto" w:line="274" w:before="0" w:after="283"/>
        <w:ind w:hanging="0" w:start="567" w:end="567"/>
        <w:jc w:val="start"/>
        <w:rPr>
          <w:rFonts w:ascii="Times New Roman" w:hAnsi="Times New Roman"/>
        </w:rPr>
      </w:pPr>
      <w:r>
        <w:rPr/>
        <w:t>5. item082-Notes-to-Financial-Statements.docx (Notes to Financial Statements)</w:t>
      </w:r>
    </w:p>
    <w:p>
      <w:pPr>
        <w:pStyle w:val="BlockQuotation"/>
        <w:bidi w:val="0"/>
        <w:spacing w:lineRule="auto" w:line="274" w:before="0" w:after="283"/>
        <w:ind w:hanging="0" w:start="567" w:end="567"/>
        <w:jc w:val="start"/>
        <w:rPr>
          <w:rFonts w:ascii="Times New Roman" w:hAnsi="Times New Roman"/>
        </w:rPr>
      </w:pPr>
      <w:r>
        <w:rPr/>
        <w:t>6. sec-10k-2025.htm (Complete Filing with iXBRL)</w:t>
      </w:r>
    </w:p>
    <w:p>
      <w:pPr>
        <w:pStyle w:val="BodyText"/>
        <w:bidi w:val="0"/>
        <w:spacing w:lineRule="auto" w:line="274" w:before="0" w:after="140"/>
        <w:ind w:hanging="0" w:start="0" w:end="0"/>
        <w:jc w:val="start"/>
        <w:rPr>
          <w:rFonts w:ascii="Times New Roman" w:hAnsi="Times New Roman"/>
        </w:rPr>
      </w:pPr>
      <w:bookmarkStart w:id="5" w:name="p-rc_e366685821c9c8b7-34"/>
      <w:bookmarkEnd w:id="5"/>
      <w:r>
        <w:rPr/>
        <w:t>The primary function of the application is to compile and merge the entire collection of individual item files into the final, cohesive Form 10-K or Form 10-Q report ready for submission to the SEC.</w:t>
      </w:r>
    </w:p>
    <w:sectPr>
      <w:type w:val="nextPage"/>
      <w:pgSz w:w="12240" w:h="15840"/>
      <w:pgMar w:left="1134" w:right="1134" w:gutter="0" w:header="0" w:top="1134" w:footer="0" w:bottom="1134"/>
      <w:pgNumType w:fmt="decimal"/>
      <w:formProt w:val="false"/>
      <w:textDirection w:val="lrTb"/>
      <w:docGrid w:type="default" w:linePitch="600" w:charSpace="2457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8"/>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NSimSun" w:cs="Lucida Sans"/>
      <w:color w:val="auto"/>
      <w:kern w:val="2"/>
      <w:sz w:val="28"/>
      <w:szCs w:val="24"/>
      <w:lang w:val="en-US" w:eastAsia="zh-CN" w:bidi="hi-IN"/>
    </w:rPr>
  </w:style>
  <w:style w:type="paragraph" w:styleId="Heading2">
    <w:name w:val="heading 2"/>
    <w:basedOn w:val="Heading"/>
    <w:next w:val="BodyText"/>
    <w:qFormat/>
    <w:pPr>
      <w:numPr>
        <w:ilvl w:val="1"/>
        <w:numId w:val="1"/>
      </w:numPr>
      <w:spacing w:before="200" w:after="120"/>
      <w:outlineLvl w:val="1"/>
    </w:pPr>
    <w:rPr>
      <w:rFonts w:ascii="Times New Roman" w:hAnsi="Times New Roman" w:eastAsia="NSimSun" w:cs="Lucida Sans"/>
      <w:b/>
      <w:bCs/>
      <w:sz w:val="36"/>
      <w:szCs w:val="36"/>
    </w:rPr>
  </w:style>
  <w:style w:type="paragraph" w:styleId="Heading3">
    <w:name w:val="heading 3"/>
    <w:basedOn w:val="Heading"/>
    <w:next w:val="BodyText"/>
    <w:qFormat/>
    <w:pPr>
      <w:numPr>
        <w:ilvl w:val="2"/>
        <w:numId w:val="1"/>
      </w:numPr>
      <w:spacing w:before="140" w:after="120"/>
      <w:outlineLvl w:val="2"/>
    </w:pPr>
    <w:rPr>
      <w:rFonts w:ascii="Times New Roman" w:hAnsi="Times New Roman" w:eastAsia="NSimSun" w:cs="Lucida Sans"/>
      <w:b/>
      <w:bCs/>
      <w:sz w:val="28"/>
      <w:szCs w:val="28"/>
    </w:rPr>
  </w:style>
  <w:style w:type="character" w:styleId="SourceText">
    <w:name w:val="Source Text"/>
    <w:qFormat/>
    <w:rPr>
      <w:rFonts w:ascii="Courier New" w:hAnsi="Courier New" w:eastAsia="NSimSun" w:cs="Courier New"/>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sz w:val="24"/>
    </w:rPr>
  </w:style>
  <w:style w:type="paragraph" w:styleId="PreformattedText">
    <w:name w:val="Preformatted Text"/>
    <w:basedOn w:val="Normal"/>
    <w:qFormat/>
    <w:pPr>
      <w:spacing w:before="0" w:after="0"/>
    </w:pPr>
    <w:rPr>
      <w:rFonts w:ascii="Times New Roman" w:hAnsi="Times New Roman" w:eastAsia="NSimSun" w:cs="Courier New"/>
      <w:sz w:val="28"/>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My Para Style</Template>
  <TotalTime>3</TotalTime>
  <Application>LibreOffice/26.2.4.2$Windows_X86_64 LibreOffice_project/0229ac93fcf0d7cbc6376066c6f35021cef002dc</Application>
  <AppVersion>15.0000</AppVersion>
  <Pages>4</Pages>
  <Words>722</Words>
  <Characters>4774</Characters>
  <CharactersWithSpaces>5984</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2026-08-17T16:28:42Z</dcterms:created>
  <dc:creator/>
  <dc:description/>
  <dc:language>en-US</dc:language>
  <cp:lastModifiedBy/>
  <dcterms:modified xsi:type="dcterms:W3CDTF">2026-08-17T16:32:41Z</dcterms:modified>
  <cp:revision>3</cp:revision>
  <dc:subject/>
  <dc:title>My Para Style</dc:title>
</cp:coreProperties>
</file>