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rFonts w:ascii="Times New Roman" w:hAnsi="Times New Roman"/>
          <w:color w:val="000000"/>
          <w:sz w:val="28"/>
        </w:rPr>
        <w:t>AI Agent Tutorial: MD&amp;A Narrative Generator – 6-Node Workflow</w:t>
      </w:r>
    </w:p>
    <w:p>
      <w:pPr>
        <w:pStyle w:val="Normal"/>
        <w:rPr/>
      </w:pPr>
      <w:r>
        <w:rPr>
          <w:color w:val="000000"/>
          <w:sz w:val="28"/>
        </w:rPr>
        <w:t>This tutorial uses mda_agent.py as the example, updated to reflect the six LangGraph nodes you specified.</w:t>
      </w:r>
    </w:p>
    <w:p>
      <w:pPr>
        <w:pStyle w:val="Heading1"/>
        <w:rPr/>
      </w:pPr>
      <w:r>
        <w:rPr>
          <w:rFonts w:ascii="Times New Roman" w:hAnsi="Times New Roman"/>
          <w:color w:val="000000"/>
          <w:sz w:val="28"/>
        </w:rPr>
        <w:t>1. What is an AI Agent?</w:t>
      </w:r>
    </w:p>
    <w:p>
      <w:pPr>
        <w:pStyle w:val="Normal"/>
        <w:rPr/>
      </w:pPr>
      <w:r>
        <w:rPr>
          <w:color w:val="000000"/>
          <w:sz w:val="28"/>
        </w:rPr>
        <w:t>An AI agent maintains state and executes a multi-step workflow to achieve a goal. In this example the goal is to produce a Management’s Discussion and Analysis (MD&amp;A) for a 10-Q or 10-K. The agent uses LangGraph StateGraph with a ReportState that flows through six specialized nodes.</w:t>
      </w:r>
    </w:p>
    <w:p>
      <w:pPr>
        <w:pStyle w:val="Heading1"/>
        <w:rPr/>
      </w:pPr>
      <w:r>
        <w:rPr>
          <w:rFonts w:ascii="Times New Roman" w:hAnsi="Times New Roman"/>
          <w:color w:val="000000"/>
          <w:sz w:val="28"/>
        </w:rPr>
        <w:t>2. Benefit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8"/>
        </w:rPr>
        <w:t>Modularity: each node does one job (validate, compute, enrich, generate, review).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8"/>
        </w:rPr>
        <w:t>Accuracy: Python calculates numbers before the LLM sees them.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8"/>
        </w:rPr>
        <w:t>Compliance: a dedicated review node checks SEC language.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8"/>
        </w:rPr>
        <w:t>Traceability: you can log state after any node.</w:t>
      </w:r>
    </w:p>
    <w:p>
      <w:pPr>
        <w:pStyle w:val="Heading1"/>
        <w:rPr/>
      </w:pPr>
      <w:r>
        <w:rPr>
          <w:rFonts w:ascii="Times New Roman" w:hAnsi="Times New Roman"/>
          <w:color w:val="000000"/>
          <w:sz w:val="28"/>
        </w:rPr>
        <w:t>3. How to Code It</w:t>
      </w:r>
    </w:p>
    <w:p>
      <w:pPr>
        <w:pStyle w:val="Normal"/>
        <w:rPr/>
      </w:pPr>
      <w:r>
        <w:rPr>
          <w:color w:val="000000"/>
          <w:sz w:val="28"/>
        </w:rPr>
        <w:t>The workflow is built exactly as you wrote:</w:t>
      </w:r>
    </w:p>
    <w:p>
      <w:pPr>
        <w:pStyle w:val="Normal"/>
        <w:rPr/>
      </w:pPr>
      <w:r>
        <w:rPr>
          <w:color w:val="000000"/>
          <w:sz w:val="28"/>
        </w:rPr>
        <w:t>workflow = StateGraph(ReportState)</w:t>
        <w:br/>
        <w:t>workflow.add_node("analyze_financials",  analyze_financials_node)</w:t>
        <w:br/>
        <w:t>workflow.add_node("validate_financials", validate_financials_node)</w:t>
        <w:br/>
        <w:t>workflow.add_node("compute_kpis",        compute_kpis_node)</w:t>
        <w:br/>
        <w:t>workflow.add_node("enrich_context",      enrich_context_node)</w:t>
        <w:br/>
        <w:t>workflow.add_node("generate_mda",        generate_mda_node)</w:t>
        <w:br/>
        <w:t>workflow.add_node("compliance_review",   compliance_review_node)</w:t>
        <w:br/>
        <w:br/>
        <w:t>workflow.set_entry_point("analyze_financials")</w:t>
        <w:br/>
        <w:t>workflow.add_edge("analyze_financials", "validate_financials")</w:t>
        <w:br/>
        <w:t>workflow.add_edge("validate_financials", "compute_kpis")</w:t>
        <w:br/>
        <w:t>workflow.add_edge("compute_kpis", "enrich_context")</w:t>
        <w:br/>
        <w:t>workflow.add_edge("enrich_context", "generate_mda")</w:t>
        <w:br/>
        <w:t>workflow.add_edge("generate_mda", "compliance_review")</w:t>
        <w:br/>
        <w:t>workflow.add_edge("compliance_review", END)</w:t>
      </w:r>
    </w:p>
    <w:p>
      <w:pPr>
        <w:pStyle w:val="Heading1"/>
        <w:rPr/>
      </w:pPr>
      <w:r>
        <w:rPr>
          <w:rFonts w:ascii="Times New Roman" w:hAnsi="Times New Roman"/>
          <w:color w:val="000000"/>
          <w:sz w:val="28"/>
        </w:rPr>
        <w:t>4. The Six Nodes</w:t>
      </w:r>
    </w:p>
    <w:p>
      <w:pPr>
        <w:pStyle w:val="Normal"/>
        <w:rPr/>
      </w:pPr>
      <w:r>
        <w:rPr>
          <w:b/>
          <w:color w:val="000000"/>
          <w:sz w:val="28"/>
        </w:rPr>
        <w:t xml:space="preserve">analyze_financials: </w:t>
      </w:r>
      <w:r>
        <w:rPr>
          <w:color w:val="000000"/>
          <w:sz w:val="28"/>
        </w:rPr>
        <w:t>Node 1 – initializes ReportState, sets status="analyzing", runs the three _summarize_* helpers to create balance_sheet_summary, income_summary, cash_flow_summary.</w:t>
      </w:r>
    </w:p>
    <w:p>
      <w:pPr>
        <w:pStyle w:val="Normal"/>
        <w:rPr/>
      </w:pPr>
      <w:r>
        <w:rPr>
          <w:b/>
          <w:color w:val="000000"/>
          <w:sz w:val="28"/>
        </w:rPr>
        <w:t xml:space="preserve">validate_financials: </w:t>
      </w:r>
      <w:r>
        <w:rPr>
          <w:color w:val="000000"/>
          <w:sz w:val="28"/>
        </w:rPr>
        <w:t>Node 2 – checks that Total Assets ≈ Liabilities + Equity, verifies prior-period data exists, and records any validation_issues.</w:t>
      </w:r>
    </w:p>
    <w:p>
      <w:pPr>
        <w:pStyle w:val="Normal"/>
        <w:rPr/>
      </w:pPr>
      <w:r>
        <w:rPr>
          <w:b/>
          <w:color w:val="000000"/>
          <w:sz w:val="28"/>
        </w:rPr>
        <w:t xml:space="preserve">compute_kpis: </w:t>
      </w:r>
      <w:r>
        <w:rPr>
          <w:color w:val="000000"/>
          <w:sz w:val="28"/>
        </w:rPr>
        <w:t>Node 3 – calculates deterministic metrics (YoY revenue growth %, net margin %, operating cash margin) and stores them as kpi_summary.</w:t>
      </w:r>
    </w:p>
    <w:p>
      <w:pPr>
        <w:pStyle w:val="Normal"/>
        <w:rPr/>
      </w:pPr>
      <w:r>
        <w:rPr>
          <w:b/>
          <w:color w:val="000000"/>
          <w:sz w:val="28"/>
        </w:rPr>
        <w:t xml:space="preserve">enrich_context: </w:t>
      </w:r>
      <w:r>
        <w:rPr>
          <w:color w:val="000000"/>
          <w:sz w:val="28"/>
        </w:rPr>
        <w:t>Node 4 – injects business_description, key initiatives, and acquisition details so the LLM does not create bracketed placeholders.</w:t>
      </w:r>
    </w:p>
    <w:p>
      <w:pPr>
        <w:pStyle w:val="Normal"/>
        <w:rPr/>
      </w:pPr>
      <w:r>
        <w:rPr>
          <w:b/>
          <w:color w:val="000000"/>
          <w:sz w:val="28"/>
        </w:rPr>
        <w:t xml:space="preserve">generate_mda: </w:t>
      </w:r>
      <w:r>
        <w:rPr>
          <w:color w:val="000000"/>
          <w:sz w:val="28"/>
        </w:rPr>
        <w:t>Node 5 – builds the system prompt ("senior financial analyst...") and user prompt with summaries and KPIs, then calls llm.invoke(ChatOllama).</w:t>
      </w:r>
    </w:p>
    <w:p>
      <w:pPr>
        <w:pStyle w:val="Normal"/>
        <w:rPr/>
      </w:pPr>
      <w:r>
        <w:rPr>
          <w:b/>
          <w:color w:val="000000"/>
          <w:sz w:val="28"/>
        </w:rPr>
        <w:t xml:space="preserve">compliance_review: </w:t>
      </w:r>
      <w:r>
        <w:rPr>
          <w:color w:val="000000"/>
          <w:sz w:val="28"/>
        </w:rPr>
        <w:t>Node 6 – runs a second LLM pass to ensure Forward-Looking Statements disclaimer, Liquidity and Capital Resources headings, and factual tone are present.</w:t>
      </w:r>
    </w:p>
    <w:p>
      <w:pPr>
        <w:pStyle w:val="Heading1"/>
        <w:rPr/>
      </w:pPr>
      <w:r>
        <w:rPr>
          <w:rFonts w:ascii="Times New Roman" w:hAnsi="Times New Roman"/>
          <w:color w:val="000000"/>
          <w:sz w:val="28"/>
        </w:rPr>
        <w:t>5. Input</w:t>
      </w:r>
    </w:p>
    <w:p>
      <w:pPr>
        <w:pStyle w:val="Normal"/>
        <w:rPr/>
      </w:pPr>
      <w:r>
        <w:rPr>
          <w:color w:val="000000"/>
          <w:sz w:val="28"/>
        </w:rPr>
        <w:t>From schemas.py: List[BalanceSheetRow], List[IncomeStatementRow], List[CashFlowRow], year, quarter, period_label, prior_label.</w:t>
      </w:r>
    </w:p>
    <w:p>
      <w:pPr>
        <w:pStyle w:val="Heading1"/>
        <w:rPr/>
      </w:pPr>
      <w:r>
        <w:rPr>
          <w:rFonts w:ascii="Times New Roman" w:hAnsi="Times New Roman"/>
          <w:color w:val="000000"/>
          <w:sz w:val="28"/>
        </w:rPr>
        <w:t>6. What the LLM Does</w:t>
      </w:r>
    </w:p>
    <w:p>
      <w:pPr>
        <w:pStyle w:val="Normal"/>
        <w:rPr/>
      </w:pPr>
      <w:r>
        <w:rPr>
          <w:color w:val="000000"/>
          <w:sz w:val="28"/>
        </w:rPr>
        <w:t xml:space="preserve">The LLM does not store sentences. It creates them at runtime because </w:t>
      </w:r>
      <w:r>
        <w:rPr>
          <w:color w:val="000000"/>
          <w:sz w:val="28"/>
        </w:rPr>
        <w:t>it</w:t>
      </w:r>
      <w:r>
        <w:rPr>
          <w:color w:val="000000"/>
          <w:sz w:val="28"/>
        </w:rPr>
        <w:t>: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8"/>
        </w:rPr>
        <w:t>Recognizes the genre — it's been trained on thousands of real 10-K MD&amp;As, so it knows the SEC boilerplate ("Forward-Looking Statements disclaimer," "Liquidity and Capital Resources", etc.).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  <w:sz w:val="28"/>
        </w:rPr>
        <w:t>Fills the outline — it takes your headings and expands each one into paragraphs, weaving in the numbers you gave it (e.g. $70M revenue, $3.4M operating cash).</w:t>
      </w:r>
    </w:p>
    <w:p>
      <w:pPr>
        <w:pStyle w:val="Heading1"/>
        <w:rPr/>
      </w:pPr>
      <w:r>
        <w:rPr>
          <w:rFonts w:ascii="Times New Roman" w:hAnsi="Times New Roman"/>
          <w:color w:val="000000"/>
          <w:sz w:val="28"/>
        </w:rPr>
        <w:t>7. Output</w:t>
      </w:r>
    </w:p>
    <w:p>
      <w:pPr>
        <w:pStyle w:val="Normal"/>
        <w:rPr/>
      </w:pPr>
      <w:r>
        <w:rPr>
          <w:color w:val="000000"/>
          <w:sz w:val="28"/>
        </w:rPr>
        <w:t>After node 6, state["mda_narrative"] contains the final MD&amp;A text, returned as MDAResponse(narrative=..., year=..., quarter=...).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Times New Roman" w:hAnsi="Times New Roman"/>
          <w:color w:val="000000"/>
          <w:sz w:val="28"/>
        </w:rPr>
        <w:t>Appendix: 6-Node Diagram</w:t>
      </w:r>
    </w:p>
    <w:p>
      <w:pPr>
        <w:pStyle w:val="Normal"/>
        <w:rPr/>
      </w:pPr>
      <w:r>
        <w:rPr>
          <w:color w:val="000000"/>
          <w:sz w:val="28"/>
        </w:rPr>
        <w:t>Visual reference for the workflow.add_node calls: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drawing>
          <wp:inline distT="0" distB="0" distL="0" distR="0">
            <wp:extent cx="5669280" cy="724408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724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ＭＳ 明朝" w:cs=""/>
      <w:color w:val="000000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000000"/>
      <w:sz w:val="28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>
      <w:rFonts w:ascii="Times New Roman" w:hAnsi="Times New Roman"/>
      <w:color w:val="000000"/>
      <w:sz w:val="28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>
      <w:rFonts w:ascii="Times New Roman" w:hAnsi="Times New Roman"/>
      <w:color w:val="000000"/>
      <w:sz w:val="28"/>
    </w:rPr>
  </w:style>
  <w:style w:type="character" w:styleId="DefaultParagraphFont" w:default="1">
    <w:name w:val="Default Paragraph Font"/>
    <w:uiPriority w:val="1"/>
    <w:semiHidden/>
    <w:unhideWhenUsed/>
    <w:qFormat/>
    <w:rPr>
      <w:rFonts w:ascii="Times New Roman" w:hAnsi="Times New Roman"/>
      <w:color w:val="000000"/>
      <w:sz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kern w:val="2"/>
      <w:sz w:val="28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000000"/>
      <w:spacing w:val="15"/>
      <w:sz w:val="28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>
      <w:rFonts w:ascii="Times New Roman" w:hAnsi="Times New Roman"/>
      <w:color w:val="000000"/>
      <w:sz w:val="28"/>
    </w:rPr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>
      <w:rFonts w:ascii="Times New Roman" w:hAnsi="Times New Roman"/>
      <w:color w:val="000000"/>
      <w:sz w:val="28"/>
    </w:rPr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rFonts w:ascii="Times New Roman" w:hAnsi="Times New Roman"/>
      <w:color w:val="000000"/>
      <w:sz w:val="28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Times New Roman" w:hAnsi="Times New Roman"/>
      <w:color w:val="000000"/>
      <w:sz w:val="28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rFonts w:ascii="Times New Roman" w:hAnsi="Times New Roman"/>
      <w:i/>
      <w:iCs/>
      <w:color w:val="000000"/>
      <w:sz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000000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000000"/>
      <w:sz w:val="28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000000"/>
      <w:sz w:val="28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000000"/>
      <w:sz w:val="28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000000"/>
      <w:sz w:val="28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000000"/>
      <w:sz w:val="28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color w:val="000000"/>
      <w:sz w:val="28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rFonts w:ascii="Times New Roman" w:hAnsi="Times New Roman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color w:val="000000"/>
      <w:spacing w:val="5"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>
      <w:rFonts w:ascii="Times New Roman" w:hAnsi="Times New Roman"/>
      <w:color w:val="000000"/>
      <w:sz w:val="28"/>
    </w:rPr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>
      <w:rFonts w:ascii="Times New Roman" w:hAnsi="Times New Roman"/>
      <w:color w:val="000000"/>
      <w:sz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rFonts w:ascii="Times New Roman" w:hAnsi="Times New Roman"/>
      <w:b/>
      <w:bCs/>
      <w:color w:val="000000"/>
      <w:sz w:val="2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Times New Roman" w:hAnsi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Times New Roman" w:hAnsi="Times New Roman"/>
      <w:color w:val="000000"/>
      <w:sz w:val="28"/>
    </w:rPr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Times New Roman" w:hAnsi="Times New Roman" w:eastAsia="ＭＳ 明朝" w:cs=""/>
      <w:color w:val="000000"/>
      <w:kern w:val="0"/>
      <w:sz w:val="28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kern w:val="2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>
      <w:rFonts w:ascii="Times New Roman" w:hAnsi="Times New Roman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>
      <w:rFonts w:ascii="Times New Roman" w:hAnsi="Times New Roman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rFonts w:ascii="Times New Roman" w:hAnsi="Times New Roman"/>
      <w:color w:val="000000"/>
      <w:sz w:val="28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>
      <w:rFonts w:ascii="Times New Roman" w:hAnsi="Times New Roman"/>
      <w:color w:val="000000"/>
      <w:sz w:val="28"/>
    </w:rPr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>
      <w:rFonts w:ascii="Times New Roman" w:hAnsi="Times New Roman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>
      <w:rFonts w:ascii="Times New Roman" w:hAnsi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>
      <w:rFonts w:ascii="Times New Roman" w:hAnsi="Times New Roman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>
      <w:rFonts w:ascii="Times New Roman" w:hAnsi="Times New Roman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>
      <w:rFonts w:ascii="Times New Roman" w:hAnsi="Times New Roman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>
      <w:rFonts w:ascii="Times New Roman" w:hAnsi="Times New Roman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>
      <w:rFonts w:ascii="Times New Roman" w:hAnsi="Times New Roman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>
      <w:rFonts w:ascii="Times New Roman" w:hAnsi="Times New Roman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>
      <w:rFonts w:ascii="Times New Roman" w:hAnsi="Times New Roman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>
      <w:rFonts w:ascii="Times New Roman" w:hAnsi="Times New Roman"/>
      <w:color w:val="000000"/>
      <w:sz w:val="28"/>
    </w:rPr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Times New Roman" w:hAnsi="Times New Roman" w:eastAsia="ＭＳ 明朝" w:cs=""/>
      <w:color w:val="000000"/>
      <w:kern w:val="0"/>
      <w:sz w:val="28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rFonts w:ascii="Times New Roman" w:hAnsi="Times New Roman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rFonts w:ascii="Times New Roman" w:hAnsi="Times New Roman"/>
      <w:b/>
      <w:bCs/>
      <w:i/>
      <w:iCs/>
      <w:color w:val="000000"/>
      <w:sz w:val="28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color w:val="000000"/>
      <w:sz w:val="2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rPr>
      <w:sz w:val="28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sz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sz w:val="28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sz w:val="28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sz w:val="28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sz w:val="28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sz w:val="28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sz w:val="28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sz w:val="28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sz w:val="28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sz w:val="28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sz w:val="28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sz w:val="28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sz w:val="28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sz w:val="28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sz w:val="28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sz w:val="28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LibreOffice/25.8.6.2$Windows_X86_64 LibreOffice_project/b4b39682cd9868fa725bc664aff94278d315bd04</Application>
  <AppVersion>15.0000</AppVersion>
  <Pages>3</Pages>
  <Words>390</Words>
  <Characters>2940</Characters>
  <CharactersWithSpaces>3327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2026-05-30T16:35:13Z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