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4" w:before="0" w:after="140"/>
        <w:ind w:hanging="0" w:start="0" w:end="0"/>
        <w:jc w:val="start"/>
        <w:rPr>
          <w:rFonts w:ascii="Arial" w:hAnsi="Arial"/>
          <w:b/>
          <w:bCs/>
        </w:rPr>
      </w:pPr>
      <w:r>
        <w:rPr>
          <w:rFonts w:ascii="Arial" w:hAnsi="Arial"/>
          <w:b/>
          <w:bCs/>
        </w:rPr>
        <w:t>Difference between 10-K and 10-Q Report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 xml:space="preserve">The core difference comes down to </w:t>
      </w:r>
      <w:r>
        <w:rPr>
          <w:rFonts w:ascii="Google Sans Text;sans-serif" w:hAnsi="Google Sans Text;sans-serif"/>
          <w:b/>
        </w:rPr>
        <w:t>scope</w:t>
      </w:r>
      <w:r>
        <w:rPr>
          <w:rFonts w:ascii="Google Sans Text;sans-serif" w:hAnsi="Google Sans Text;sans-serif"/>
        </w:rPr>
        <w:t xml:space="preserve"> and </w:t>
      </w:r>
      <w:r>
        <w:rPr>
          <w:rFonts w:ascii="Google Sans Text;sans-serif" w:hAnsi="Google Sans Text;sans-serif"/>
          <w:b/>
        </w:rPr>
        <w:t>frequency</w:t>
      </w:r>
      <w:r>
        <w:rPr>
          <w:rFonts w:ascii="Google Sans Text;sans-serif" w:hAnsi="Google Sans Text;sans-serif"/>
        </w:rPr>
        <w:t xml:space="preserve">. Think of a </w:t>
      </w:r>
      <w:r>
        <w:rPr>
          <w:rFonts w:ascii="Google Sans Text;sans-serif" w:hAnsi="Google Sans Text;sans-serif"/>
          <w:b/>
        </w:rPr>
        <w:t>10-K</w:t>
      </w:r>
      <w:r>
        <w:rPr>
          <w:rFonts w:ascii="Google Sans Text;sans-serif" w:hAnsi="Google Sans Text;sans-serif"/>
        </w:rPr>
        <w:t xml:space="preserve"> as a company's comprehensive annual biography, while a </w:t>
      </w:r>
      <w:r>
        <w:rPr>
          <w:rFonts w:ascii="Google Sans Text;sans-serif" w:hAnsi="Google Sans Text;sans-serif"/>
          <w:b/>
        </w:rPr>
        <w:t>10-Q</w:t>
      </w:r>
      <w:r>
        <w:rPr>
          <w:rFonts w:ascii="Google Sans Text;sans-serif" w:hAnsi="Google Sans Text;sans-serif"/>
        </w:rPr>
        <w:t xml:space="preserve"> is a quick, quarterly progress report.</w:t>
      </w:r>
    </w:p>
    <w:p>
      <w:pPr>
        <w:sectPr>
          <w:type w:val="nextPage"/>
          <w:pgSz w:w="12240" w:h="15840"/>
          <w:pgMar w:left="1134" w:right="1134" w:gutter="0" w:header="0" w:top="1134" w:footer="0" w:bottom="1134"/>
          <w:pgNumType w:fmt="decimal"/>
          <w:formProt w:val="false"/>
          <w:textDirection w:val="lrTb"/>
        </w:sectPr>
      </w:pPr>
    </w:p>
    <w:p>
      <w:pPr>
        <w:pStyle w:val="BodyText"/>
        <w:bidi w:val="0"/>
        <w:spacing w:lineRule="auto" w:line="274" w:before="0" w:after="140"/>
        <w:ind w:hanging="0" w:start="0" w:end="0"/>
        <w:jc w:val="start"/>
        <w:rPr>
          <w:rFonts w:ascii="Times New Roman" w:hAnsi="Times New Roman"/>
        </w:rPr>
      </w:pPr>
      <w:r>
        <w:rPr>
          <w:rFonts w:ascii="Times New Roman" w:hAnsi="Times New Roman"/>
        </w:rPr>
        <w:t>Both are mandatory filings required by the U.S. Securities and Exchange Commission (SEC) for publicly traded companies, but they serve different purposes for investors.</w:t>
      </w:r>
    </w:p>
    <w:p>
      <w:pPr>
        <w:pStyle w:val="Heading3"/>
        <w:bidi w:val="0"/>
        <w:spacing w:lineRule="auto" w:line="274" w:before="0" w:after="140"/>
        <w:ind w:hanging="0" w:start="0" w:end="0"/>
        <w:jc w:val="start"/>
        <w:rPr>
          <w:rFonts w:ascii="Times New Roman" w:hAnsi="Times New Roman"/>
        </w:rPr>
      </w:pPr>
      <w:r>
        <w:rPr>
          <w:rFonts w:ascii="Times New Roman" w:hAnsi="Times New Roman"/>
        </w:rPr>
        <w:t>Key Differences at a Glance</w:t>
      </w:r>
    </w:p>
    <w:tbl>
      <w:tblPr>
        <w:tblW w:w="9972" w:type="dxa"/>
        <w:jc w:val="start"/>
        <w:tblInd w:w="0" w:type="dxa"/>
        <w:tblLayout w:type="fixed"/>
        <w:tblCellMar>
          <w:top w:w="120" w:type="dxa"/>
          <w:start w:w="180" w:type="dxa"/>
          <w:bottom w:w="120" w:type="dxa"/>
          <w:end w:w="180" w:type="dxa"/>
        </w:tblCellMar>
      </w:tblPr>
      <w:tblGrid>
        <w:gridCol w:w="1985"/>
        <w:gridCol w:w="3975"/>
        <w:gridCol w:w="4012"/>
      </w:tblGrid>
      <w:tr>
        <w:trPr>
          <w:tblHeader w:val="true"/>
        </w:trPr>
        <w:tc>
          <w:tcPr>
            <w:tcW w:w="198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Feature</w:t>
            </w:r>
          </w:p>
        </w:tc>
        <w:tc>
          <w:tcPr>
            <w:tcW w:w="397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10-K Report</w:t>
            </w:r>
          </w:p>
        </w:tc>
        <w:tc>
          <w:tcPr>
            <w:tcW w:w="401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Times New Roman" w:hAnsi="Times New Roman"/>
              </w:rPr>
              <w:t>10-Q Report</w:t>
            </w:r>
          </w:p>
        </w:tc>
      </w:tr>
      <w:tr>
        <w:trPr/>
        <w:tc>
          <w:tcPr>
            <w:tcW w:w="198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Frequency</w:t>
            </w:r>
          </w:p>
        </w:tc>
        <w:tc>
          <w:tcPr>
            <w:tcW w:w="397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Once a year (covers the full fiscal year)</w:t>
            </w:r>
          </w:p>
        </w:tc>
        <w:tc>
          <w:tcPr>
            <w:tcW w:w="401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Three times a year (covers Q1, Q2, and Q3)</w:t>
            </w:r>
          </w:p>
        </w:tc>
      </w:tr>
      <w:tr>
        <w:trPr/>
        <w:tc>
          <w:tcPr>
            <w:tcW w:w="198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Audit Status</w:t>
            </w:r>
          </w:p>
        </w:tc>
        <w:tc>
          <w:tcPr>
            <w:tcW w:w="397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b/>
              </w:rPr>
              <w:t>Audited</w:t>
            </w:r>
            <w:r>
              <w:rPr>
                <w:rFonts w:ascii="Times New Roman" w:hAnsi="Times New Roman"/>
              </w:rPr>
              <w:t xml:space="preserve"> by an independent CPA firm</w:t>
            </w:r>
          </w:p>
        </w:tc>
        <w:tc>
          <w:tcPr>
            <w:tcW w:w="401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b/>
              </w:rPr>
              <w:t>Unaudited</w:t>
            </w:r>
            <w:r>
              <w:rPr>
                <w:rFonts w:ascii="Times New Roman" w:hAnsi="Times New Roman"/>
              </w:rPr>
              <w:t xml:space="preserve"> (reviewed, but not fully audited)</w:t>
            </w:r>
          </w:p>
        </w:tc>
      </w:tr>
      <w:tr>
        <w:trPr/>
        <w:tc>
          <w:tcPr>
            <w:tcW w:w="198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Size &amp; Detail</w:t>
            </w:r>
          </w:p>
        </w:tc>
        <w:tc>
          <w:tcPr>
            <w:tcW w:w="397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Massive and deeply detailed</w:t>
            </w:r>
          </w:p>
        </w:tc>
        <w:tc>
          <w:tcPr>
            <w:tcW w:w="401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Shorter, focusing mainly on recent changes</w:t>
            </w:r>
          </w:p>
        </w:tc>
      </w:tr>
      <w:tr>
        <w:trPr/>
        <w:tc>
          <w:tcPr>
            <w:tcW w:w="198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b/>
              </w:rPr>
            </w:pPr>
            <w:r>
              <w:rPr>
                <w:rFonts w:ascii="Times New Roman" w:hAnsi="Times New Roman"/>
                <w:b/>
              </w:rPr>
              <w:t>Key Inclusions</w:t>
            </w:r>
          </w:p>
        </w:tc>
        <w:tc>
          <w:tcPr>
            <w:tcW w:w="397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Corporate history, executive pay, full market risk analysis, audited financial statements</w:t>
            </w:r>
          </w:p>
        </w:tc>
        <w:tc>
          <w:tcPr>
            <w:tcW w:w="401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Times New Roman" w:hAnsi="Times New Roman"/>
              </w:rPr>
            </w:pPr>
            <w:r>
              <w:rPr>
                <w:rFonts w:ascii="Times New Roman" w:hAnsi="Times New Roman"/>
              </w:rPr>
              <w:t>Basic financial statements, updates on legal proceedings, minor risk updates</w:t>
            </w:r>
          </w:p>
        </w:tc>
      </w:tr>
    </w:tbl>
    <w:p>
      <w:pPr>
        <w:pStyle w:val="Heading3"/>
        <w:bidi w:val="0"/>
        <w:spacing w:lineRule="auto" w:line="274" w:before="0" w:after="140"/>
        <w:ind w:hanging="0" w:start="0" w:end="0"/>
        <w:jc w:val="start"/>
        <w:rPr>
          <w:rFonts w:ascii="Times New Roman" w:hAnsi="Times New Roman"/>
        </w:rPr>
      </w:pPr>
      <w:r>
        <w:rPr>
          <w:rFonts w:ascii="Times New Roman" w:hAnsi="Times New Roman"/>
        </w:rPr>
      </w:r>
    </w:p>
    <w:p>
      <w:pPr>
        <w:pStyle w:val="Heading3"/>
        <w:bidi w:val="0"/>
        <w:spacing w:lineRule="auto" w:line="274" w:before="0" w:after="140"/>
        <w:ind w:hanging="0" w:start="0" w:end="0"/>
        <w:jc w:val="start"/>
        <w:rPr>
          <w:rFonts w:ascii="Times New Roman" w:hAnsi="Times New Roman"/>
        </w:rPr>
      </w:pPr>
      <w:r>
        <w:rPr>
          <w:rFonts w:ascii="Times New Roman" w:hAnsi="Times New Roman"/>
        </w:rPr>
        <w:t>10-K: The Deep Dive</w:t>
      </w:r>
    </w:p>
    <w:p>
      <w:pPr>
        <w:pStyle w:val="BodyText"/>
        <w:bidi w:val="0"/>
        <w:spacing w:lineRule="auto" w:line="274" w:before="0" w:after="140"/>
        <w:ind w:hanging="0" w:start="0" w:end="0"/>
        <w:jc w:val="start"/>
        <w:rPr>
          <w:rFonts w:ascii="Times New Roman" w:hAnsi="Times New Roman"/>
        </w:rPr>
      </w:pPr>
      <w:r>
        <w:rPr>
          <w:rFonts w:ascii="Times New Roman" w:hAnsi="Times New Roman"/>
        </w:rPr>
        <w:t>Because the 10-K is published at the end of the fiscal year, it provides a panoramic view of the company’s financial health. It includes a detailed narrative of the business operations, market share, risk factors, and legal struggles.</w:t>
      </w:r>
    </w:p>
    <w:p>
      <w:pPr>
        <w:pStyle w:val="BodyText"/>
        <w:bidi w:val="0"/>
        <w:spacing w:lineRule="auto" w:line="274" w:before="0" w:after="140"/>
        <w:ind w:hanging="0" w:start="0" w:end="0"/>
        <w:jc w:val="start"/>
        <w:rPr>
          <w:rFonts w:ascii="Times New Roman" w:hAnsi="Times New Roman"/>
        </w:rPr>
      </w:pPr>
      <w:r>
        <w:rPr>
          <w:rFonts w:ascii="Times New Roman" w:hAnsi="Times New Roman"/>
        </w:rPr>
        <w:t xml:space="preserve">Most importantly, the financial statements in a 10-K </w:t>
      </w:r>
      <w:r>
        <w:rPr>
          <w:rFonts w:ascii="Times New Roman" w:hAnsi="Times New Roman"/>
          <w:b/>
        </w:rPr>
        <w:t>must be audited</w:t>
      </w:r>
      <w:r>
        <w:rPr>
          <w:rFonts w:ascii="Times New Roman" w:hAnsi="Times New Roman"/>
        </w:rPr>
        <w:t xml:space="preserve"> by an outside accounting firm. This audit gives investors a high level of confidence that the numbers haven't been manipulated.</w:t>
      </w:r>
    </w:p>
    <w:p>
      <w:pPr>
        <w:pStyle w:val="Heading3"/>
        <w:bidi w:val="0"/>
        <w:spacing w:lineRule="auto" w:line="274" w:before="0" w:after="140"/>
        <w:ind w:hanging="0" w:start="0" w:end="0"/>
        <w:jc w:val="start"/>
        <w:rPr>
          <w:rFonts w:ascii="Times New Roman" w:hAnsi="Times New Roman"/>
        </w:rPr>
      </w:pPr>
      <w:r>
        <w:rPr>
          <w:rFonts w:ascii="Times New Roman" w:hAnsi="Times New Roman"/>
        </w:rPr>
        <w:t>10-Q: The Pulse Check</w:t>
      </w:r>
    </w:p>
    <w:p>
      <w:pPr>
        <w:pStyle w:val="BodyText"/>
        <w:bidi w:val="0"/>
        <w:spacing w:lineRule="auto" w:line="274" w:before="0" w:after="140"/>
        <w:ind w:hanging="0" w:start="0" w:end="0"/>
        <w:jc w:val="start"/>
        <w:rPr>
          <w:rFonts w:ascii="Times New Roman" w:hAnsi="Times New Roman"/>
        </w:rPr>
      </w:pPr>
      <w:r>
        <w:rPr>
          <w:rFonts w:ascii="Times New Roman" w:hAnsi="Times New Roman"/>
        </w:rPr>
        <w:t>The 10-Q is designed to give investors a continuous look at how the company is doing throughout the year. It focuses strictly on the financial results of the latest quarter and compares them to the same quarter from the previous year.</w:t>
      </w:r>
    </w:p>
    <w:p>
      <w:pPr>
        <w:pStyle w:val="BodyText"/>
        <w:bidi w:val="0"/>
        <w:spacing w:lineRule="auto" w:line="274" w:before="0" w:after="140"/>
        <w:ind w:hanging="0" w:start="0" w:end="0"/>
        <w:jc w:val="start"/>
        <w:rPr>
          <w:rFonts w:ascii="Times New Roman" w:hAnsi="Times New Roman"/>
        </w:rPr>
      </w:pPr>
      <w:r>
        <w:rPr>
          <w:rFonts w:ascii="Times New Roman" w:hAnsi="Times New Roman"/>
        </w:rPr>
        <w:t xml:space="preserve">Because companies have to put these together quickly every three months, the SEC </w:t>
      </w:r>
      <w:r>
        <w:rPr>
          <w:rFonts w:ascii="Times New Roman" w:hAnsi="Times New Roman"/>
          <w:b/>
        </w:rPr>
        <w:t>does not require them to be audited</w:t>
      </w:r>
      <w:r>
        <w:rPr>
          <w:rFonts w:ascii="Times New Roman" w:hAnsi="Times New Roman"/>
        </w:rPr>
        <w:t>. They are only reviewed by accountants, meaning they are a bit more raw and subject to adjustments later in the year.</w:t>
      </w:r>
    </w:p>
    <w:p>
      <w:pPr>
        <w:pStyle w:val="BlockQuotation"/>
        <w:bidi w:val="0"/>
        <w:spacing w:lineRule="auto" w:line="274" w:before="0" w:after="283"/>
        <w:ind w:hanging="0" w:start="0" w:end="567"/>
        <w:jc w:val="start"/>
        <w:rPr>
          <w:rFonts w:ascii="Times New Roman" w:hAnsi="Times New Roman"/>
        </w:rPr>
      </w:pPr>
      <w:r>
        <w:rPr>
          <w:rFonts w:ascii="Times New Roman" w:hAnsi="Times New Roman"/>
          <w:b/>
        </w:rPr>
        <w:t>Note:</w:t>
      </w:r>
      <w:r>
        <w:rPr>
          <w:rFonts w:ascii="Times New Roman" w:hAnsi="Times New Roman"/>
        </w:rPr>
        <w:t xml:space="preserve"> There is no 10-Q for the fourth quarter. The data for Q4 is rolled directly into the massive, final 10-K report.</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Arial">
    <w:charset w:val="01"/>
    <w:family w:val="swiss"/>
    <w:pitch w:val="variable"/>
  </w:font>
  <w:font w:name="Google Sans Text">
    <w:altName w:val="sans-serif"/>
    <w:charset w:val="00" w:characterSet="windows-1252"/>
    <w:family w:val="auto"/>
    <w:pitch w:val="default"/>
  </w:font>
  <w:font w:name="Times New Roman">
    <w:charset w:val="01"/>
    <w:family w:val="roman"/>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en-US" w:eastAsia="zh-CN" w:bidi="hi-IN"/>
      </w:rPr>
    </w:rPrDefault>
    <w:pPrDefault>
      <w:pPr>
        <w:widowControl/>
        <w:suppressAutoHyphens w:val="true"/>
      </w:pPr>
    </w:pPrDefault>
  </w:docDefaults>
  <w:style w:type="paragraph" w:styleId="Normal">
    <w:name w:val="Normal"/>
    <w:qFormat/>
    <w:pPr>
      <w:widowControl/>
      <w:bidi w:val="0"/>
    </w:pPr>
    <w:rPr>
      <w:rFonts w:ascii="Times New Roman" w:hAnsi="Times New Roman" w:eastAsia="NSimSun" w:cs="Lucida Sans"/>
      <w:color w:val="auto"/>
      <w:kern w:val="2"/>
      <w:sz w:val="28"/>
      <w:szCs w:val="24"/>
      <w:lang w:val="en-US" w:eastAsia="zh-CN" w:bidi="hi-IN"/>
    </w:rPr>
  </w:style>
  <w:style w:type="paragraph" w:styleId="Heading3">
    <w:name w:val="heading 3"/>
    <w:basedOn w:val="Heading"/>
    <w:next w:val="BodyText"/>
    <w:qFormat/>
    <w:pPr>
      <w:spacing w:before="140" w:after="120"/>
      <w:outlineLvl w:val="2"/>
    </w:pPr>
    <w:rPr>
      <w:rFonts w:ascii="Times New Roman" w:hAnsi="Times New Roman" w:eastAsia="NSimSun" w:cs="Lucida Sans"/>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TotalTime>
  <Application>LibreOffice/25.8.6.2$Windows_X86_64 LibreOffice_project/b4b39682cd9868fa725bc664aff94278d315bd04</Application>
  <AppVersion>15.0000</AppVersion>
  <Pages>2</Pages>
  <Words>317</Words>
  <Characters>1639</Characters>
  <CharactersWithSpaces>1930</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2026-05-25T14:55:37Z</dcterms:created>
  <dc:creator/>
  <dc:description/>
  <dc:language>en-US</dc:language>
  <cp:lastModifiedBy/>
  <dcterms:modified xsi:type="dcterms:W3CDTF">2026-05-25T17:24:14Z</dcterms:modified>
  <cp:revision>2</cp:revision>
  <dc:subject/>
  <dc:title/>
</cp:coreProperties>
</file>