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4" w:before="0" w:after="140"/>
        <w:ind w:hanging="0" w:start="0" w:end="0"/>
        <w:jc w:val="start"/>
        <w:rPr>
          <w:rFonts w:ascii="Times New Roman" w:hAnsi="Times New Roman"/>
        </w:rPr>
      </w:pPr>
      <w:r>
        <w:rPr>
          <w:rFonts w:ascii="Times New Roman" w:hAnsi="Times New Roman"/>
        </w:rPr>
        <w:t>It’s incredibly common to hear people use "10-K" and "Annual Report" interchangeably, but they actually serve different audiences and have distinct purposes.</w:t>
      </w:r>
    </w:p>
    <w:p>
      <w:pPr>
        <w:sectPr>
          <w:type w:val="nextPage"/>
          <w:pgSz w:w="12240" w:h="15840"/>
          <w:pgMar w:left="1134" w:right="1134" w:gutter="0" w:header="0" w:top="1134" w:footer="0" w:bottom="1134"/>
          <w:pgNumType w:fmt="decimal"/>
          <w:formProt w:val="false"/>
          <w:textDirection w:val="lrTb"/>
        </w:sectPr>
      </w:pPr>
    </w:p>
    <w:p>
      <w:pPr>
        <w:pStyle w:val="BodyText"/>
        <w:bidi w:val="0"/>
        <w:spacing w:lineRule="auto" w:line="274" w:before="0" w:after="140"/>
        <w:ind w:hanging="0" w:start="0" w:end="0"/>
        <w:jc w:val="start"/>
        <w:rPr>
          <w:rFonts w:ascii="Times New Roman" w:hAnsi="Times New Roman"/>
        </w:rPr>
      </w:pPr>
      <w:r>
        <w:rPr>
          <w:rFonts w:ascii="Times New Roman" w:hAnsi="Times New Roman"/>
        </w:rPr>
        <w:t xml:space="preserve">Think of it this way: the </w:t>
      </w:r>
      <w:r>
        <w:rPr>
          <w:rFonts w:ascii="Times New Roman" w:hAnsi="Times New Roman"/>
          <w:b/>
        </w:rPr>
        <w:t>10-K is the raw, unvarnished data</w:t>
      </w:r>
      <w:r>
        <w:rPr>
          <w:rFonts w:ascii="Times New Roman" w:hAnsi="Times New Roman"/>
        </w:rPr>
        <w:t xml:space="preserve"> required by the government, while the </w:t>
      </w:r>
      <w:r>
        <w:rPr>
          <w:rFonts w:ascii="Times New Roman" w:hAnsi="Times New Roman"/>
          <w:b/>
        </w:rPr>
        <w:t>Annual Report is the company's glossy storytelling piece</w:t>
      </w:r>
      <w:r>
        <w:rPr>
          <w:rFonts w:ascii="Times New Roman" w:hAnsi="Times New Roman"/>
        </w:rPr>
        <w:t xml:space="preserve"> meant for the public.</w:t>
      </w:r>
    </w:p>
    <w:p>
      <w:pPr>
        <w:pStyle w:val="BodyText"/>
        <w:bidi w:val="0"/>
        <w:spacing w:lineRule="auto" w:line="274" w:before="0" w:after="140"/>
        <w:ind w:hanging="0" w:start="0" w:end="0"/>
        <w:jc w:val="start"/>
        <w:rPr>
          <w:rFonts w:ascii="Times New Roman" w:hAnsi="Times New Roman"/>
        </w:rPr>
      </w:pPr>
      <w:r>
        <w:rPr>
          <w:rFonts w:ascii="Times New Roman" w:hAnsi="Times New Roman"/>
        </w:rPr>
        <w:t>Here is exactly how they differ across the key areas:</w:t>
      </w:r>
    </w:p>
    <w:tbl>
      <w:tblPr>
        <w:tblW w:w="9972" w:type="dxa"/>
        <w:jc w:val="start"/>
        <w:tblInd w:w="0" w:type="dxa"/>
        <w:tblLayout w:type="fixed"/>
        <w:tblCellMar>
          <w:top w:w="120" w:type="dxa"/>
          <w:start w:w="180" w:type="dxa"/>
          <w:bottom w:w="120" w:type="dxa"/>
          <w:end w:w="180" w:type="dxa"/>
        </w:tblCellMar>
      </w:tblPr>
      <w:tblGrid>
        <w:gridCol w:w="2252"/>
        <w:gridCol w:w="3447"/>
        <w:gridCol w:w="4273"/>
      </w:tblGrid>
      <w:tr>
        <w:trPr>
          <w:tblHeader w:val="true"/>
        </w:trPr>
        <w:tc>
          <w:tcPr>
            <w:tcW w:w="225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Times New Roman" w:hAnsi="Times New Roman"/>
              </w:rPr>
              <w:t>Feature</w:t>
            </w:r>
          </w:p>
        </w:tc>
        <w:tc>
          <w:tcPr>
            <w:tcW w:w="344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Times New Roman" w:hAnsi="Times New Roman"/>
              </w:rPr>
              <w:t>Form 10-K</w:t>
            </w:r>
          </w:p>
        </w:tc>
        <w:tc>
          <w:tcPr>
            <w:tcW w:w="427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Times New Roman" w:hAnsi="Times New Roman"/>
              </w:rPr>
              <w:t>Annual Report (Glossy AR)</w:t>
            </w:r>
          </w:p>
        </w:tc>
      </w:tr>
      <w:tr>
        <w:trPr/>
        <w:tc>
          <w:tcPr>
            <w:tcW w:w="225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b/>
              </w:rPr>
            </w:pPr>
            <w:r>
              <w:rPr>
                <w:rFonts w:ascii="Times New Roman" w:hAnsi="Times New Roman"/>
                <w:b/>
              </w:rPr>
              <w:t>Primary Audience</w:t>
            </w:r>
          </w:p>
        </w:tc>
        <w:tc>
          <w:tcPr>
            <w:tcW w:w="344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rPr>
              <w:t>Regulators (SEC), institutional investors, and financial analysts.</w:t>
            </w:r>
          </w:p>
        </w:tc>
        <w:tc>
          <w:tcPr>
            <w:tcW w:w="427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rPr>
              <w:t>Shareholders, potential customers, employees, and the general media.</w:t>
            </w:r>
          </w:p>
        </w:tc>
      </w:tr>
      <w:tr>
        <w:trPr/>
        <w:tc>
          <w:tcPr>
            <w:tcW w:w="225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b/>
              </w:rPr>
            </w:pPr>
            <w:r>
              <w:rPr>
                <w:rFonts w:ascii="Times New Roman" w:hAnsi="Times New Roman"/>
                <w:b/>
              </w:rPr>
              <w:t>Format &amp; Tone</w:t>
            </w:r>
          </w:p>
        </w:tc>
        <w:tc>
          <w:tcPr>
            <w:tcW w:w="344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rPr>
              <w:t>Strictly text and numbers. Dense, legalistic, and completely devoid of marketing fluff or color.</w:t>
            </w:r>
          </w:p>
        </w:tc>
        <w:tc>
          <w:tcPr>
            <w:tcW w:w="427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rPr>
              <w:t>Highly designed. Features photographs, corporate branding, infographics, and a letter from the CEO.</w:t>
            </w:r>
          </w:p>
        </w:tc>
      </w:tr>
      <w:tr>
        <w:trPr/>
        <w:tc>
          <w:tcPr>
            <w:tcW w:w="225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b/>
              </w:rPr>
            </w:pPr>
            <w:r>
              <w:rPr>
                <w:rFonts w:ascii="Times New Roman" w:hAnsi="Times New Roman"/>
                <w:b/>
              </w:rPr>
              <w:t>Key Focus</w:t>
            </w:r>
          </w:p>
        </w:tc>
        <w:tc>
          <w:tcPr>
            <w:tcW w:w="344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rPr>
              <w:t>Detailed financial disclosures, legal risks, internal controls, and granular market data.</w:t>
            </w:r>
          </w:p>
        </w:tc>
        <w:tc>
          <w:tcPr>
            <w:tcW w:w="427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rPr>
              <w:t>Corporate vision, strategic goals, highlights of the past year, and future market opportunities.</w:t>
            </w:r>
          </w:p>
        </w:tc>
      </w:tr>
      <w:tr>
        <w:trPr/>
        <w:tc>
          <w:tcPr>
            <w:tcW w:w="225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b/>
              </w:rPr>
            </w:pPr>
            <w:r>
              <w:rPr>
                <w:rFonts w:ascii="Times New Roman" w:hAnsi="Times New Roman"/>
                <w:b/>
              </w:rPr>
              <w:t>Filing Requirement</w:t>
            </w:r>
          </w:p>
        </w:tc>
        <w:tc>
          <w:tcPr>
            <w:tcW w:w="344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b/>
              </w:rPr>
              <w:t>Mandatory</w:t>
            </w:r>
            <w:r>
              <w:rPr>
                <w:rFonts w:ascii="Times New Roman" w:hAnsi="Times New Roman"/>
              </w:rPr>
              <w:t xml:space="preserve"> by law to be filed with the SEC within 60 to 90 days of the fiscal year-end.</w:t>
            </w:r>
          </w:p>
        </w:tc>
        <w:tc>
          <w:tcPr>
            <w:tcW w:w="427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b/>
              </w:rPr>
              <w:t>Not technically required</w:t>
            </w:r>
            <w:r>
              <w:rPr>
                <w:rFonts w:ascii="Times New Roman" w:hAnsi="Times New Roman"/>
              </w:rPr>
              <w:t xml:space="preserve"> by the SEC, though usually distributed ahead of the annual shareholder meeting.</w:t>
            </w:r>
          </w:p>
        </w:tc>
      </w:tr>
    </w:tbl>
    <w:p>
      <w:pPr>
        <w:pStyle w:val="Heading3"/>
        <w:bidi w:val="0"/>
        <w:spacing w:lineRule="auto" w:line="274" w:before="0" w:after="140"/>
        <w:ind w:hanging="0" w:start="0" w:end="0"/>
        <w:jc w:val="start"/>
        <w:rPr>
          <w:rFonts w:ascii="Times New Roman" w:hAnsi="Times New Roman"/>
        </w:rPr>
      </w:pPr>
      <w:r>
        <w:rPr>
          <w:rFonts w:ascii="Times New Roman" w:hAnsi="Times New Roman"/>
        </w:rPr>
        <w:t>Why the confusion?</w:t>
      </w:r>
    </w:p>
    <w:p>
      <w:pPr>
        <w:pStyle w:val="BodyText"/>
        <w:bidi w:val="0"/>
        <w:spacing w:lineRule="auto" w:line="274" w:before="0" w:after="140"/>
        <w:ind w:hanging="0" w:start="0" w:end="0"/>
        <w:jc w:val="start"/>
        <w:rPr>
          <w:rFonts w:ascii="Times New Roman" w:hAnsi="Times New Roman"/>
        </w:rPr>
      </w:pPr>
      <w:r>
        <w:rPr>
          <w:rFonts w:ascii="Times New Roman" w:hAnsi="Times New Roman"/>
        </w:rPr>
        <w:t xml:space="preserve">The line gets blurry because of something called the </w:t>
      </w:r>
      <w:r>
        <w:rPr>
          <w:rFonts w:ascii="Times New Roman" w:hAnsi="Times New Roman"/>
          <w:b/>
        </w:rPr>
        <w:t>"Wrap-Around" method</w:t>
      </w:r>
      <w:r>
        <w:rPr>
          <w:rFonts w:ascii="Times New Roman" w:hAnsi="Times New Roman"/>
        </w:rPr>
        <w:t>.</w:t>
      </w:r>
    </w:p>
    <w:p>
      <w:pPr>
        <w:pStyle w:val="BodyText"/>
        <w:bidi w:val="0"/>
        <w:spacing w:lineRule="auto" w:line="274" w:before="0" w:after="140"/>
        <w:ind w:hanging="0" w:start="0" w:end="0"/>
        <w:jc w:val="start"/>
        <w:rPr>
          <w:rFonts w:ascii="Times New Roman" w:hAnsi="Times New Roman"/>
        </w:rPr>
      </w:pPr>
      <w:r>
        <w:rPr>
          <w:rFonts w:ascii="Times New Roman" w:hAnsi="Times New Roman"/>
        </w:rPr>
        <w:t>To save money and time on printing, many companies will write a glossy, beautifully designed opening section (with the letter from the CEO and a summary of performance) and literally "wrap" it around their actual, legal Form 10-K filing.</w:t>
      </w:r>
    </w:p>
    <w:p>
      <w:pPr>
        <w:pStyle w:val="BodyText"/>
        <w:bidi w:val="0"/>
        <w:spacing w:lineRule="auto" w:line="274" w:before="0" w:after="140"/>
        <w:ind w:hanging="0" w:start="0" w:end="0"/>
        <w:jc w:val="start"/>
        <w:rPr>
          <w:rFonts w:ascii="Times New Roman" w:hAnsi="Times New Roman"/>
        </w:rPr>
      </w:pPr>
      <w:r>
        <w:rPr>
          <w:rFonts w:ascii="Times New Roman" w:hAnsi="Times New Roman"/>
        </w:rPr>
        <w:t>So, if you download a company's Annual Report and it suddenly shifts from a colorful magazine layout to hundreds of pages of black-and-white financial tables, you are looking at a combined document.</w:t>
      </w:r>
    </w:p>
    <w:p>
      <w:pPr>
        <w:pStyle w:val="Heading3"/>
        <w:bidi w:val="0"/>
        <w:spacing w:lineRule="auto" w:line="274" w:before="0" w:after="140"/>
        <w:ind w:hanging="0" w:start="0" w:end="0"/>
        <w:jc w:val="start"/>
        <w:rPr>
          <w:rFonts w:ascii="Times New Roman" w:hAnsi="Times New Roman"/>
        </w:rPr>
      </w:pPr>
      <w:r>
        <w:rPr>
          <w:rFonts w:ascii="Times New Roman" w:hAnsi="Times New Roman"/>
        </w:rPr>
        <w:t>Which one should you read?</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Times New Roman" w:hAnsi="Times New Roman"/>
        </w:rPr>
      </w:pPr>
      <w:r>
        <w:rPr>
          <w:rFonts w:ascii="Times New Roman" w:hAnsi="Times New Roman"/>
        </w:rPr>
        <w:t xml:space="preserve">Go to the </w:t>
      </w:r>
      <w:r>
        <w:rPr>
          <w:rFonts w:ascii="Times New Roman" w:hAnsi="Times New Roman"/>
          <w:b/>
        </w:rPr>
        <w:t>Annual Report</w:t>
      </w:r>
      <w:r>
        <w:rPr>
          <w:rFonts w:ascii="Times New Roman" w:hAnsi="Times New Roman"/>
        </w:rPr>
        <w:t xml:space="preserve"> if you want to understand management's high-level philosophy, how they view their competitors, and what new products they are excited about launching.</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Times New Roman" w:hAnsi="Times New Roman"/>
        </w:rPr>
      </w:pPr>
      <w:r>
        <w:rPr>
          <w:rFonts w:ascii="Times New Roman" w:hAnsi="Times New Roman"/>
        </w:rPr>
        <w:t xml:space="preserve">Go to the </w:t>
      </w:r>
      <w:r>
        <w:rPr>
          <w:rFonts w:ascii="Times New Roman" w:hAnsi="Times New Roman"/>
          <w:b/>
        </w:rPr>
        <w:t>Form 10-K</w:t>
      </w:r>
      <w:r>
        <w:rPr>
          <w:rFonts w:ascii="Times New Roman" w:hAnsi="Times New Roman"/>
        </w:rPr>
        <w:t xml:space="preserve"> if you want to dig into the cold, hard numbers, see exactly how much debt they owe, or read the "Risk Factors" section where they legally must disclose everything that could potentially bankrupt the company.</w:t>
      </w:r>
    </w:p>
    <w:p>
      <w:pPr>
        <w:sectPr>
          <w:type w:val="continuous"/>
          <w:pgSz w:w="12240" w:h="15840"/>
          <w:pgMar w:left="1134" w:right="1134" w:gutter="0" w:header="0" w:top="1134" w:footer="0" w:bottom="1134"/>
          <w:formProt w:val="false"/>
          <w:textDirection w:val="lrTb"/>
        </w:sectPr>
      </w:pPr>
    </w:p>
    <w:p>
      <w:pPr>
        <w:pStyle w:val="Normal"/>
        <w:bidi w:val="0"/>
        <w:jc w:val="start"/>
        <w:rPr>
          <w:rFonts w:ascii="Times New Roman" w:hAnsi="Times New Roman"/>
        </w:rPr>
      </w:pPr>
      <w:r>
        <w:rPr>
          <w:rFonts w:ascii="Times New Roman" w:hAnsi="Times New Roman"/>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OpenSymbol">
    <w:altName w:val="Arial Unicode MS"/>
    <w:charset w:val="02"/>
    <w:family w:val="auto"/>
    <w:pitch w:val="default"/>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8"/>
        <w:szCs w:val="24"/>
        <w:lang w:val="en-US" w:eastAsia="zh-CN" w:bidi="hi-IN"/>
      </w:rPr>
    </w:rPrDefault>
    <w:pPrDefault>
      <w:pPr>
        <w:widowControl/>
        <w:suppressAutoHyphens w:val="true"/>
      </w:pPr>
    </w:pPrDefault>
  </w:docDefaults>
  <w:style w:type="paragraph" w:styleId="Normal">
    <w:name w:val="Normal"/>
    <w:qFormat/>
    <w:pPr>
      <w:widowControl/>
      <w:bidi w:val="0"/>
    </w:pPr>
    <w:rPr>
      <w:rFonts w:ascii="Times New Roman" w:hAnsi="Times New Roman" w:eastAsia="NSimSun" w:cs="Lucida Sans"/>
      <w:color w:val="auto"/>
      <w:kern w:val="2"/>
      <w:sz w:val="28"/>
      <w:szCs w:val="24"/>
      <w:lang w:val="en-US" w:eastAsia="zh-CN" w:bidi="hi-IN"/>
    </w:rPr>
  </w:style>
  <w:style w:type="paragraph" w:styleId="Heading3">
    <w:name w:val="heading 3"/>
    <w:basedOn w:val="Heading"/>
    <w:next w:val="BodyText"/>
    <w:qFormat/>
    <w:pPr>
      <w:spacing w:before="140" w:after="120"/>
      <w:outlineLvl w:val="2"/>
    </w:pPr>
    <w:rPr>
      <w:rFonts w:ascii="Times New Roman" w:hAnsi="Times New Roman"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sz w:val="24"/>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LibreOffice/25.8.6.2$Windows_X86_64 LibreOffice_project/b4b39682cd9868fa725bc664aff94278d315bd04</Application>
  <AppVersion>15.0000</AppVersion>
  <Pages>2</Pages>
  <Words>336</Words>
  <Characters>1834</Characters>
  <CharactersWithSpaces>2143</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2026-05-25T14:31:53Z</dcterms:created>
  <dc:creator/>
  <dc:description/>
  <dc:language>en-US</dc:language>
  <cp:lastModifiedBy/>
  <dcterms:modified xsi:type="dcterms:W3CDTF">2026-05-25T14:34:53Z</dcterms:modified>
  <cp:revision>1</cp:revision>
  <dc:subject/>
  <dc:title/>
</cp:coreProperties>
</file>