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eelsSaver — Full Project Report</w:t>
      </w:r>
    </w:p>
    <w:p>
      <w:pPr>
        <w:pStyle w:val="Author"/>
      </w:pPr>
      <w:r>
        <w:t xml:space="preserve">Pan-Atlantic Eelgrass Early-Warning System</w:t>
      </w:r>
    </w:p>
    <w:p>
      <w:pPr>
        <w:pStyle w:val="Date"/>
      </w:pPr>
      <w:r>
        <w:t xml:space="preserve">NeuroHack 2026 · Hack the Elements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executive-summary"/>
    <w:p>
      <w:pPr>
        <w:pStyle w:val="Heading1"/>
      </w:pPr>
      <w:r>
        <w:t xml:space="preserve">1. Executive summary</w:t>
      </w:r>
    </w:p>
    <w:p>
      <w:pPr>
        <w:pStyle w:val="FirstParagraph"/>
      </w:pPr>
      <w:r>
        <w:t xml:space="preserve">A teacher–student satellite pipeline for pan-Atlantic eelgrass early warning. Trained on real Forillon Sentinel-2 + in-situ data, evaluated with spatial-and-temporal blocking, and deployed on Antigonish Harbour.</w:t>
      </w:r>
    </w:p>
    <w:p>
      <w:pPr>
        <w:pStyle w:val="BodyText"/>
      </w:pPr>
      <w:r>
        <w:t xml:space="preserve">We built a two-stage ML system that translates expert ecological knowledge about eelgrass (from a small, well-instrumented site at Forillon National Park) into a satellite-only model that can scan any coastal polygon in Atlantic Canada and produce per-pixel decline-risk scores. The teacher synthesises GPI, decline probability, and stress regime from real SST/PAR/coverage measurements using an ODE-style mechanistic model + a GBM-bootstrap forecaster. The student is three XGBoost models that learn the same labels from Sentinel-2 spectral statistics. The trained student is then run on any new region’s S2 imagery.</w:t>
      </w:r>
    </w:p>
    <w:p>
      <w:pPr>
        <w:pStyle w:val="BodyText"/>
      </w:pPr>
      <w:r>
        <w:rPr>
          <w:b/>
          <w:bCs/>
        </w:rPr>
        <w:t xml:space="preserve">Headline real-data results</w:t>
      </w:r>
      <w:r>
        <w:t xml:space="preserve"> </w:t>
      </w:r>
      <w:r>
        <w:t xml:space="preserve">(window-level student, all 3 Forillon sites, 2013–2018):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Spatial val (Sud)</w:t>
            </w:r>
          </w:p>
        </w:tc>
        <w:tc>
          <w:tcPr/>
          <w:p>
            <w:pPr>
              <w:pStyle w:val="Compact"/>
            </w:pPr>
            <w:r>
              <w:t xml:space="preserve">Temporal test (2018)</w:t>
            </w:r>
          </w:p>
        </w:tc>
      </w:tr>
      <w:tr>
        <w:tc>
          <w:tcPr/>
          <w:p>
            <w:pPr>
              <w:pStyle w:val="Compact"/>
            </w:pPr>
            <w:r>
              <w:t xml:space="preserve">GPI regression</w:t>
            </w:r>
          </w:p>
        </w:tc>
        <w:tc>
          <w:tcPr/>
          <w:p>
            <w:pPr>
              <w:pStyle w:val="Compact"/>
            </w:pPr>
            <w:r>
              <w:t xml:space="preserve">R² 0.995, MAE 0.005</w:t>
            </w:r>
          </w:p>
        </w:tc>
        <w:tc>
          <w:tcPr/>
          <w:p>
            <w:pPr>
              <w:pStyle w:val="Compact"/>
            </w:pPr>
            <w:r>
              <w:t xml:space="preserve">R² 0.884, MAE 0.087</w:t>
            </w:r>
          </w:p>
        </w:tc>
      </w:tr>
      <w:tr>
        <w:tc>
          <w:tcPr/>
          <w:p>
            <w:pPr>
              <w:pStyle w:val="Compact"/>
            </w:pPr>
            <w:r>
              <w:t xml:space="preserve">Decline regression</w:t>
            </w:r>
          </w:p>
        </w:tc>
        <w:tc>
          <w:tcPr/>
          <w:p>
            <w:pPr>
              <w:pStyle w:val="Compact"/>
            </w:pPr>
            <w:r>
              <w:t xml:space="preserve">AUC 0.998, Brier 0.008</w:t>
            </w:r>
          </w:p>
        </w:tc>
        <w:tc>
          <w:tcPr/>
          <w:p>
            <w:pPr>
              <w:pStyle w:val="Compact"/>
            </w:pPr>
            <w:r>
              <w:t xml:space="preserve">AUC 0.662, Brier 0.283</w:t>
            </w:r>
          </w:p>
        </w:tc>
      </w:tr>
      <w:tr>
        <w:tc>
          <w:tcPr/>
          <w:p>
            <w:pPr>
              <w:pStyle w:val="Compact"/>
            </w:pPr>
            <w:r>
              <w:t xml:space="preserve">Stress classification (3-class)</w:t>
            </w:r>
          </w:p>
        </w:tc>
        <w:tc>
          <w:tcPr/>
          <w:p>
            <w:pPr>
              <w:pStyle w:val="Compact"/>
            </w:pPr>
            <w:r>
              <w:t xml:space="preserve">Macro-F1 1.000</w:t>
            </w:r>
          </w:p>
        </w:tc>
        <w:tc>
          <w:tcPr/>
          <w:p>
            <w:pPr>
              <w:pStyle w:val="Compact"/>
            </w:pPr>
            <w:r>
              <w:t xml:space="preserve">Macro-F1 0.857</w:t>
            </w:r>
          </w:p>
        </w:tc>
      </w:tr>
    </w:tbl>
    <w:p>
      <w:pPr>
        <w:pStyle w:val="BodyText"/>
      </w:pPr>
      <w:r>
        <w:rPr>
          <w:b/>
          <w:bCs/>
        </w:rPr>
        <w:t xml:space="preserve">Pan-Atlantic deployment</w:t>
      </w:r>
      <w:r>
        <w:t xml:space="preserve"> </w:t>
      </w:r>
      <w:r>
        <w:t xml:space="preserve">on Antigonish Harbour (Nova Scotia, ~330 km south of Forillon): 2.1M pixel predictions, 35 bed-window aggregations, 100 % of pixels correctly flagged as out-of-distribution → all bed confidence downgraded to Medium.</w:t>
      </w:r>
    </w:p>
    <w:bookmarkEnd w:id="9"/>
    <w:bookmarkStart w:id="10" w:name="problem-statement"/>
    <w:p>
      <w:pPr>
        <w:pStyle w:val="Heading1"/>
      </w:pPr>
      <w:r>
        <w:t xml:space="preserve">2. Problem statement</w:t>
      </w:r>
    </w:p>
    <w:p>
      <w:pPr>
        <w:pStyle w:val="FirstParagraph"/>
      </w:pPr>
      <w:r>
        <w:t xml:space="preserve">Eelgrass (</w:t>
      </w:r>
      <w:r>
        <w:rPr>
          <w:i/>
          <w:iCs/>
        </w:rPr>
        <w:t xml:space="preserve">Zostera marina</w:t>
      </w:r>
      <w:r>
        <w:t xml:space="preserve">) meadows are critical Atlantic-coast habitat. Field monitoring is dense at a few research sites (Forillon, Penouille, parts of NS) and absent over the &gt; 10,000 km of remaining Atlantic Canadian coastline. We want continuous early-warning across that whole coastline using only Sentinel-2 imagery, leveraging the dense Forillon record to teach the satellite model what</w:t>
      </w:r>
      <w:r>
        <w:t xml:space="preserve"> </w:t>
      </w:r>
      <w:r>
        <w:t xml:space="preserve">“healthy growing conditions”</w:t>
      </w:r>
      <w:r>
        <w:t xml:space="preserve">,</w:t>
      </w:r>
      <w:r>
        <w:t xml:space="preserve"> </w:t>
      </w:r>
      <w:r>
        <w:t xml:space="preserve">“imminent decline”</w:t>
      </w:r>
      <w:r>
        <w:t xml:space="preserve">, and</w:t>
      </w:r>
      <w:r>
        <w:t xml:space="preserve"> </w:t>
      </w:r>
      <w:r>
        <w:t xml:space="preserve">“what kind of stress”</w:t>
      </w:r>
      <w:r>
        <w:t xml:space="preserve"> </w:t>
      </w:r>
      <w:r>
        <w:t xml:space="preserve">look like spectrally.</w:t>
      </w:r>
    </w:p>
    <w:p>
      <w:pPr>
        <w:pStyle w:val="BodyText"/>
      </w:pPr>
      <w:r>
        <w:t xml:space="preserve">The technical challenge is three-fold:</w:t>
      </w:r>
    </w:p>
    <w:p>
      <w:pPr>
        <w:pStyle w:val="Compact"/>
        <w:numPr>
          <w:ilvl w:val="0"/>
          <w:numId w:val="1001"/>
        </w:numPr>
      </w:pPr>
      <w:r>
        <w:rPr>
          <w:b/>
          <w:bCs/>
        </w:rPr>
        <w:t xml:space="preserve">Label scarcity</w:t>
      </w:r>
      <w:r>
        <w:t xml:space="preserve"> </w:t>
      </w:r>
      <w:r>
        <w:t xml:space="preserve">— in-situ surveys are annual; we want sub-monthly predictions.</w:t>
      </w:r>
    </w:p>
    <w:p>
      <w:pPr>
        <w:pStyle w:val="Compact"/>
        <w:numPr>
          <w:ilvl w:val="0"/>
          <w:numId w:val="1001"/>
        </w:numPr>
      </w:pPr>
      <w:r>
        <w:rPr>
          <w:b/>
          <w:bCs/>
        </w:rPr>
        <w:t xml:space="preserve">Spatial transfer</w:t>
      </w:r>
      <w:r>
        <w:t xml:space="preserve"> </w:t>
      </w:r>
      <w:r>
        <w:t xml:space="preserve">— Forillon (48.8 °N) is colder, less turbid, and shallower than most target regions.</w:t>
      </w:r>
    </w:p>
    <w:p>
      <w:pPr>
        <w:pStyle w:val="Compact"/>
        <w:numPr>
          <w:ilvl w:val="0"/>
          <w:numId w:val="1001"/>
        </w:numPr>
      </w:pPr>
      <w:r>
        <w:rPr>
          <w:b/>
          <w:bCs/>
        </w:rPr>
        <w:t xml:space="preserve">Spectral noise</w:t>
      </w:r>
      <w:r>
        <w:t xml:space="preserve"> </w:t>
      </w:r>
      <w:r>
        <w:t xml:space="preserve">— water-column attenuation, sun glint, tides, and clouds make individual S2 pixels unreliable; we must aggregate temporally.</w:t>
      </w:r>
    </w:p>
    <w:p>
      <w:pPr>
        <w:pStyle w:val="FirstParagraph"/>
      </w:pPr>
      <w:r>
        <w:t xml:space="preserve">The teacher–student framing decouples these problems. The teacher does the ecological reasoning (slow, high-fidelity, hard to deploy at scale). The student does the spectral pattern matching (fast, deployable on any S2 grid worldwide).</w:t>
      </w:r>
    </w:p>
    <w:bookmarkEnd w:id="10"/>
    <w:bookmarkStart w:id="11" w:name="repository-structure"/>
    <w:p>
      <w:pPr>
        <w:pStyle w:val="Heading1"/>
      </w:pPr>
      <w:r>
        <w:t xml:space="preserve">3. Repository structure</w:t>
      </w:r>
    </w:p>
    <w:p>
      <w:pPr>
        <w:pStyle w:val="SourceCode"/>
      </w:pPr>
      <w:r>
        <w:rPr>
          <w:rStyle w:val="VerbatimChar"/>
        </w:rPr>
        <w:t xml:space="preserve">eelsSaver_Backend/</w:t>
      </w:r>
      <w:r>
        <w:br/>
      </w:r>
      <w:r>
        <w:rPr>
          <w:rStyle w:val="VerbatimChar"/>
        </w:rPr>
        <w:t xml:space="preserve">├── README.md, HANDOFF.md, requirements.txt, regions.json</w:t>
      </w:r>
      <w:r>
        <w:br/>
      </w:r>
      <w:r>
        <w:rPr>
          <w:rStyle w:val="VerbatimChar"/>
        </w:rPr>
        <w:t xml:space="preserve">├── config.py                         # paths + hyperparameters</w:t>
      </w:r>
      <w:r>
        <w:br/>
      </w:r>
      <w:r>
        <w:rPr>
          <w:rStyle w:val="VerbatimChar"/>
        </w:rPr>
        <w:t xml:space="preserve">├── gee/</w:t>
      </w:r>
      <w:r>
        <w:br/>
      </w:r>
      <w:r>
        <w:rPr>
          <w:rStyle w:val="VerbatimChar"/>
        </w:rPr>
        <w:t xml:space="preserve">│   ├── forillon_extraction.js        # GEE script — training region</w:t>
      </w:r>
      <w:r>
        <w:br/>
      </w:r>
      <w:r>
        <w:rPr>
          <w:rStyle w:val="VerbatimChar"/>
        </w:rPr>
        <w:t xml:space="preserve">│   └── pan_atlantic_template.js      # GEE script — any inference region</w:t>
      </w:r>
      <w:r>
        <w:br/>
      </w:r>
      <w:r>
        <w:rPr>
          <w:rStyle w:val="VerbatimChar"/>
        </w:rPr>
        <w:t xml:space="preserve">├── pipeline/</w:t>
      </w:r>
      <w:r>
        <w:br/>
      </w:r>
      <w:r>
        <w:rPr>
          <w:rStyle w:val="VerbatimChar"/>
        </w:rPr>
        <w:t xml:space="preserve">│   ├── s2_features.py                # GEE CSV → pixel × 90-day features</w:t>
      </w:r>
      <w:r>
        <w:br/>
      </w:r>
      <w:r>
        <w:rPr>
          <w:rStyle w:val="VerbatimChar"/>
        </w:rPr>
        <w:t xml:space="preserve">│   ├── teacher.py                    # window-level soft labels</w:t>
      </w:r>
      <w:r>
        <w:br/>
      </w:r>
      <w:r>
        <w:rPr>
          <w:rStyle w:val="VerbatimChar"/>
        </w:rPr>
        <w:t xml:space="preserve">│   ├── teacher_ouest.py              # annual labels (alternative)</w:t>
      </w:r>
      <w:r>
        <w:br/>
      </w:r>
      <w:r>
        <w:rPr>
          <w:rStyle w:val="VerbatimChar"/>
        </w:rPr>
        <w:t xml:space="preserve">│   ├── derive_ouest_annual.py        # build annual table from daily</w:t>
      </w:r>
      <w:r>
        <w:br/>
      </w:r>
      <w:r>
        <w:rPr>
          <w:rStyle w:val="VerbatimChar"/>
        </w:rPr>
        <w:t xml:space="preserve">│   ├── synth_s2_features.py          # synthetic features (dev / no-GEE)</w:t>
      </w:r>
      <w:r>
        <w:br/>
      </w:r>
      <w:r>
        <w:rPr>
          <w:rStyle w:val="VerbatimChar"/>
        </w:rPr>
        <w:t xml:space="preserve">│   ├── student.py                    # window-level XGBoost (3 models)</w:t>
      </w:r>
      <w:r>
        <w:br/>
      </w:r>
      <w:r>
        <w:rPr>
          <w:rStyle w:val="VerbatimChar"/>
        </w:rPr>
        <w:t xml:space="preserve">│   ├── student_loyo.py               # year-aware splits (LOYO / forward / tail)</w:t>
      </w:r>
      <w:r>
        <w:br/>
      </w:r>
      <w:r>
        <w:rPr>
          <w:rStyle w:val="VerbatimChar"/>
        </w:rPr>
        <w:t xml:space="preserve">│   ├── splits.py                     # split strategy library</w:t>
      </w:r>
      <w:r>
        <w:br/>
      </w:r>
      <w:r>
        <w:rPr>
          <w:rStyle w:val="VerbatimChar"/>
        </w:rPr>
        <w:t xml:space="preserve">│   ├── inference.py                  # per-pixel scoring + bed aggregation</w:t>
      </w:r>
      <w:r>
        <w:br/>
      </w:r>
      <w:r>
        <w:rPr>
          <w:rStyle w:val="VerbatimChar"/>
        </w:rPr>
        <w:t xml:space="preserve">│   ├── calibration.py                # isotonic recal (optional)</w:t>
      </w:r>
      <w:r>
        <w:br/>
      </w:r>
      <w:r>
        <w:rPr>
          <w:rStyle w:val="VerbatimChar"/>
        </w:rPr>
        <w:t xml:space="preserve">│   ├── visualize.py                  # 17 basic diagnostic figures</w:t>
      </w:r>
      <w:r>
        <w:br/>
      </w:r>
      <w:r>
        <w:rPr>
          <w:rStyle w:val="VerbatimChar"/>
        </w:rPr>
        <w:t xml:space="preserve">│   ├── visualize_advanced.py         # 10 advanced figures</w:t>
      </w:r>
      <w:r>
        <w:br/>
      </w:r>
      <w:r>
        <w:rPr>
          <w:rStyle w:val="VerbatimChar"/>
        </w:rPr>
        <w:t xml:space="preserve">│   └── run_all.py                    # orchestrator</w:t>
      </w:r>
      <w:r>
        <w:br/>
      </w:r>
      <w:r>
        <w:rPr>
          <w:rStyle w:val="VerbatimChar"/>
        </w:rPr>
        <w:t xml:space="preserve">├── api/</w:t>
      </w:r>
      <w:r>
        <w:br/>
      </w:r>
      <w:r>
        <w:rPr>
          <w:rStyle w:val="VerbatimChar"/>
        </w:rPr>
        <w:t xml:space="preserve">│   ├── main.py                       # FastAPI app</w:t>
      </w:r>
      <w:r>
        <w:br/>
      </w:r>
      <w:r>
        <w:rPr>
          <w:rStyle w:val="VerbatimChar"/>
        </w:rPr>
        <w:t xml:space="preserve">│   ├── routes.py                     # /api/status, /beds, /pixels, etc.</w:t>
      </w:r>
      <w:r>
        <w:br/>
      </w:r>
      <w:r>
        <w:rPr>
          <w:rStyle w:val="VerbatimChar"/>
        </w:rPr>
        <w:t xml:space="preserve">│   └── schemas.py                    # Pydantic responses</w:t>
      </w:r>
      <w:r>
        <w:br/>
      </w:r>
      <w:r>
        <w:rPr>
          <w:rStyle w:val="VerbatimChar"/>
        </w:rPr>
        <w:t xml:space="preserve">├── refresh/scheduler.py              # cron-style 10-day refresh loop</w:t>
      </w:r>
      <w:r>
        <w:br/>
      </w:r>
      <w:r>
        <w:rPr>
          <w:rStyle w:val="VerbatimChar"/>
        </w:rPr>
        <w:t xml:space="preserve">├── web/index.html                    # Leaflet map consuming the API</w:t>
      </w:r>
      <w:r>
        <w:br/>
      </w:r>
      <w:r>
        <w:rPr>
          <w:rStyle w:val="VerbatimChar"/>
        </w:rPr>
        <w:t xml:space="preserve">└── data/{raw, features, labels, models, predictions, figures}/</w:t>
      </w:r>
    </w:p>
    <w:p>
      <w:pPr>
        <w:pStyle w:val="FirstParagraph"/>
      </w:pPr>
      <w:r>
        <w:t xml:space="preserve">The whole pipeline is</w:t>
      </w:r>
      <w:r>
        <w:t xml:space="preserve"> </w:t>
      </w:r>
      <w:r>
        <w:rPr>
          <w:b/>
          <w:bCs/>
        </w:rPr>
        <w:t xml:space="preserve">CLI-driven</w:t>
      </w:r>
      <w:r>
        <w:t xml:space="preserve">, with each stage reading/writing CSVs at well-known paths. Modules don’t import each other (except</w:t>
      </w:r>
      <w:r>
        <w:t xml:space="preserve"> </w:t>
      </w:r>
      <w:r>
        <w:rPr>
          <w:rStyle w:val="VerbatimChar"/>
        </w:rPr>
        <w:t xml:space="preserve">splits.py</w:t>
      </w:r>
      <w:r>
        <w:t xml:space="preserve"> </w:t>
      </w:r>
      <w:r>
        <w:t xml:space="preserve">and</w:t>
      </w:r>
      <w:r>
        <w:t xml:space="preserve"> </w:t>
      </w:r>
      <w:r>
        <w:rPr>
          <w:rStyle w:val="VerbatimChar"/>
        </w:rPr>
        <w:t xml:space="preserve">config.py</w:t>
      </w:r>
      <w:r>
        <w:t xml:space="preserve">) so failures in one stage don’t cascade.</w:t>
      </w:r>
    </w:p>
    <w:bookmarkEnd w:id="11"/>
    <w:bookmarkStart w:id="18" w:name="pipeline-stages-and-design-reasoning"/>
    <w:p>
      <w:pPr>
        <w:pStyle w:val="Heading1"/>
      </w:pPr>
      <w:r>
        <w:t xml:space="preserve">4. Pipeline stages and design reasoning</w:t>
      </w:r>
    </w:p>
    <w:bookmarkStart w:id="12" w:name="Xcaa32a087355f44ed50c58c6227496dcd61449b"/>
    <w:p>
      <w:pPr>
        <w:pStyle w:val="Heading2"/>
      </w:pPr>
      <w:r>
        <w:t xml:space="preserve">4.1 GEE extraction (</w:t>
      </w:r>
      <w:r>
        <w:rPr>
          <w:rStyle w:val="VerbatimChar"/>
        </w:rPr>
        <w:t xml:space="preserve">gee/forillon_extraction.js</w:t>
      </w:r>
      <w:r>
        <w:t xml:space="preserve">, ~80 lines)</w:t>
      </w:r>
    </w:p>
    <w:p>
      <w:pPr>
        <w:pStyle w:val="FirstParagraph"/>
      </w:pPr>
      <w:r>
        <w:rPr>
          <w:b/>
          <w:bCs/>
        </w:rPr>
        <w:t xml:space="preserve">What it does.</w:t>
      </w:r>
      <w:r>
        <w:t xml:space="preserve"> </w:t>
      </w:r>
      <w:r>
        <w:t xml:space="preserve">Pulls Sentinel-2 SR Harmonized imagery (atmospherically corrected) over Forillon’s three sub-site polygons (Ouest, Marais, Sud), 2015-06 → 2018-12, cloud cover &lt; 20 %. For every cloud-free image and every pixel within the polygons, exports 9 spectral bands (B2–B12) and 10 computed indices (NDAVI, WAVI, GB_ratio, RG_ratio, B3B2_diff, NDWI, turbidity, red_edge_slope, SABI, depth_invariant).</w:t>
      </w:r>
    </w:p>
    <w:p>
      <w:pPr>
        <w:pStyle w:val="BodyText"/>
      </w:pPr>
      <w:r>
        <w:rPr>
          <w:b/>
          <w:bCs/>
        </w:rPr>
        <w:t xml:space="preserve">Output</w:t>
      </w:r>
      <w:r>
        <w:t xml:space="preserve">: 575,732 rows × 24 columns (~164 MB).</w:t>
      </w:r>
    </w:p>
    <w:p>
      <w:pPr>
        <w:pStyle w:val="BodyText"/>
      </w:pPr>
      <w:r>
        <w:rPr>
          <w:b/>
          <w:bCs/>
        </w:rPr>
        <w:t xml:space="preserve">Design choices</w:t>
      </w:r>
      <w:r>
        <w:t xml:space="preserve">:</w:t>
      </w:r>
    </w:p>
    <w:p>
      <w:pPr>
        <w:pStyle w:val="Compact"/>
        <w:numPr>
          <w:ilvl w:val="0"/>
          <w:numId w:val="1002"/>
        </w:numPr>
      </w:pPr>
      <w:r>
        <w:rPr>
          <w:i/>
          <w:iCs/>
        </w:rPr>
        <w:t xml:space="preserve">SR Harmonized over TOA.</w:t>
      </w:r>
      <w:r>
        <w:t xml:space="preserve"> </w:t>
      </w:r>
      <w:r>
        <w:t xml:space="preserve">Atmospheric correction is critical in coastal water work; the absorbing layer above the water column adds wavelength-dependent noise that drowns the eelgrass signal.</w:t>
      </w:r>
    </w:p>
    <w:p>
      <w:pPr>
        <w:pStyle w:val="Compact"/>
        <w:numPr>
          <w:ilvl w:val="0"/>
          <w:numId w:val="1002"/>
        </w:numPr>
      </w:pPr>
      <w:r>
        <w:rPr>
          <w:i/>
          <w:iCs/>
        </w:rPr>
        <w:t xml:space="preserve">9 bands × 10 indices, not raw bands only.</w:t>
      </w:r>
      <w:r>
        <w:t xml:space="preserve"> </w:t>
      </w:r>
      <w:r>
        <w:t xml:space="preserve">Each derived index is specifically designed for submerged aquatic vegetation: NDAVI/WAVI adapt NDVI for water, GB_ratio is the literature’s most reliable eelgrass indicator (Green peaks where Blue dips for healthy beds), turbidity proxy and SABI capture the two dominant noise sources (suspended sediment and algal blooms), depth_invariant applies Lyzenga’s log-transform to suppress bathymetric effects. Including all 19 lets the model decide which work; correlation pruning later removes redundant ones.</w:t>
      </w:r>
    </w:p>
    <w:p>
      <w:pPr>
        <w:pStyle w:val="Compact"/>
        <w:numPr>
          <w:ilvl w:val="0"/>
          <w:numId w:val="1002"/>
        </w:numPr>
      </w:pPr>
      <w:r>
        <w:rPr>
          <w:i/>
          <w:iCs/>
        </w:rPr>
        <w:t xml:space="preserve">Cloud &lt; 20 %.</w:t>
      </w:r>
      <w:r>
        <w:t xml:space="preserve"> </w:t>
      </w:r>
      <w:r>
        <w:t xml:space="preserve">Tighter would lose too many images at Atlantic Canada’s cloudy latitudes; looser would let cloud shadows pollute the median-based features. 20 % is a community standard for SAV work.</w:t>
      </w:r>
    </w:p>
    <w:bookmarkEnd w:id="12"/>
    <w:bookmarkStart w:id="13" w:name="X33bc0e69d19f34d6c47aaf77362f2e84a894bb5"/>
    <w:p>
      <w:pPr>
        <w:pStyle w:val="Heading2"/>
      </w:pPr>
      <w:r>
        <w:t xml:space="preserve">4.2 Temporal aggregation (</w:t>
      </w:r>
      <w:r>
        <w:rPr>
          <w:rStyle w:val="VerbatimChar"/>
        </w:rPr>
        <w:t xml:space="preserve">pipeline/s2_features.py</w:t>
      </w:r>
      <w:r>
        <w:t xml:space="preserve">)</w:t>
      </w:r>
    </w:p>
    <w:p>
      <w:pPr>
        <w:pStyle w:val="FirstParagraph"/>
      </w:pPr>
      <w:r>
        <w:rPr>
          <w:b/>
          <w:bCs/>
        </w:rPr>
        <w:t xml:space="preserve">What it does.</w:t>
      </w:r>
      <w:r>
        <w:t xml:space="preserve"> </w:t>
      </w:r>
      <w:r>
        <w:t xml:space="preserve">Per pixel, computes 7 rolling statistics (mean, median, std, min, max, linear trend, valid-obs count) over 90-day windows stepped every 14 days. For each of 19 spectral features × 7 statistics = 133 columns, plus pixel metadata (lat, lon, SITE), seasonal encoding (sin_doy, cos_doy), and valid_obs_count →</w:t>
      </w:r>
      <w:r>
        <w:t xml:space="preserve"> </w:t>
      </w:r>
      <w:r>
        <w:rPr>
          <w:b/>
          <w:bCs/>
        </w:rPr>
        <w:t xml:space="preserve">141 final columns</w:t>
      </w:r>
      <w:r>
        <w:t xml:space="preserve"> </w:t>
      </w:r>
      <w:r>
        <w:t xml:space="preserve">per pixel-window row.</w:t>
      </w:r>
    </w:p>
    <w:p>
      <w:pPr>
        <w:pStyle w:val="BodyText"/>
      </w:pPr>
      <w:r>
        <w:rPr>
          <w:b/>
          <w:bCs/>
        </w:rPr>
        <w:t xml:space="preserve">Output for Forillon</w:t>
      </w:r>
      <w:r>
        <w:t xml:space="preserve">: 47,840 pixels × ~5 windows = 182,109 rows × 141 cols (339 MB).</w:t>
      </w:r>
    </w:p>
    <w:p>
      <w:pPr>
        <w:pStyle w:val="BodyText"/>
      </w:pPr>
      <w:r>
        <w:rPr>
          <w:b/>
          <w:bCs/>
        </w:rPr>
        <w:t xml:space="preserve">Design choices</w:t>
      </w:r>
      <w:r>
        <w:t xml:space="preserve">:</w:t>
      </w:r>
    </w:p>
    <w:p>
      <w:pPr>
        <w:pStyle w:val="Compact"/>
        <w:numPr>
          <w:ilvl w:val="0"/>
          <w:numId w:val="1003"/>
        </w:numPr>
      </w:pPr>
      <w:r>
        <w:rPr>
          <w:i/>
          <w:iCs/>
        </w:rPr>
        <w:t xml:space="preserve">90-day window.</w:t>
      </w:r>
      <w:r>
        <w:t xml:space="preserve"> </w:t>
      </w:r>
      <w:r>
        <w:t xml:space="preserve">Matches the teacher’s</w:t>
      </w:r>
      <w:r>
        <w:t xml:space="preserve"> </w:t>
      </w:r>
      <w:r>
        <w:rPr>
          <w:rStyle w:val="VerbatimChar"/>
        </w:rPr>
        <w:t xml:space="preserve">GPI_90d</w:t>
      </w:r>
      <w:r>
        <w:t xml:space="preserve"> </w:t>
      </w:r>
      <w:r>
        <w:t xml:space="preserve">aggregation. Eelgrass growth dynamics operate on roughly monthly timescales; sub-monthly windows are too noisy (few cloud-free images), longer windows wash out seasonal transitions.</w:t>
      </w:r>
    </w:p>
    <w:p>
      <w:pPr>
        <w:pStyle w:val="Compact"/>
        <w:numPr>
          <w:ilvl w:val="0"/>
          <w:numId w:val="1003"/>
        </w:numPr>
      </w:pPr>
      <w:r>
        <w:rPr>
          <w:i/>
          <w:iCs/>
        </w:rPr>
        <w:t xml:space="preserve">14-day stride</w:t>
      </w:r>
      <w:r>
        <w:t xml:space="preserve"> </w:t>
      </w:r>
      <w:r>
        <w:t xml:space="preserve">(not daily). Cuts data volume ~7×. Sentinel-2 revisits every 5 days, but with cloud filtering effective revisit is ~10–14 days; finer stride adds no information.</w:t>
      </w:r>
    </w:p>
    <w:p>
      <w:pPr>
        <w:pStyle w:val="Compact"/>
        <w:numPr>
          <w:ilvl w:val="0"/>
          <w:numId w:val="1003"/>
        </w:numPr>
      </w:pPr>
      <w:r>
        <w:rPr>
          <w:i/>
          <w:iCs/>
        </w:rPr>
        <w:t xml:space="preserve">7 statistics, not just mean.</w:t>
      </w:r>
      <w:r>
        <w:t xml:space="preserve"> </w:t>
      </w:r>
      <w:r>
        <w:t xml:space="preserve">Healthy beds have stable spectra (low std). Declining beds</w:t>
      </w:r>
      <w:r>
        <w:t xml:space="preserve"> </w:t>
      </w:r>
      <w:r>
        <w:rPr>
          <w:i/>
          <w:iCs/>
        </w:rPr>
        <w:t xml:space="preserve">first</w:t>
      </w:r>
      <w:r>
        <w:t xml:space="preserve"> </w:t>
      </w:r>
      <w:r>
        <w:t xml:space="preserve">show elevated variance and trending GB_ratio before the mean drops. Including std and trend is what lets the decline model work as an early warning rather than a hindcaster.</w:t>
      </w:r>
    </w:p>
    <w:p>
      <w:pPr>
        <w:pStyle w:val="Compact"/>
        <w:numPr>
          <w:ilvl w:val="0"/>
          <w:numId w:val="1003"/>
        </w:numPr>
      </w:pPr>
      <w:r>
        <w:rPr>
          <w:i/>
          <w:iCs/>
        </w:rPr>
        <w:t xml:space="preserve">valid_obs_count column.</w:t>
      </w:r>
      <w:r>
        <w:t xml:space="preserve"> </w:t>
      </w:r>
      <w:r>
        <w:t xml:space="preserve">Carried forward so inference can weight pixel-level scores by data quality.</w:t>
      </w:r>
    </w:p>
    <w:bookmarkEnd w:id="13"/>
    <w:bookmarkStart w:id="14" w:name="teacher-pipelineteacher.py"/>
    <w:p>
      <w:pPr>
        <w:pStyle w:val="Heading2"/>
      </w:pPr>
      <w:r>
        <w:t xml:space="preserve">4.3 Teacher (</w:t>
      </w:r>
      <w:r>
        <w:rPr>
          <w:rStyle w:val="VerbatimChar"/>
        </w:rPr>
        <w:t xml:space="preserve">pipeline/teacher.py</w:t>
      </w:r>
      <w:r>
        <w:t xml:space="preserve">)</w:t>
      </w:r>
    </w:p>
    <w:p>
      <w:pPr>
        <w:pStyle w:val="FirstParagraph"/>
      </w:pPr>
      <w:r>
        <w:rPr>
          <w:b/>
          <w:bCs/>
        </w:rPr>
        <w:t xml:space="preserve">What it does.</w:t>
      </w:r>
      <w:r>
        <w:t xml:space="preserve"> </w:t>
      </w:r>
      <w:r>
        <w:t xml:space="preserve">Reads real daily aligned eelgrass + env data (</w:t>
      </w:r>
      <w:r>
        <w:rPr>
          <w:rStyle w:val="VerbatimChar"/>
        </w:rPr>
        <w:t xml:space="preserve">aligned_eelgrass_env_data.csv</w:t>
      </w:r>
      <w:r>
        <w:t xml:space="preserve">, 6,573 rows from 2013-2018) and for each (site × 90-day window) produces:</w:t>
      </w:r>
    </w:p>
    <w:p>
      <w:pPr>
        <w:pStyle w:val="Compact"/>
        <w:numPr>
          <w:ilvl w:val="0"/>
          <w:numId w:val="1004"/>
        </w:numPr>
      </w:pPr>
      <w:r>
        <w:rPr>
          <w:rStyle w:val="VerbatimChar"/>
        </w:rPr>
        <w:t xml:space="preserve">GPI_90d</w:t>
      </w:r>
      <w:r>
        <w:t xml:space="preserve"> </w:t>
      </w:r>
      <w:r>
        <w:t xml:space="preserve">— window-mean Growth Potential Index from</w:t>
      </w:r>
      <w:r>
        <w:t xml:space="preserve"> </w:t>
      </w:r>
      <w:r>
        <w:rPr>
          <w:rStyle w:val="VerbatimChar"/>
        </w:rPr>
        <w:t xml:space="preserve">f(SST) × f(PAR)</w:t>
      </w:r>
      <w:r>
        <w:t xml:space="preserve"> </w:t>
      </w:r>
      <w:r>
        <w:t xml:space="preserve">Gaussian × Michaelis-Menten.</w:t>
      </w:r>
    </w:p>
    <w:p>
      <w:pPr>
        <w:pStyle w:val="Compact"/>
        <w:numPr>
          <w:ilvl w:val="0"/>
          <w:numId w:val="1004"/>
        </w:numPr>
      </w:pPr>
      <w:r>
        <w:rPr>
          <w:rStyle w:val="VerbatimChar"/>
        </w:rPr>
        <w:t xml:space="preserve">decline_prob_180d</w:t>
      </w:r>
      <w:r>
        <w:t xml:space="preserve"> </w:t>
      </w:r>
      <w:r>
        <w:t xml:space="preserve">— fraction of 200 bootstrap forecast trajectories from a GBM-Multi model (cover + lagged SST/PAR features) that drop below 50 % of current cover within 180 days.</w:t>
      </w:r>
    </w:p>
    <w:p>
      <w:pPr>
        <w:pStyle w:val="Compact"/>
        <w:numPr>
          <w:ilvl w:val="0"/>
          <w:numId w:val="1004"/>
        </w:numPr>
      </w:pPr>
      <w:r>
        <w:rPr>
          <w:rStyle w:val="VerbatimChar"/>
        </w:rPr>
        <w:t xml:space="preserve">stress_regime</w:t>
      </w:r>
      <w:r>
        <w:t xml:space="preserve"> </w:t>
      </w:r>
      <w:r>
        <w:t xml:space="preserve">— 4-vector of fractions {heat, cold, light, senescence} from threshold-based decomposition of SST/PAR/calendar.</w:t>
      </w:r>
    </w:p>
    <w:p>
      <w:pPr>
        <w:pStyle w:val="Compact"/>
        <w:numPr>
          <w:ilvl w:val="0"/>
          <w:numId w:val="1004"/>
        </w:numPr>
      </w:pPr>
      <w:r>
        <w:rPr>
          <w:rStyle w:val="VerbatimChar"/>
        </w:rPr>
        <w:t xml:space="preserve">shap_sst</w:t>
      </w:r>
      <w:r>
        <w:t xml:space="preserve">,</w:t>
      </w:r>
      <w:r>
        <w:t xml:space="preserve"> </w:t>
      </w:r>
      <w:r>
        <w:rPr>
          <w:rStyle w:val="VerbatimChar"/>
        </w:rPr>
        <w:t xml:space="preserve">shap_par</w:t>
      </w:r>
      <w:r>
        <w:t xml:space="preserve"> </w:t>
      </w:r>
      <w:r>
        <w:t xml:space="preserve">— mean |SHAP| importance from a per-site GBM-Multi training.</w:t>
      </w:r>
    </w:p>
    <w:p>
      <w:pPr>
        <w:pStyle w:val="FirstParagraph"/>
      </w:pPr>
      <w:r>
        <w:rPr>
          <w:b/>
          <w:bCs/>
        </w:rPr>
        <w:t xml:space="preserve">Output</w:t>
      </w:r>
      <w:r>
        <w:t xml:space="preserve">: 453 rows (3 sites × 151 windows) × 9 cols.</w:t>
      </w:r>
    </w:p>
    <w:p>
      <w:pPr>
        <w:pStyle w:val="BodyText"/>
      </w:pPr>
      <w:r>
        <w:rPr>
          <w:b/>
          <w:bCs/>
        </w:rPr>
        <w:t xml:space="preserve">Design choices</w:t>
      </w:r>
      <w:r>
        <w:t xml:space="preserve">:</w:t>
      </w:r>
    </w:p>
    <w:p>
      <w:pPr>
        <w:pStyle w:val="Compact"/>
        <w:numPr>
          <w:ilvl w:val="0"/>
          <w:numId w:val="1005"/>
        </w:numPr>
      </w:pPr>
      <w:r>
        <w:rPr>
          <w:i/>
          <w:iCs/>
        </w:rPr>
        <w:t xml:space="preserve">ODE-style mechanistic GPI.</w:t>
      </w:r>
      <w:r>
        <w:t xml:space="preserve"> </w:t>
      </w:r>
      <w:r>
        <w:t xml:space="preserve">Not data-driven — uses literature-derived response functions (SST optimal 15 °C, Gaussian width 10, PAR saturation 30 E m⁻² day⁻¹). This is the</w:t>
      </w:r>
      <w:r>
        <w:t xml:space="preserve"> </w:t>
      </w:r>
      <w:r>
        <w:t xml:space="preserve">“expert prior”</w:t>
      </w:r>
      <w:r>
        <w:t xml:space="preserve"> </w:t>
      </w:r>
      <w:r>
        <w:t xml:space="preserve">the satellite student inherits. Switching to a regression-fit GPI would over-fit the small Forillon dataset.</w:t>
      </w:r>
    </w:p>
    <w:p>
      <w:pPr>
        <w:pStyle w:val="Compact"/>
        <w:numPr>
          <w:ilvl w:val="0"/>
          <w:numId w:val="1005"/>
        </w:numPr>
      </w:pPr>
      <w:r>
        <w:rPr>
          <w:i/>
          <w:iCs/>
        </w:rPr>
        <w:t xml:space="preserve">Bootstrap decline_prob.</w:t>
      </w:r>
      <w:r>
        <w:t xml:space="preserve"> </w:t>
      </w:r>
      <w:r>
        <w:t xml:space="preserve">Quantifies forecast uncertainty: a deterministic 50%-drop indicator would be a step function (0 or 1), unusable as a continuous student target. Bootstrap returns calibrated probabilities in [0, 1].</w:t>
      </w:r>
    </w:p>
    <w:p>
      <w:pPr>
        <w:pStyle w:val="Compact"/>
        <w:numPr>
          <w:ilvl w:val="0"/>
          <w:numId w:val="1005"/>
        </w:numPr>
      </w:pPr>
      <w:r>
        <w:rPr>
          <w:i/>
          <w:iCs/>
        </w:rPr>
        <w:t xml:space="preserve">200 trajectories, 180-day horizon, with 5 % parametric noise on features.</w:t>
      </w:r>
      <w:r>
        <w:t xml:space="preserve"> </w:t>
      </w:r>
      <w:r>
        <w:t xml:space="preserve">Enough trajectories to stabilise the probability estimate (Monte Carlo SE &lt; 4 %). 180 days captures the typical eelgrass decline timescale post-stress.</w:t>
      </w:r>
    </w:p>
    <w:p>
      <w:pPr>
        <w:pStyle w:val="Compact"/>
        <w:numPr>
          <w:ilvl w:val="0"/>
          <w:numId w:val="1005"/>
        </w:numPr>
      </w:pPr>
      <w:r>
        <w:rPr>
          <w:i/>
          <w:iCs/>
        </w:rPr>
        <w:t xml:space="preserve">Stress regime as 4-vector, not single label.</w:t>
      </w:r>
      <w:r>
        <w:t xml:space="preserve"> </w:t>
      </w:r>
      <w:r>
        <w:t xml:space="preserve">Real years are mixtures (e.g., late-summer heat</w:t>
      </w:r>
      <w:r>
        <w:t xml:space="preserve"> </w:t>
      </w:r>
      <w:r>
        <w:rPr>
          <w:i/>
          <w:iCs/>
        </w:rPr>
        <w:t xml:space="preserve">and</w:t>
      </w:r>
      <w:r>
        <w:t xml:space="preserve"> </w:t>
      </w:r>
      <w:r>
        <w:t xml:space="preserve">senescence simultaneously). Soft labels let the student learn fine-grained patterns; argmax provides a hard</w:t>
      </w:r>
      <w:r>
        <w:t xml:space="preserve"> </w:t>
      </w:r>
      <w:r>
        <w:t xml:space="preserve">“dominant stress”</w:t>
      </w:r>
      <w:r>
        <w:t xml:space="preserve"> </w:t>
      </w:r>
      <w:r>
        <w:t xml:space="preserve">for reporting.</w:t>
      </w:r>
    </w:p>
    <w:bookmarkEnd w:id="14"/>
    <w:bookmarkStart w:id="15" w:name="student-pipelinestudent.py"/>
    <w:p>
      <w:pPr>
        <w:pStyle w:val="Heading2"/>
      </w:pPr>
      <w:r>
        <w:t xml:space="preserve">4.4 Student (</w:t>
      </w:r>
      <w:r>
        <w:rPr>
          <w:rStyle w:val="VerbatimChar"/>
        </w:rPr>
        <w:t xml:space="preserve">pipeline/student.py</w:t>
      </w:r>
      <w:r>
        <w:t xml:space="preserve">)</w:t>
      </w:r>
    </w:p>
    <w:p>
      <w:pPr>
        <w:pStyle w:val="FirstParagraph"/>
      </w:pPr>
      <w:r>
        <w:rPr>
          <w:b/>
          <w:bCs/>
        </w:rPr>
        <w:t xml:space="preserve">What it does.</w:t>
      </w:r>
      <w:r>
        <w:t xml:space="preserve"> </w:t>
      </w:r>
      <w:r>
        <w:t xml:space="preserve">Trains three XGBoost models against the teacher’s soft labels:</w:t>
      </w:r>
    </w:p>
    <w:p>
      <w:pPr>
        <w:pStyle w:val="Compact"/>
        <w:numPr>
          <w:ilvl w:val="0"/>
          <w:numId w:val="1006"/>
        </w:numPr>
      </w:pPr>
      <w:r>
        <w:rPr>
          <w:b/>
          <w:bCs/>
        </w:rPr>
        <w:t xml:space="preserve">GPI regression</w:t>
      </w:r>
      <w:r>
        <w:t xml:space="preserve"> </w:t>
      </w:r>
      <w:r>
        <w:t xml:space="preserve">—</w:t>
      </w:r>
      <w:r>
        <w:t xml:space="preserve"> </w:t>
      </w:r>
      <w:r>
        <w:rPr>
          <w:rStyle w:val="VerbatimChar"/>
        </w:rPr>
        <w:t xml:space="preserve">objective='reg:squarederror'</w:t>
      </w:r>
      <w:r>
        <w:t xml:space="preserve">, predicts GPI_90d ∈ [0.05, 1].</w:t>
      </w:r>
    </w:p>
    <w:p>
      <w:pPr>
        <w:pStyle w:val="Compact"/>
        <w:numPr>
          <w:ilvl w:val="0"/>
          <w:numId w:val="1006"/>
        </w:numPr>
      </w:pPr>
      <w:r>
        <w:rPr>
          <w:b/>
          <w:bCs/>
        </w:rPr>
        <w:t xml:space="preserve">Decline probability regression</w:t>
      </w:r>
      <w:r>
        <w:t xml:space="preserve"> </w:t>
      </w:r>
      <w:r>
        <w:t xml:space="preserve">— same objective, clipped to [0, 1].</w:t>
      </w:r>
    </w:p>
    <w:p>
      <w:pPr>
        <w:pStyle w:val="Compact"/>
        <w:numPr>
          <w:ilvl w:val="0"/>
          <w:numId w:val="1006"/>
        </w:numPr>
      </w:pPr>
      <w:r>
        <w:rPr>
          <w:b/>
          <w:bCs/>
        </w:rPr>
        <w:t xml:space="preserve">Stress classification</w:t>
      </w:r>
      <w:r>
        <w:t xml:space="preserve"> </w:t>
      </w:r>
      <w:r>
        <w:t xml:space="preserve">—</w:t>
      </w:r>
      <w:r>
        <w:t xml:space="preserve"> </w:t>
      </w:r>
      <w:r>
        <w:rPr>
          <w:rStyle w:val="VerbatimChar"/>
        </w:rPr>
        <w:t xml:space="preserve">objective='multi:softprob'</w:t>
      </w:r>
      <w:r>
        <w:t xml:space="preserve">, 3-4 classes.</w:t>
      </w:r>
    </w:p>
    <w:p>
      <w:pPr>
        <w:pStyle w:val="FirstParagraph"/>
      </w:pPr>
      <w:r>
        <w:t xml:space="preserve">Common hyperparameters:</w:t>
      </w:r>
      <w:r>
        <w:t xml:space="preserve"> </w:t>
      </w:r>
      <w:r>
        <w:rPr>
          <w:rStyle w:val="VerbatimChar"/>
        </w:rPr>
        <w:t xml:space="preserve">n_estimators=300, max_depth=6, learning_rate=0.03, min_child_weight=5, subsample=0.7, colsample_bytree=0.6, reg_alpha=0.1, reg_lambda=1.0, early_stopping_rounds=30</w:t>
      </w:r>
      <w:r>
        <w:t xml:space="preserve">.</w:t>
      </w:r>
    </w:p>
    <w:p>
      <w:pPr>
        <w:pStyle w:val="BodyText"/>
      </w:pPr>
      <w:r>
        <w:rPr>
          <w:b/>
          <w:bCs/>
        </w:rPr>
        <w:t xml:space="preserve">Split strategy</w:t>
      </w:r>
      <w:r>
        <w:t xml:space="preserve">: spatial + temporal blocking.</w:t>
      </w:r>
    </w:p>
    <w:p>
      <w:pPr>
        <w:pStyle w:val="Compact"/>
        <w:numPr>
          <w:ilvl w:val="0"/>
          <w:numId w:val="1007"/>
        </w:numPr>
      </w:pPr>
      <w:r>
        <w:t xml:space="preserve">Train: Ouest + Marais, year ≤ 2017 (55,854 pixel-windows)</w:t>
      </w:r>
    </w:p>
    <w:p>
      <w:pPr>
        <w:pStyle w:val="Compact"/>
        <w:numPr>
          <w:ilvl w:val="0"/>
          <w:numId w:val="1007"/>
        </w:numPr>
      </w:pPr>
      <w:r>
        <w:t xml:space="preserve">Spatial val: Sud, year ≤ 2017 (36,685) — measures site transfer</w:t>
      </w:r>
    </w:p>
    <w:p>
      <w:pPr>
        <w:pStyle w:val="Compact"/>
        <w:numPr>
          <w:ilvl w:val="0"/>
          <w:numId w:val="1007"/>
        </w:numPr>
      </w:pPr>
      <w:r>
        <w:t xml:space="preserve">Temporal test: all sites, year = 2018 (89,570) — measures next-year forecasting</w:t>
      </w:r>
    </w:p>
    <w:p>
      <w:pPr>
        <w:pStyle w:val="FirstParagraph"/>
      </w:pPr>
      <w:r>
        <w:rPr>
          <w:b/>
          <w:bCs/>
        </w:rPr>
        <w:t xml:space="preserve">Feature handling</w:t>
      </w:r>
      <w:r>
        <w:t xml:space="preserve">: After loading, drops columns with |r| &gt; 0.95 vs any other (135 → 68 features).</w:t>
      </w:r>
    </w:p>
    <w:p>
      <w:pPr>
        <w:pStyle w:val="BodyText"/>
      </w:pPr>
      <w:r>
        <w:rPr>
          <w:b/>
          <w:bCs/>
        </w:rPr>
        <w:t xml:space="preserve">Design choices</w:t>
      </w:r>
      <w:r>
        <w:t xml:space="preserve">:</w:t>
      </w:r>
    </w:p>
    <w:p>
      <w:pPr>
        <w:pStyle w:val="Compact"/>
        <w:numPr>
          <w:ilvl w:val="0"/>
          <w:numId w:val="1008"/>
        </w:numPr>
      </w:pPr>
      <w:r>
        <w:rPr>
          <w:i/>
          <w:iCs/>
        </w:rPr>
        <w:t xml:space="preserve">Spatial blocking by site.</w:t>
      </w:r>
      <w:r>
        <w:t xml:space="preserve"> </w:t>
      </w:r>
      <w:r>
        <w:t xml:space="preserve">With 10 m S2 pixels, randomly held-out pixels would have ~identical training neighbours; AUC would inflate to fake 1.0. Holding out a full sub-site forces the model to generalise beyond the spatial bubble it was trained on.</w:t>
      </w:r>
    </w:p>
    <w:p>
      <w:pPr>
        <w:pStyle w:val="Compact"/>
        <w:numPr>
          <w:ilvl w:val="0"/>
          <w:numId w:val="1008"/>
        </w:numPr>
      </w:pPr>
      <w:r>
        <w:rPr>
          <w:i/>
          <w:iCs/>
        </w:rPr>
        <w:t xml:space="preserve">Temporal blocking by year.</w:t>
      </w:r>
      <w:r>
        <w:t xml:space="preserve"> </w:t>
      </w:r>
      <w:r>
        <w:t xml:space="preserve">The eelgrass community changes annually (boom-bust-recovery). A model that can only interpolate within years it has seen isn’t useful for early warning.</w:t>
      </w:r>
    </w:p>
    <w:p>
      <w:pPr>
        <w:pStyle w:val="Compact"/>
        <w:numPr>
          <w:ilvl w:val="0"/>
          <w:numId w:val="1008"/>
        </w:numPr>
      </w:pPr>
      <w:r>
        <w:rPr>
          <w:i/>
          <w:iCs/>
        </w:rPr>
        <w:t xml:space="preserve">Correlation pruning at r = 0.95.</w:t>
      </w:r>
      <w:r>
        <w:t xml:space="preserve"> </w:t>
      </w:r>
      <w:r>
        <w:t xml:space="preserve">Tree-based models tolerate correlated features well but slow down. r = 0.95 is a soft cut: lower (e.g., 0.8) starts dropping features with non-trivial unique signal.</w:t>
      </w:r>
    </w:p>
    <w:p>
      <w:pPr>
        <w:pStyle w:val="Compact"/>
        <w:numPr>
          <w:ilvl w:val="0"/>
          <w:numId w:val="1008"/>
        </w:numPr>
      </w:pPr>
      <w:r>
        <w:rPr>
          <w:i/>
          <w:iCs/>
        </w:rPr>
        <w:t xml:space="preserve">min_child_weight = 5.</w:t>
      </w:r>
      <w:r>
        <w:t xml:space="preserve"> </w:t>
      </w:r>
      <w:r>
        <w:t xml:space="preserve">Slightly higher than typical (default 1) to counter the spatial autocorrelation that inflates effective sample size — adjacent pixels are not independent.</w:t>
      </w:r>
    </w:p>
    <w:p>
      <w:pPr>
        <w:pStyle w:val="Compact"/>
        <w:numPr>
          <w:ilvl w:val="0"/>
          <w:numId w:val="1008"/>
        </w:numPr>
      </w:pPr>
      <w:r>
        <w:rPr>
          <w:i/>
          <w:iCs/>
        </w:rPr>
        <w:t xml:space="preserve">colsample_bytree = 0.6.</w:t>
      </w:r>
      <w:r>
        <w:t xml:space="preserve"> </w:t>
      </w:r>
      <w:r>
        <w:t xml:space="preserve">Lower than default (1.0) for regularisation given highly correlated remaining features.</w:t>
      </w:r>
    </w:p>
    <w:p>
      <w:pPr>
        <w:pStyle w:val="Compact"/>
        <w:numPr>
          <w:ilvl w:val="0"/>
          <w:numId w:val="1008"/>
        </w:numPr>
      </w:pPr>
      <w:r>
        <w:rPr>
          <w:i/>
          <w:iCs/>
        </w:rPr>
        <w:t xml:space="preserve">Early stopping on val_spatial, not test_temporal.</w:t>
      </w:r>
      <w:r>
        <w:t xml:space="preserve"> </w:t>
      </w:r>
      <w:r>
        <w:t xml:space="preserve">Test must remain untouched until final evaluation. Val is used for both hyperparameter search and early-stopping.</w:t>
      </w:r>
    </w:p>
    <w:bookmarkEnd w:id="15"/>
    <w:bookmarkStart w:id="16" w:name="split-alternatives-pipelinesplits.py"/>
    <w:p>
      <w:pPr>
        <w:pStyle w:val="Heading2"/>
      </w:pPr>
      <w:r>
        <w:t xml:space="preserve">4.5 Split alternatives (</w:t>
      </w:r>
      <w:r>
        <w:rPr>
          <w:rStyle w:val="VerbatimChar"/>
        </w:rPr>
        <w:t xml:space="preserve">pipeline/splits.py</w:t>
      </w:r>
      <w:r>
        <w:t xml:space="preserve">)</w:t>
      </w:r>
    </w:p>
    <w:p>
      <w:pPr>
        <w:pStyle w:val="FirstParagraph"/>
      </w:pPr>
      <w:r>
        <w:t xml:space="preserve">We implemented three split strategies because the right answer depends on the question: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When to use</w:t>
            </w:r>
          </w:p>
        </w:tc>
        <w:tc>
          <w:tcPr/>
          <w:p>
            <w:pPr>
              <w:pStyle w:val="Compact"/>
            </w:pPr>
            <w:r>
              <w:t xml:space="preserve">Folds for real S2 data (2016-2018)</w:t>
            </w:r>
          </w:p>
        </w:tc>
      </w:tr>
      <w:tr>
        <w:tc>
          <w:tcPr/>
          <w:p>
            <w:pPr>
              <w:pStyle w:val="Compact"/>
            </w:pPr>
            <w:r>
              <w:rPr>
                <w:b/>
                <w:bCs/>
              </w:rPr>
              <w:t xml:space="preserve">LOYO</w:t>
            </w:r>
          </w:p>
        </w:tc>
        <w:tc>
          <w:tcPr/>
          <w:p>
            <w:pPr>
              <w:pStyle w:val="Compact"/>
            </w:pPr>
            <w:r>
              <w:t xml:space="preserve">Honest mean-±-std generalisation estimate</w:t>
            </w:r>
          </w:p>
        </w:tc>
        <w:tc>
          <w:tcPr/>
          <w:p>
            <w:pPr>
              <w:pStyle w:val="Compact"/>
            </w:pPr>
            <w:r>
              <w:t xml:space="preserve">3 (one per year)</w:t>
            </w:r>
          </w:p>
        </w:tc>
      </w:tr>
      <w:tr>
        <w:tc>
          <w:tcPr/>
          <w:p>
            <w:pPr>
              <w:pStyle w:val="Compact"/>
            </w:pPr>
            <w:r>
              <w:rPr>
                <w:b/>
                <w:bCs/>
              </w:rPr>
              <w:t xml:space="preserve">Forward-chain</w:t>
            </w:r>
          </w:p>
        </w:tc>
        <w:tc>
          <w:tcPr/>
          <w:p>
            <w:pPr>
              <w:pStyle w:val="Compact"/>
            </w:pPr>
            <w:r>
              <w:t xml:space="preserve">Deployment realism —</w:t>
            </w:r>
            <w:r>
              <w:t xml:space="preserve"> </w:t>
            </w:r>
            <w:r>
              <w:t xml:space="preserve">“next year from past years”</w:t>
            </w:r>
          </w:p>
        </w:tc>
        <w:tc>
          <w:tcPr/>
          <w:p>
            <w:pPr>
              <w:pStyle w:val="Compact"/>
            </w:pPr>
            <w:r>
              <w:t xml:space="preserve">2</w:t>
            </w:r>
          </w:p>
        </w:tc>
      </w:tr>
      <w:tr>
        <w:tc>
          <w:tcPr/>
          <w:p>
            <w:pPr>
              <w:pStyle w:val="Compact"/>
            </w:pPr>
            <w:r>
              <w:rPr>
                <w:b/>
                <w:bCs/>
              </w:rPr>
              <w:t xml:space="preserve">Tail (2017-18)</w:t>
            </w:r>
          </w:p>
        </w:tc>
        <w:tc>
          <w:tcPr/>
          <w:p>
            <w:pPr>
              <w:pStyle w:val="Compact"/>
            </w:pPr>
            <w:r>
              <w:t xml:space="preserve">The flagship</w:t>
            </w:r>
            <w:r>
              <w:t xml:space="preserve"> </w:t>
            </w:r>
            <w:r>
              <w:t xml:space="preserve">“did we catch the epidemic?”</w:t>
            </w:r>
            <w:r>
              <w:t xml:space="preserve"> </w:t>
            </w:r>
            <w:r>
              <w:t xml:space="preserve">question</w:t>
            </w:r>
          </w:p>
        </w:tc>
        <w:tc>
          <w:tcPr/>
          <w:p>
            <w:pPr>
              <w:pStyle w:val="Compact"/>
            </w:pPr>
            <w:r>
              <w:t xml:space="preserve">0 useful (train years 2013-15 have no S2 data)</w:t>
            </w:r>
          </w:p>
        </w:tc>
      </w:tr>
    </w:tbl>
    <w:p>
      <w:pPr>
        <w:pStyle w:val="BodyText"/>
      </w:pPr>
      <w:r>
        <w:rPr>
          <w:b/>
          <w:bCs/>
        </w:rPr>
        <w:t xml:space="preserve">Reasoning for using all three</w:t>
      </w:r>
      <w:r>
        <w:t xml:space="preserve">:</w:t>
      </w:r>
    </w:p>
    <w:p>
      <w:pPr>
        <w:pStyle w:val="Compact"/>
        <w:numPr>
          <w:ilvl w:val="0"/>
          <w:numId w:val="1009"/>
        </w:numPr>
      </w:pPr>
      <w:r>
        <w:t xml:space="preserve">LOYO/forward/tail each test a different</w:t>
      </w:r>
      <w:r>
        <w:t xml:space="preserve"> </w:t>
      </w:r>
      <w:r>
        <w:rPr>
          <w:i/>
          <w:iCs/>
        </w:rPr>
        <w:t xml:space="preserve">kind</w:t>
      </w:r>
      <w:r>
        <w:t xml:space="preserve"> </w:t>
      </w:r>
      <w:r>
        <w:t xml:space="preserve">of generalisation. Mean ± std across LOYO folds shows scale of year-to-year variability; forward chain shows whether more training years help; tail asks the operational question.</w:t>
      </w:r>
    </w:p>
    <w:p>
      <w:pPr>
        <w:pStyle w:val="Compact"/>
        <w:numPr>
          <w:ilvl w:val="0"/>
          <w:numId w:val="1009"/>
        </w:numPr>
      </w:pPr>
      <w:r>
        <w:t xml:space="preserve">For annual labels (</w:t>
      </w:r>
      <w:r>
        <w:rPr>
          <w:rStyle w:val="VerbatimChar"/>
        </w:rPr>
        <w:t xml:space="preserve">student_loyo.py</w:t>
      </w:r>
      <w:r>
        <w:t xml:space="preserve">), the LOYO/forward/tail framework is correct. For window-level labels (</w:t>
      </w:r>
      <w:r>
        <w:rPr>
          <w:rStyle w:val="VerbatimChar"/>
        </w:rPr>
        <w:t xml:space="preserve">student.py</w:t>
      </w:r>
      <w:r>
        <w:t xml:space="preserve">), the simpler</w:t>
      </w:r>
      <w:r>
        <w:t xml:space="preserve"> </w:t>
      </w:r>
      <w:r>
        <w:rPr>
          <w:rStyle w:val="VerbatimChar"/>
        </w:rPr>
        <w:t xml:space="preserve">spatial + temporal</w:t>
      </w:r>
      <w:r>
        <w:t xml:space="preserve"> </w:t>
      </w:r>
      <w:r>
        <w:t xml:space="preserve">60/20/20 split is sufficient because we have hundreds of windows per site rather than 6 per site.</w:t>
      </w:r>
    </w:p>
    <w:bookmarkEnd w:id="16"/>
    <w:bookmarkStart w:id="17" w:name="inference-pipelineinference.py"/>
    <w:p>
      <w:pPr>
        <w:pStyle w:val="Heading2"/>
      </w:pPr>
      <w:r>
        <w:t xml:space="preserve">4.6 Inference (</w:t>
      </w:r>
      <w:r>
        <w:rPr>
          <w:rStyle w:val="VerbatimChar"/>
        </w:rPr>
        <w:t xml:space="preserve">pipeline/inference.py</w:t>
      </w:r>
      <w:r>
        <w:t xml:space="preserve">)</w:t>
      </w:r>
    </w:p>
    <w:p>
      <w:pPr>
        <w:pStyle w:val="FirstParagraph"/>
      </w:pPr>
      <w:r>
        <w:rPr>
          <w:b/>
          <w:bCs/>
        </w:rPr>
        <w:t xml:space="preserve">What it does.</w:t>
      </w:r>
      <w:r>
        <w:t xml:space="preserve"> </w:t>
      </w:r>
      <w:r>
        <w:t xml:space="preserve">Loads trained models + the training distribution’s Mahalanobis statistics. For each pixel-window in a target region’s features file:</w:t>
      </w:r>
    </w:p>
    <w:p>
      <w:pPr>
        <w:pStyle w:val="Compact"/>
        <w:numPr>
          <w:ilvl w:val="0"/>
          <w:numId w:val="1010"/>
        </w:numPr>
      </w:pPr>
      <w:r>
        <w:t xml:space="preserve">Predicts</w:t>
      </w:r>
      <w:r>
        <w:t xml:space="preserve"> </w:t>
      </w:r>
      <w:r>
        <w:rPr>
          <w:rStyle w:val="VerbatimChar"/>
        </w:rPr>
        <w:t xml:space="preserve">GPI</w:t>
      </w:r>
      <w:r>
        <w:t xml:space="preserve">,</w:t>
      </w:r>
      <w:r>
        <w:t xml:space="preserve"> </w:t>
      </w:r>
      <w:r>
        <w:rPr>
          <w:rStyle w:val="VerbatimChar"/>
        </w:rPr>
        <w:t xml:space="preserve">decline_prob</w:t>
      </w:r>
      <w:r>
        <w:t xml:space="preserve">,</w:t>
      </w:r>
      <w:r>
        <w:t xml:space="preserve"> </w:t>
      </w:r>
      <w:r>
        <w:rPr>
          <w:rStyle w:val="VerbatimChar"/>
        </w:rPr>
        <w:t xml:space="preserve">stress_class</w:t>
      </w:r>
      <w:r>
        <w:t xml:space="preserve">,</w:t>
      </w:r>
      <w:r>
        <w:t xml:space="preserve"> </w:t>
      </w:r>
      <w:r>
        <w:rPr>
          <w:rStyle w:val="VerbatimChar"/>
        </w:rPr>
        <w:t xml:space="preserve">prob_&lt;each class&gt;</w:t>
      </w:r>
      <w:r>
        <w:t xml:space="preserve">.</w:t>
      </w:r>
    </w:p>
    <w:p>
      <w:pPr>
        <w:pStyle w:val="Compact"/>
        <w:numPr>
          <w:ilvl w:val="0"/>
          <w:numId w:val="1010"/>
        </w:numPr>
      </w:pPr>
      <w:r>
        <w:t xml:space="preserve">Computes Mahalanobis distance from Forillon training feature mean and the corresponding chi-squared p-value.</w:t>
      </w:r>
    </w:p>
    <w:p>
      <w:pPr>
        <w:pStyle w:val="Compact"/>
        <w:numPr>
          <w:ilvl w:val="0"/>
          <w:numId w:val="1010"/>
        </w:numPr>
      </w:pPr>
      <w:r>
        <w:t xml:space="preserve">Computes</w:t>
      </w:r>
      <w:r>
        <w:t xml:space="preserve"> </w:t>
      </w:r>
      <w:r>
        <w:rPr>
          <w:rStyle w:val="VerbatimChar"/>
        </w:rPr>
        <w:t xml:space="preserve">valid_obs_ratio</w:t>
      </w:r>
      <w:r>
        <w:t xml:space="preserve"> </w:t>
      </w:r>
      <w:r>
        <w:t xml:space="preserve">from valid_obs_count.</w:t>
      </w:r>
    </w:p>
    <w:p>
      <w:pPr>
        <w:pStyle w:val="Compact"/>
        <w:numPr>
          <w:ilvl w:val="0"/>
          <w:numId w:val="1010"/>
        </w:numPr>
      </w:pPr>
      <w:r>
        <w:t xml:space="preserve">Assigns confidence tier from (p-value × obs ratio).</w:t>
      </w:r>
    </w:p>
    <w:p>
      <w:pPr>
        <w:pStyle w:val="Compact"/>
        <w:numPr>
          <w:ilvl w:val="0"/>
          <w:numId w:val="1010"/>
        </w:numPr>
      </w:pPr>
      <w:r>
        <w:t xml:space="preserve">Aggregates pixel scores within each bed polygon to bed-level: pixel-weighted decline mean, % high-risk pixels, modal stress, bed confidence.</w:t>
      </w:r>
    </w:p>
    <w:p>
      <w:pPr>
        <w:pStyle w:val="FirstParagraph"/>
      </w:pPr>
      <w:r>
        <w:rPr>
          <w:b/>
          <w:bCs/>
        </w:rPr>
        <w:t xml:space="preserve">Output for Antigonish</w:t>
      </w:r>
      <w:r>
        <w:t xml:space="preserve">: 2,135,811 pixel rows + 35 bed-window rows.</w:t>
      </w:r>
    </w:p>
    <w:p>
      <w:pPr>
        <w:pStyle w:val="BodyText"/>
      </w:pPr>
      <w:r>
        <w:rPr>
          <w:b/>
          <w:bCs/>
        </w:rPr>
        <w:t xml:space="preserve">Design choices</w:t>
      </w:r>
      <w:r>
        <w:t xml:space="preserve">:</w:t>
      </w:r>
    </w:p>
    <w:p>
      <w:pPr>
        <w:pStyle w:val="Compact"/>
        <w:numPr>
          <w:ilvl w:val="0"/>
          <w:numId w:val="1011"/>
        </w:numPr>
      </w:pPr>
      <w:r>
        <w:rPr>
          <w:i/>
          <w:iCs/>
        </w:rPr>
        <w:t xml:space="preserve">Mahalanobis over feature-importance-weighted distance.</w:t>
      </w:r>
      <w:r>
        <w:t xml:space="preserve"> </w:t>
      </w:r>
      <w:r>
        <w:t xml:space="preserve">Captures multivariate spectral novelty including interactions, not just per-feature deviations.</w:t>
      </w:r>
    </w:p>
    <w:p>
      <w:pPr>
        <w:pStyle w:val="Compact"/>
        <w:numPr>
          <w:ilvl w:val="0"/>
          <w:numId w:val="1011"/>
        </w:numPr>
      </w:pPr>
      <w:r>
        <w:rPr>
          <w:i/>
          <w:iCs/>
        </w:rPr>
        <w:t xml:space="preserve">Bed confidence as worst-of two factors.</w:t>
      </w:r>
      <w:r>
        <w:t xml:space="preserve"> </w:t>
      </w:r>
      <w:r>
        <w:t xml:space="preserve">High confidence requires BOTH adequate cloud-free observations AND in-distribution spectra. Either failure forces Medium.</w:t>
      </w:r>
    </w:p>
    <w:p>
      <w:pPr>
        <w:pStyle w:val="Compact"/>
        <w:numPr>
          <w:ilvl w:val="0"/>
          <w:numId w:val="1011"/>
        </w:numPr>
      </w:pPr>
      <w:r>
        <w:rPr>
          <w:i/>
          <w:iCs/>
        </w:rPr>
        <w:t xml:space="preserve">High-risk-pixel fraction reported separately.</w:t>
      </w:r>
      <w:r>
        <w:t xml:space="preserve"> </w:t>
      </w:r>
      <w:r>
        <w:t xml:space="preserve">A</w:t>
      </w:r>
      <w:r>
        <w:t xml:space="preserve"> </w:t>
      </w:r>
      <w:r>
        <w:t xml:space="preserve">“Medium”</w:t>
      </w:r>
      <w:r>
        <w:t xml:space="preserve"> </w:t>
      </w:r>
      <w:r>
        <w:t xml:space="preserve">bed with 80 % of pixels at high risk is operationally very different from a</w:t>
      </w:r>
      <w:r>
        <w:t xml:space="preserve"> </w:t>
      </w:r>
      <w:r>
        <w:t xml:space="preserve">“Medium”</w:t>
      </w:r>
      <w:r>
        <w:t xml:space="preserve"> </w:t>
      </w:r>
      <w:r>
        <w:t xml:space="preserve">bed with uniformly moderate risk. Both numbers go to the API.</w:t>
      </w:r>
    </w:p>
    <w:bookmarkEnd w:id="17"/>
    <w:bookmarkEnd w:id="18"/>
    <w:bookmarkStart w:id="24" w:name="results-in-detail"/>
    <w:p>
      <w:pPr>
        <w:pStyle w:val="Heading1"/>
      </w:pPr>
      <w:r>
        <w:t xml:space="preserve">5. Results in detail</w:t>
      </w:r>
    </w:p>
    <w:bookmarkStart w:id="19" w:name="teacher-behaviour"/>
    <w:p>
      <w:pPr>
        <w:pStyle w:val="Heading2"/>
      </w:pPr>
      <w:r>
        <w:t xml:space="preserve">5.1 Teacher behaviour</w:t>
      </w:r>
    </w:p>
    <w:p>
      <w:pPr>
        <w:pStyle w:val="FirstParagraph"/>
      </w:pPr>
      <w:r>
        <w:t xml:space="preserve">From</w:t>
      </w:r>
      <w:r>
        <w:t xml:space="preserve"> </w:t>
      </w:r>
      <w:r>
        <w:rPr>
          <w:rStyle w:val="VerbatimChar"/>
        </w:rPr>
        <w:t xml:space="preserve">data/labels/teacher_labels.csv</w:t>
      </w:r>
      <w:r>
        <w:t xml:space="preserve">:</w:t>
      </w:r>
    </w:p>
    <w:p>
      <w:pPr>
        <w:pStyle w:val="Compact"/>
        <w:numPr>
          <w:ilvl w:val="0"/>
          <w:numId w:val="1012"/>
        </w:numPr>
      </w:pPr>
      <w:r>
        <w:t xml:space="preserve">453 labels (3 sites × 151 windows).</w:t>
      </w:r>
    </w:p>
    <w:p>
      <w:pPr>
        <w:pStyle w:val="Compact"/>
        <w:numPr>
          <w:ilvl w:val="0"/>
          <w:numId w:val="1012"/>
        </w:numPr>
      </w:pPr>
      <w:r>
        <w:t xml:space="preserve">GPI_90d range [0.095, 0.844], mean 0.415, std 0.252. Strong annual cycle.</w:t>
      </w:r>
    </w:p>
    <w:p>
      <w:pPr>
        <w:pStyle w:val="Compact"/>
        <w:numPr>
          <w:ilvl w:val="0"/>
          <w:numId w:val="1012"/>
        </w:numPr>
      </w:pPr>
      <w:r>
        <w:t xml:space="preserve">decline_prob_180d: bimodal — 75th percentile 0.425, mean 0.252, half the windows have prob 0.</w:t>
      </w:r>
    </w:p>
    <w:p>
      <w:pPr>
        <w:pStyle w:val="Compact"/>
        <w:numPr>
          <w:ilvl w:val="0"/>
          <w:numId w:val="1012"/>
        </w:numPr>
      </w:pPr>
      <w:r>
        <w:t xml:space="preserve">Dominant stress mix across all 453 windows: cold ≈ 64 %, senescence ≈ 26 %, light ≈ 10 %, heat 0 % (Forillon never exceeds 22 °C).</w:t>
      </w:r>
    </w:p>
    <w:p>
      <w:pPr>
        <w:pStyle w:val="FirstParagraph"/>
      </w:pPr>
      <w:r>
        <w:t xml:space="preserve">All three sites show near-identical GPI/stress time series because the input env data is spatially averaged across the bay before per-site label assignment — this is a known constraint of the source dataset that limits per-site differentiation.</w:t>
      </w:r>
    </w:p>
    <w:bookmarkEnd w:id="19"/>
    <w:bookmarkStart w:id="20" w:name="student-window-level-metrics-real-data"/>
    <w:p>
      <w:pPr>
        <w:pStyle w:val="Heading2"/>
      </w:pPr>
      <w:r>
        <w:t xml:space="preserve">5.2 Student window-level metrics (real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Metric</w:t>
            </w:r>
          </w:p>
        </w:tc>
        <w:tc>
          <w:tcPr/>
          <w:p>
            <w:pPr>
              <w:pStyle w:val="Compact"/>
            </w:pPr>
            <w:r>
              <w:t xml:space="preserve">Spatial val (Sud)</w:t>
            </w:r>
          </w:p>
        </w:tc>
        <w:tc>
          <w:tcPr/>
          <w:p>
            <w:pPr>
              <w:pStyle w:val="Compact"/>
            </w:pPr>
            <w:r>
              <w:t xml:space="preserve">Temporal test (2018)</w:t>
            </w:r>
          </w:p>
        </w:tc>
        <w:tc>
          <w:tcPr/>
          <w:p>
            <w:pPr>
              <w:pStyle w:val="Compact"/>
            </w:pPr>
            <w:r>
              <w:t xml:space="preserve">Δ</w:t>
            </w:r>
          </w:p>
        </w:tc>
      </w:tr>
      <w:tr>
        <w:tc>
          <w:tcPr/>
          <w:p>
            <w:pPr>
              <w:pStyle w:val="Compact"/>
            </w:pPr>
            <w:r>
              <w:t xml:space="preserve">GPI</w:t>
            </w:r>
          </w:p>
        </w:tc>
        <w:tc>
          <w:tcPr/>
          <w:p>
            <w:pPr>
              <w:pStyle w:val="Compact"/>
            </w:pPr>
            <w:r>
              <w:t xml:space="preserve">MAE</w:t>
            </w:r>
          </w:p>
        </w:tc>
        <w:tc>
          <w:tcPr/>
          <w:p>
            <w:pPr>
              <w:pStyle w:val="Compact"/>
            </w:pPr>
            <w:r>
              <w:t xml:space="preserve">0.005</w:t>
            </w:r>
          </w:p>
        </w:tc>
        <w:tc>
          <w:tcPr/>
          <w:p>
            <w:pPr>
              <w:pStyle w:val="Compact"/>
            </w:pPr>
            <w:r>
              <w:t xml:space="preserve">0.087</w:t>
            </w:r>
          </w:p>
        </w:tc>
        <w:tc>
          <w:tcPr/>
          <w:p>
            <w:pPr>
              <w:pStyle w:val="Compact"/>
            </w:pPr>
            <w:r>
              <w:t xml:space="preserve">17× worse</w:t>
            </w:r>
          </w:p>
        </w:tc>
      </w:tr>
      <w:tr>
        <w:tc>
          <w:tcPr/>
          <w:p>
            <w:pPr>
              <w:pStyle w:val="Compact"/>
            </w:pPr>
            <w:r>
              <w:t xml:space="preserve">GPI</w:t>
            </w:r>
          </w:p>
        </w:tc>
        <w:tc>
          <w:tcPr/>
          <w:p>
            <w:pPr>
              <w:pStyle w:val="Compact"/>
            </w:pPr>
            <w:r>
              <w:t xml:space="preserve">R²</w:t>
            </w:r>
          </w:p>
        </w:tc>
        <w:tc>
          <w:tcPr/>
          <w:p>
            <w:pPr>
              <w:pStyle w:val="Compact"/>
            </w:pPr>
            <w:r>
              <w:t xml:space="preserve">0.995</w:t>
            </w:r>
          </w:p>
        </w:tc>
        <w:tc>
          <w:tcPr/>
          <w:p>
            <w:pPr>
              <w:pStyle w:val="Compact"/>
            </w:pPr>
            <w:r>
              <w:t xml:space="preserve">0.884</w:t>
            </w:r>
          </w:p>
        </w:tc>
        <w:tc>
          <w:tcPr/>
          <w:p>
            <w:pPr>
              <w:pStyle w:val="Compact"/>
            </w:pPr>
            <w:r>
              <w:t xml:space="preserve">-0.11</w:t>
            </w:r>
          </w:p>
        </w:tc>
      </w:tr>
      <w:tr>
        <w:tc>
          <w:tcPr/>
          <w:p>
            <w:pPr>
              <w:pStyle w:val="Compact"/>
            </w:pPr>
            <w:r>
              <w:t xml:space="preserve">Decline</w:t>
            </w:r>
          </w:p>
        </w:tc>
        <w:tc>
          <w:tcPr/>
          <w:p>
            <w:pPr>
              <w:pStyle w:val="Compact"/>
            </w:pPr>
            <w:r>
              <w:t xml:space="preserve">MAE</w:t>
            </w:r>
          </w:p>
        </w:tc>
        <w:tc>
          <w:tcPr/>
          <w:p>
            <w:pPr>
              <w:pStyle w:val="Compact"/>
            </w:pPr>
            <w:r>
              <w:t xml:space="preserve">0.014</w:t>
            </w:r>
          </w:p>
        </w:tc>
        <w:tc>
          <w:tcPr/>
          <w:p>
            <w:pPr>
              <w:pStyle w:val="Compact"/>
            </w:pPr>
            <w:r>
              <w:t xml:space="preserve">0.327</w:t>
            </w:r>
          </w:p>
        </w:tc>
        <w:tc>
          <w:tcPr/>
          <w:p>
            <w:pPr>
              <w:pStyle w:val="Compact"/>
            </w:pPr>
            <w:r>
              <w:t xml:space="preserve">23× worse</w:t>
            </w:r>
          </w:p>
        </w:tc>
      </w:tr>
      <w:tr>
        <w:tc>
          <w:tcPr/>
          <w:p>
            <w:pPr>
              <w:pStyle w:val="Compact"/>
            </w:pPr>
            <w:r>
              <w:t xml:space="preserve">Decline</w:t>
            </w:r>
          </w:p>
        </w:tc>
        <w:tc>
          <w:tcPr/>
          <w:p>
            <w:pPr>
              <w:pStyle w:val="Compact"/>
            </w:pPr>
            <w:r>
              <w:t xml:space="preserve">Brier</w:t>
            </w:r>
          </w:p>
        </w:tc>
        <w:tc>
          <w:tcPr/>
          <w:p>
            <w:pPr>
              <w:pStyle w:val="Compact"/>
            </w:pPr>
            <w:r>
              <w:t xml:space="preserve">0.008</w:t>
            </w:r>
          </w:p>
        </w:tc>
        <w:tc>
          <w:tcPr/>
          <w:p>
            <w:pPr>
              <w:pStyle w:val="Compact"/>
            </w:pPr>
            <w:r>
              <w:t xml:space="preserve">0.283</w:t>
            </w:r>
          </w:p>
        </w:tc>
        <w:tc>
          <w:tcPr/>
          <w:p>
            <w:pPr>
              <w:pStyle w:val="Compact"/>
            </w:pPr>
            <w:r>
              <w:t xml:space="preserve">35× worse</w:t>
            </w:r>
          </w:p>
        </w:tc>
      </w:tr>
      <w:tr>
        <w:tc>
          <w:tcPr/>
          <w:p>
            <w:pPr>
              <w:pStyle w:val="Compact"/>
            </w:pPr>
            <w:r>
              <w:t xml:space="preserve">Decline</w:t>
            </w:r>
          </w:p>
        </w:tc>
        <w:tc>
          <w:tcPr/>
          <w:p>
            <w:pPr>
              <w:pStyle w:val="Compact"/>
            </w:pPr>
            <w:r>
              <w:t xml:space="preserve">AUC</w:t>
            </w:r>
          </w:p>
        </w:tc>
        <w:tc>
          <w:tcPr/>
          <w:p>
            <w:pPr>
              <w:pStyle w:val="Compact"/>
            </w:pPr>
            <w:r>
              <w:t xml:space="preserve">0.998</w:t>
            </w:r>
          </w:p>
        </w:tc>
        <w:tc>
          <w:tcPr/>
          <w:p>
            <w:pPr>
              <w:pStyle w:val="Compact"/>
            </w:pPr>
            <w:r>
              <w:t xml:space="preserve">0.662</w:t>
            </w:r>
          </w:p>
        </w:tc>
        <w:tc>
          <w:tcPr/>
          <w:p>
            <w:pPr>
              <w:pStyle w:val="Compact"/>
            </w:pPr>
            <w:r>
              <w:t xml:space="preserve">-0.34</w:t>
            </w:r>
          </w:p>
        </w:tc>
      </w:tr>
      <w:tr>
        <w:tc>
          <w:tcPr/>
          <w:p>
            <w:pPr>
              <w:pStyle w:val="Compact"/>
            </w:pPr>
            <w:r>
              <w:t xml:space="preserve">Stress</w:t>
            </w:r>
          </w:p>
        </w:tc>
        <w:tc>
          <w:tcPr/>
          <w:p>
            <w:pPr>
              <w:pStyle w:val="Compact"/>
            </w:pPr>
            <w:r>
              <w:t xml:space="preserve">Macro-F1</w:t>
            </w:r>
          </w:p>
        </w:tc>
        <w:tc>
          <w:tcPr/>
          <w:p>
            <w:pPr>
              <w:pStyle w:val="Compact"/>
            </w:pPr>
            <w:r>
              <w:t xml:space="preserve">1.000</w:t>
            </w:r>
          </w:p>
        </w:tc>
        <w:tc>
          <w:tcPr/>
          <w:p>
            <w:pPr>
              <w:pStyle w:val="Compact"/>
            </w:pPr>
            <w:r>
              <w:t xml:space="preserve">0.857</w:t>
            </w:r>
          </w:p>
        </w:tc>
        <w:tc>
          <w:tcPr/>
          <w:p>
            <w:pPr>
              <w:pStyle w:val="Compact"/>
            </w:pPr>
            <w:r>
              <w:t xml:space="preserve">-0.14</w:t>
            </w:r>
          </w:p>
        </w:tc>
      </w:tr>
      <w:tr>
        <w:tc>
          <w:tcPr/>
          <w:p>
            <w:pPr>
              <w:pStyle w:val="Compact"/>
            </w:pPr>
            <w:r>
              <w:t xml:space="preserve">Stress (cold)</w:t>
            </w:r>
          </w:p>
        </w:tc>
        <w:tc>
          <w:tcPr/>
          <w:p>
            <w:pPr>
              <w:pStyle w:val="Compact"/>
            </w:pPr>
            <w:r>
              <w:t xml:space="preserve">F1</w:t>
            </w:r>
          </w:p>
        </w:tc>
        <w:tc>
          <w:tcPr/>
          <w:p>
            <w:pPr>
              <w:pStyle w:val="Compact"/>
            </w:pPr>
            <w:r>
              <w:t xml:space="preserve">1.000</w:t>
            </w:r>
          </w:p>
        </w:tc>
        <w:tc>
          <w:tcPr/>
          <w:p>
            <w:pPr>
              <w:pStyle w:val="Compact"/>
            </w:pPr>
            <w:r>
              <w:t xml:space="preserve">0.880</w:t>
            </w:r>
          </w:p>
        </w:tc>
        <w:tc>
          <w:tcPr/>
          <w:p>
            <w:pPr>
              <w:pStyle w:val="Compact"/>
            </w:pPr>
            <w:r>
              <w:t xml:space="preserve">-0.12</w:t>
            </w:r>
          </w:p>
        </w:tc>
      </w:tr>
      <w:tr>
        <w:tc>
          <w:tcPr/>
          <w:p>
            <w:pPr>
              <w:pStyle w:val="Compact"/>
            </w:pPr>
            <w:r>
              <w:t xml:space="preserve">Stress (light)</w:t>
            </w:r>
          </w:p>
        </w:tc>
        <w:tc>
          <w:tcPr/>
          <w:p>
            <w:pPr>
              <w:pStyle w:val="Compact"/>
            </w:pPr>
            <w:r>
              <w:t xml:space="preserve">F1</w:t>
            </w:r>
          </w:p>
        </w:tc>
        <w:tc>
          <w:tcPr/>
          <w:p>
            <w:pPr>
              <w:pStyle w:val="Compact"/>
            </w:pPr>
            <w:r>
              <w:t xml:space="preserve">1.000</w:t>
            </w:r>
          </w:p>
        </w:tc>
        <w:tc>
          <w:tcPr/>
          <w:p>
            <w:pPr>
              <w:pStyle w:val="Compact"/>
            </w:pPr>
            <w:r>
              <w:t xml:space="preserve">0.698</w:t>
            </w:r>
          </w:p>
        </w:tc>
        <w:tc>
          <w:tcPr/>
          <w:p>
            <w:pPr>
              <w:pStyle w:val="Compact"/>
            </w:pPr>
            <w:r>
              <w:t xml:space="preserve">-0.30</w:t>
            </w:r>
          </w:p>
        </w:tc>
      </w:tr>
      <w:tr>
        <w:tc>
          <w:tcPr/>
          <w:p>
            <w:pPr>
              <w:pStyle w:val="Compact"/>
            </w:pPr>
            <w:r>
              <w:t xml:space="preserve">Stress (senescence)</w:t>
            </w:r>
          </w:p>
        </w:tc>
        <w:tc>
          <w:tcPr/>
          <w:p>
            <w:pPr>
              <w:pStyle w:val="Compact"/>
            </w:pPr>
            <w:r>
              <w:t xml:space="preserve">F1</w:t>
            </w:r>
          </w:p>
        </w:tc>
        <w:tc>
          <w:tcPr/>
          <w:p>
            <w:pPr>
              <w:pStyle w:val="Compact"/>
            </w:pPr>
            <w:r>
              <w:t xml:space="preserve">1.000</w:t>
            </w:r>
          </w:p>
        </w:tc>
        <w:tc>
          <w:tcPr/>
          <w:p>
            <w:pPr>
              <w:pStyle w:val="Compact"/>
            </w:pPr>
            <w:r>
              <w:t xml:space="preserve">0.995</w:t>
            </w:r>
          </w:p>
        </w:tc>
        <w:tc>
          <w:tcPr/>
          <w:p>
            <w:pPr>
              <w:pStyle w:val="Compact"/>
            </w:pPr>
            <w:r>
              <w:t xml:space="preserve">-0.01</w:t>
            </w:r>
          </w:p>
        </w:tc>
      </w:tr>
    </w:tbl>
    <w:p>
      <w:pPr>
        <w:pStyle w:val="BodyText"/>
      </w:pPr>
      <w:r>
        <w:rPr>
          <w:b/>
          <w:bCs/>
        </w:rPr>
        <w:t xml:space="preserve">Interpretation</w:t>
      </w:r>
      <w:r>
        <w:t xml:space="preserve">:</w:t>
      </w:r>
    </w:p>
    <w:p>
      <w:pPr>
        <w:pStyle w:val="Compact"/>
        <w:numPr>
          <w:ilvl w:val="0"/>
          <w:numId w:val="1013"/>
        </w:numPr>
      </w:pPr>
      <w:r>
        <w:t xml:space="preserve">Spatial generalisation is</w:t>
      </w:r>
      <w:r>
        <w:t xml:space="preserve"> </w:t>
      </w:r>
      <w:r>
        <w:rPr>
          <w:i/>
          <w:iCs/>
        </w:rPr>
        <w:t xml:space="preserve">near-perfect.</w:t>
      </w:r>
      <w:r>
        <w:t xml:space="preserve"> </w:t>
      </w:r>
      <w:r>
        <w:t xml:space="preserve">The student trained on Ouest+Marais transfers cleanly to Sud, because the synthetic spectral features were generated from the same env data. This number is somewhat optimistic; with truly independent pixel-level cover data per site it would degrade.</w:t>
      </w:r>
    </w:p>
    <w:p>
      <w:pPr>
        <w:pStyle w:val="Compact"/>
        <w:numPr>
          <w:ilvl w:val="0"/>
          <w:numId w:val="1013"/>
        </w:numPr>
      </w:pPr>
      <w:r>
        <w:t xml:space="preserve">Temporal generalisation is</w:t>
      </w:r>
      <w:r>
        <w:t xml:space="preserve"> </w:t>
      </w:r>
      <w:r>
        <w:rPr>
          <w:i/>
          <w:iCs/>
        </w:rPr>
        <w:t xml:space="preserve">real and moderate.</w:t>
      </w:r>
      <w:r>
        <w:t xml:space="preserve"> </w:t>
      </w:r>
      <w:r>
        <w:t xml:space="preserve">2018 was the warmest summer in the dataset, pushing GPI values into a range only weakly represented in training.</w:t>
      </w:r>
    </w:p>
    <w:p>
      <w:pPr>
        <w:pStyle w:val="Compact"/>
        <w:numPr>
          <w:ilvl w:val="0"/>
          <w:numId w:val="1013"/>
        </w:numPr>
      </w:pPr>
      <w:r>
        <w:t xml:space="preserve">Decline AUC degradation from 0.998 → 0.662 is the most important number. AUC 0.66 is above chance (0.5) but well below useful (&gt; 0.8). The model can rank pixels but probability calibration is poor (see fig 20).</w:t>
      </w:r>
    </w:p>
    <w:p>
      <w:pPr>
        <w:pStyle w:val="Compact"/>
        <w:numPr>
          <w:ilvl w:val="0"/>
          <w:numId w:val="1013"/>
        </w:numPr>
      </w:pPr>
      <w:r>
        <w:t xml:space="preserve">Stress macro-F1 holds up well because cold and senescence dominate; light limitation degrades most because it’s the rarest class in training.</w:t>
      </w:r>
    </w:p>
    <w:bookmarkEnd w:id="20"/>
    <w:bookmarkStart w:id="22" w:name="annual-label-student-student_loyo.py"/>
    <w:p>
      <w:pPr>
        <w:pStyle w:val="Heading2"/>
      </w:pPr>
      <w:r>
        <w:t xml:space="preserve">5.3 Annual-label student (</w:t>
      </w:r>
      <w:r>
        <w:rPr>
          <w:rStyle w:val="VerbatimChar"/>
        </w:rPr>
        <w:t xml:space="preserve">student_loyo.py</w:t>
      </w:r>
      <w:r>
        <w:t xml:space="preserve">)</w:t>
      </w:r>
    </w:p>
    <w:p>
      <w:pPr>
        <w:pStyle w:val="FirstParagraph"/>
      </w:pPr>
      <w:r>
        <w:t xml:space="preserve">This was the experimental track for the annual Ouest dataset described in the brief. Results were structurally compromised: with S2 only available from 2016-2018, LOYO produced 3 folds with heavily imbalanced sizes (216 vs 30,000 rows). The tail-strategy initially produced an empty report — diagnosed and fixed mid-build (see below). Reported here for completeness: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Strategy</w:t>
            </w:r>
          </w:p>
        </w:tc>
        <w:tc>
          <w:tcPr/>
          <w:p>
            <w:pPr>
              <w:pStyle w:val="Compact"/>
            </w:pPr>
            <w:r>
              <w:t xml:space="preserve">gpi_mae</w:t>
            </w:r>
          </w:p>
        </w:tc>
        <w:tc>
          <w:tcPr/>
          <w:p>
            <w:pPr>
              <w:pStyle w:val="Compact"/>
            </w:pPr>
            <w:r>
              <w:t xml:space="preserve">decline_mae</w:t>
            </w:r>
          </w:p>
        </w:tc>
        <w:tc>
          <w:tcPr/>
          <w:p>
            <w:pPr>
              <w:pStyle w:val="Compact"/>
            </w:pPr>
            <w:r>
              <w:t xml:space="preserve">Notes</w:t>
            </w:r>
          </w:p>
        </w:tc>
      </w:tr>
      <w:tr>
        <w:tc>
          <w:tcPr/>
          <w:p>
            <w:pPr>
              <w:pStyle w:val="Compact"/>
            </w:pPr>
            <w:r>
              <w:t xml:space="preserve">LOYO (3 folds)</w:t>
            </w:r>
          </w:p>
        </w:tc>
        <w:tc>
          <w:tcPr/>
          <w:p>
            <w:pPr>
              <w:pStyle w:val="Compact"/>
            </w:pPr>
            <w:r>
              <w:t xml:space="preserve">0.025 ± 0.005</w:t>
            </w:r>
          </w:p>
        </w:tc>
        <w:tc>
          <w:tcPr/>
          <w:p>
            <w:pPr>
              <w:pStyle w:val="Compact"/>
            </w:pPr>
            <w:r>
              <w:t xml:space="preserve">0.667 ± 0.471</w:t>
            </w:r>
          </w:p>
        </w:tc>
        <w:tc>
          <w:tcPr/>
          <w:p>
            <w:pPr>
              <w:pStyle w:val="Compact"/>
            </w:pPr>
            <w:r>
              <w:t xml:space="preserve">Single training year per fold → very high variance</w:t>
            </w:r>
          </w:p>
        </w:tc>
      </w:tr>
      <w:tr>
        <w:tc>
          <w:tcPr/>
          <w:p>
            <w:pPr>
              <w:pStyle w:val="Compact"/>
            </w:pPr>
            <w:r>
              <w:t xml:space="preserve">Forward (2 folds)</w:t>
            </w:r>
          </w:p>
        </w:tc>
        <w:tc>
          <w:tcPr/>
          <w:p>
            <w:pPr>
              <w:pStyle w:val="Compact"/>
            </w:pPr>
            <w:r>
              <w:t xml:space="preserve">n/a</w:t>
            </w:r>
          </w:p>
        </w:tc>
        <w:tc>
          <w:tcPr/>
          <w:p>
            <w:pPr>
              <w:pStyle w:val="Compact"/>
            </w:pPr>
            <w:r>
              <w:t xml:space="preserve">0.85 ± 0.15</w:t>
            </w:r>
          </w:p>
        </w:tc>
        <w:tc>
          <w:tcPr/>
          <w:p>
            <w:pPr>
              <w:pStyle w:val="Compact"/>
            </w:pPr>
            <w:r>
              <w:t xml:space="preserve">Trains on 1-2 yrs each, basically guessing on test</w:t>
            </w:r>
          </w:p>
        </w:tc>
      </w:tr>
      <w:tr>
        <w:tc>
          <w:tcPr/>
          <w:p>
            <w:pPr>
              <w:pStyle w:val="Compact"/>
            </w:pPr>
            <w:r>
              <w:t xml:space="preserve">Tail (1 fold, post-fix)</w:t>
            </w:r>
          </w:p>
        </w:tc>
        <w:tc>
          <w:tcPr/>
          <w:p>
            <w:pPr>
              <w:pStyle w:val="Compact"/>
            </w:pPr>
            <w:r>
              <w:t xml:space="preserve">0.0315</w:t>
            </w:r>
          </w:p>
        </w:tc>
        <w:tc>
          <w:tcPr/>
          <w:p>
            <w:pPr>
              <w:pStyle w:val="Compact"/>
            </w:pPr>
            <w:r>
              <w:t xml:space="preserve">0.000</w:t>
            </w:r>
          </w:p>
        </w:tc>
        <w:tc>
          <w:tcPr/>
          <w:p>
            <w:pPr>
              <w:pStyle w:val="Compact"/>
            </w:pPr>
            <w:r>
              <w:t xml:space="preserve">Train=[2016], val=[2017], test=[2018]; degenerate — see § 5.3.1</w:t>
            </w:r>
          </w:p>
        </w:tc>
      </w:tr>
    </w:tbl>
    <w:bookmarkStart w:id="21" w:name="X84649e7f99ba233680d7a7c5eda495bb0d35d15"/>
    <w:p>
      <w:pPr>
        <w:pStyle w:val="Heading3"/>
      </w:pPr>
      <w:r>
        <w:t xml:space="preserve">5.3.1 The tail-split bug, fix, and why the post-fix numbers are still degenerate</w:t>
      </w:r>
    </w:p>
    <w:p>
      <w:pPr>
        <w:pStyle w:val="FirstParagraph"/>
      </w:pPr>
      <w:r>
        <w:rPr>
          <w:b/>
          <w:bCs/>
        </w:rPr>
        <w:t xml:space="preserve">Symptom.</w:t>
      </w:r>
      <w:r>
        <w:t xml:space="preserve"> </w:t>
      </w:r>
      <w:r>
        <w:t xml:space="preserve">First</w:t>
      </w:r>
      <w:r>
        <w:t xml:space="preserve"> </w:t>
      </w:r>
      <w:r>
        <w:rPr>
          <w:rStyle w:val="VerbatimChar"/>
        </w:rPr>
        <w:t xml:space="preserve">student_loyo.py --strategy tail</w:t>
      </w:r>
      <w:r>
        <w:t xml:space="preserve"> </w:t>
      </w:r>
      <w:r>
        <w:t xml:space="preserve">run produced a</w:t>
      </w:r>
      <w:r>
        <w:t xml:space="preserve"> </w:t>
      </w:r>
      <w:r>
        <w:rPr>
          <w:rStyle w:val="VerbatimChar"/>
        </w:rPr>
        <w:t xml:space="preserve">cv_report.json</w:t>
      </w:r>
      <w:r>
        <w:t xml:space="preserve"> </w:t>
      </w:r>
      <w:r>
        <w:t xml:space="preserve">with</w:t>
      </w:r>
      <w:r>
        <w:t xml:space="preserve"> </w:t>
      </w:r>
      <w:r>
        <w:rPr>
          <w:rStyle w:val="VerbatimChar"/>
        </w:rPr>
        <w:t xml:space="preserve">train_years: []</w:t>
      </w:r>
      <w:r>
        <w:t xml:space="preserve">, all three models</w:t>
      </w:r>
      <w:r>
        <w:t xml:space="preserve"> </w:t>
      </w:r>
      <w:r>
        <w:rPr>
          <w:rStyle w:val="VerbatimChar"/>
        </w:rPr>
        <w:t xml:space="preserve">{"skipped": true}</w:t>
      </w:r>
      <w:r>
        <w:t xml:space="preserve">, and an empty</w:t>
      </w:r>
      <w:r>
        <w:t xml:space="preserve"> </w:t>
      </w:r>
      <w:r>
        <w:rPr>
          <w:rStyle w:val="VerbatimChar"/>
        </w:rPr>
        <w:t xml:space="preserve">cv_summary.csv</w:t>
      </w:r>
      <w:r>
        <w:t xml:space="preserve">.</w:t>
      </w:r>
    </w:p>
    <w:p>
      <w:pPr>
        <w:pStyle w:val="BodyText"/>
      </w:pPr>
      <w:r>
        <w:rPr>
          <w:b/>
          <w:bCs/>
        </w:rPr>
        <w:t xml:space="preserve">Root cause.</w:t>
      </w:r>
      <w:r>
        <w:t xml:space="preserve"> </w:t>
      </w:r>
      <w:r>
        <w:rPr>
          <w:rStyle w:val="VerbatimChar"/>
        </w:rPr>
        <w:t xml:space="preserve">tail_split()</w:t>
      </w:r>
      <w:r>
        <w:t xml:space="preserve"> </w:t>
      </w:r>
      <w:r>
        <w:t xml:space="preserve">in</w:t>
      </w:r>
      <w:r>
        <w:t xml:space="preserve"> </w:t>
      </w:r>
      <w:r>
        <w:rPr>
          <w:rStyle w:val="VerbatimChar"/>
        </w:rPr>
        <w:t xml:space="preserve">pipeline/splits.py</w:t>
      </w:r>
      <w:r>
        <w:t xml:space="preserve"> </w:t>
      </w:r>
      <w:r>
        <w:t xml:space="preserve">was hard-coded to:</w:t>
      </w:r>
    </w:p>
    <w:p>
      <w:pPr>
        <w:pStyle w:val="SourceCode"/>
      </w:pPr>
      <w:r>
        <w:rPr>
          <w:rStyle w:val="VerbatimChar"/>
        </w:rPr>
        <w:t xml:space="preserve">train_years = (2013, 2014, 2015), val_years = (2016,), test_years = (2017, 2018)</w:t>
      </w:r>
    </w:p>
    <w:p>
      <w:pPr>
        <w:pStyle w:val="FirstParagraph"/>
      </w:pPr>
      <w:r>
        <w:t xml:space="preserve">reflecting the documented Forillon boom-bust-recovery-crash cycle. Sentinel-2A only became operational in 2016, so your real GEE export covers</w:t>
      </w:r>
      <w:r>
        <w:t xml:space="preserve"> </w:t>
      </w:r>
      <w:r>
        <w:rPr>
          <w:b/>
          <w:bCs/>
        </w:rPr>
        <w:t xml:space="preserve">only 2016, 2017, 2018</w:t>
      </w:r>
      <w:r>
        <w:t xml:space="preserve">. The intersection with the hard-coded</w:t>
      </w:r>
      <w:r>
        <w:t xml:space="preserve"> </w:t>
      </w:r>
      <w:r>
        <w:rPr>
          <w:rStyle w:val="VerbatimChar"/>
        </w:rPr>
        <w:t xml:space="preserve">train_years</w:t>
      </w:r>
      <w:r>
        <w:t xml:space="preserve"> </w:t>
      </w:r>
      <w:r>
        <w:t xml:space="preserve">is empty → 0 training rows →</w:t>
      </w:r>
      <w:r>
        <w:t xml:space="preserve"> </w:t>
      </w:r>
      <w:r>
        <w:rPr>
          <w:rStyle w:val="VerbatimChar"/>
        </w:rPr>
        <w:t xml:space="preserve">len(sub_tr) &lt; 10</w:t>
      </w:r>
      <w:r>
        <w:t xml:space="preserve"> </w:t>
      </w:r>
      <w:r>
        <w:t xml:space="preserve">guard fires → all three models silently skipped →</w:t>
      </w:r>
      <w:r>
        <w:t xml:space="preserve"> </w:t>
      </w:r>
      <w:r>
        <w:rPr>
          <w:rStyle w:val="VerbatimChar"/>
        </w:rPr>
        <w:t xml:space="preserve">cv_summary.csv</w:t>
      </w:r>
      <w:r>
        <w:t xml:space="preserve"> </w:t>
      </w:r>
      <w:r>
        <w:t xml:space="preserve">written with header but no data rows.</w:t>
      </w:r>
    </w:p>
    <w:p>
      <w:pPr>
        <w:pStyle w:val="BodyText"/>
      </w:pPr>
      <w:r>
        <w:rPr>
          <w:b/>
          <w:bCs/>
        </w:rPr>
        <w:t xml:space="preserve">Fix.</w:t>
      </w:r>
      <w:r>
        <w:t xml:space="preserve"> </w:t>
      </w:r>
      <w:r>
        <w:rPr>
          <w:rStyle w:val="VerbatimChar"/>
        </w:rPr>
        <w:t xml:space="preserve">tail_split()</w:t>
      </w:r>
      <w:r>
        <w:t xml:space="preserve"> </w:t>
      </w:r>
      <w:r>
        <w:t xml:space="preserve">now detects when its documented train years aren’t present in</w:t>
      </w:r>
      <w:r>
        <w:t xml:space="preserve"> </w:t>
      </w:r>
      <w:r>
        <w:rPr>
          <w:rStyle w:val="VerbatimChar"/>
        </w:rPr>
        <w:t xml:space="preserve">df['year']</w:t>
      </w:r>
      <w:r>
        <w:t xml:space="preserve"> </w:t>
      </w:r>
      <w:r>
        <w:t xml:space="preserve">and auto-falls back to splitting whatever IS available: earliest year(s) → train, middle → val, latest year(s) → test. It prints a console warning so the user knows the fallback fired. With your 2016-2018 features the warning reads:</w:t>
      </w:r>
    </w:p>
    <w:p>
      <w:pPr>
        <w:pStyle w:val="SourceCode"/>
      </w:pPr>
      <w:r>
        <w:rPr>
          <w:rStyle w:val="VerbatimChar"/>
        </w:rPr>
        <w:t xml:space="preserve">[tail_split] Documented 2013-18 split unavailable. Using fallback for years [2016, 2017, 2018]:</w:t>
      </w:r>
      <w:r>
        <w:br/>
      </w:r>
      <w:r>
        <w:rPr>
          <w:rStyle w:val="VerbatimChar"/>
        </w:rPr>
        <w:t xml:space="preserve">  train=[2016]  val=[2017]  test=[2018]</w:t>
      </w:r>
    </w:p>
    <w:p>
      <w:pPr>
        <w:pStyle w:val="FirstParagraph"/>
      </w:pPr>
      <w:r>
        <w:rPr>
          <w:b/>
          <w:bCs/>
        </w:rPr>
        <w:t xml:space="preserve">Why the post-fix numbers are still degenerate.</w:t>
      </w:r>
      <w:r>
        <w:t xml:space="preserve"> </w:t>
      </w:r>
      <w:r>
        <w:t xml:space="preserve">Even with a non-empty training set, annual labels collapse the problem. With one row per year:</w:t>
      </w:r>
    </w:p>
    <w:p>
      <w:pPr>
        <w:pStyle w:val="SourceCode"/>
      </w:pPr>
      <w:r>
        <w:rPr>
          <w:rStyle w:val="VerbatimChar"/>
        </w:rPr>
        <w:t xml:space="preserve">year:      2016        2017      2018</w:t>
      </w:r>
      <w:r>
        <w:br/>
      </w:r>
      <w:r>
        <w:rPr>
          <w:rStyle w:val="VerbatimChar"/>
        </w:rPr>
        <w:t xml:space="preserve">fold:      train       val       test</w:t>
      </w:r>
      <w:r>
        <w:br/>
      </w:r>
      <w:r>
        <w:rPr>
          <w:rStyle w:val="VerbatimChar"/>
        </w:rPr>
        <w:t xml:space="preserve">decline_flag:   0          1         0</w:t>
      </w:r>
      <w:r>
        <w:br/>
      </w:r>
      <w:r>
        <w:rPr>
          <w:rStyle w:val="VerbatimChar"/>
        </w:rPr>
        <w:t xml:space="preserve">GPI_annual:   0.466      0.487     0.497</w:t>
      </w:r>
      <w:r>
        <w:br/>
      </w:r>
      <w:r>
        <w:rPr>
          <w:rStyle w:val="VerbatimChar"/>
        </w:rPr>
        <w:t xml:space="preserve">stress:       cold       cold      cold</w:t>
      </w:r>
    </w:p>
    <w:p>
      <w:pPr>
        <w:pStyle w:val="FirstParagraph"/>
      </w:pPr>
      <w:r>
        <w:t xml:space="preserve">The student trained on</w:t>
      </w:r>
      <w:r>
        <w:t xml:space="preserve"> </w:t>
      </w:r>
      <w:r>
        <w:rPr>
          <w:rStyle w:val="VerbatimChar"/>
        </w:rPr>
        <w:t xml:space="preserve">decline_flag = 0</w:t>
      </w:r>
      <w:r>
        <w:t xml:space="preserve"> </w:t>
      </w:r>
      <w:r>
        <w:t xml:space="preserve">for all 216 train pixels is asked to predict</w:t>
      </w:r>
      <w:r>
        <w:t xml:space="preserve"> </w:t>
      </w:r>
      <w:r>
        <w:rPr>
          <w:rStyle w:val="VerbatimChar"/>
        </w:rPr>
        <w:t xml:space="preserve">decline_flag = 0</w:t>
      </w:r>
      <w:r>
        <w:t xml:space="preserve"> </w:t>
      </w:r>
      <w:r>
        <w:t xml:space="preserve">for all 30,074 test pixels — a degenerate</w:t>
      </w:r>
      <w:r>
        <w:t xml:space="preserve"> </w:t>
      </w:r>
      <w:r>
        <w:t xml:space="preserve">“always output 0”</w:t>
      </w:r>
      <w:r>
        <w:t xml:space="preserve"> </w:t>
      </w:r>
      <w:r>
        <w:t xml:space="preserve">win.</w:t>
      </w:r>
      <w:r>
        <w:t xml:space="preserve"> </w:t>
      </w:r>
      <w:r>
        <w:rPr>
          <w:rStyle w:val="VerbatimChar"/>
          <w:b/>
          <w:bCs/>
        </w:rPr>
        <w:t xml:space="preserve">decline_mae = 0.0</w:t>
      </w:r>
      <w:r>
        <w:rPr>
          <w:b/>
          <w:bCs/>
        </w:rPr>
        <w:t xml:space="preserve"> </w:t>
      </w:r>
      <w:r>
        <w:rPr>
          <w:b/>
          <w:bCs/>
        </w:rPr>
        <w:t xml:space="preserve">is not real predictive skill</w:t>
      </w:r>
      <w:r>
        <w:t xml:space="preserve">, it’s the consequence of zero label variance in both train and test. Same logic applies to GPI (near-constant annual values 0.47-0.50) and stress (only</w:t>
      </w:r>
      <w:r>
        <w:t xml:space="preserve"> </w:t>
      </w:r>
      <w:r>
        <w:rPr>
          <w:rStyle w:val="VerbatimChar"/>
        </w:rPr>
        <w:t xml:space="preserve">cold</w:t>
      </w:r>
      <w:r>
        <w:t xml:space="preserve"> </w:t>
      </w:r>
      <w:r>
        <w:t xml:space="preserve">ever appears).</w:t>
      </w:r>
    </w:p>
    <w:p>
      <w:pPr>
        <w:pStyle w:val="BodyText"/>
      </w:pPr>
      <w:r>
        <w:rPr>
          <w:b/>
          <w:bCs/>
        </w:rPr>
        <w:t xml:space="preserve">Verdict.</w:t>
      </w:r>
      <w:r>
        <w:t xml:space="preserve"> </w:t>
      </w:r>
      <w:r>
        <w:t xml:space="preserve">The fix prevents the silent-failure failure mode (empty report). It doesn’t fix the structural issue: 6 annual labels × 3 available years is too small for the LOYO/forward/tail framework to do real work. Use the window-level student (§ 5.2) for headline metrics. The annual student becomes useful when one of these is true: S2 archives extend backward (Landsat-8 fusion for 2013-2015), or quadrat-level coordinates let us assign per-pixel annual cover labels (turning 6 labels into hundreds-of-thousands).</w:t>
      </w:r>
    </w:p>
    <w:bookmarkEnd w:id="21"/>
    <w:bookmarkEnd w:id="22"/>
    <w:bookmarkStart w:id="23" w:name="pan-atlantic-inference-on-antigonish"/>
    <w:p>
      <w:pPr>
        <w:pStyle w:val="Heading2"/>
      </w:pPr>
      <w:r>
        <w:t xml:space="preserve">5.4 Pan-Atlantic inference on Antigonish</w:t>
      </w:r>
    </w:p>
    <w:p>
      <w:pPr>
        <w:pStyle w:val="FirstParagraph"/>
      </w:pPr>
      <w:r>
        <w:t xml:space="preserve">Antigonish bed-table (</w:t>
      </w:r>
      <w:r>
        <w:rPr>
          <w:rStyle w:val="VerbatimChar"/>
        </w:rPr>
        <w:t xml:space="preserve">antigonish_beds.csv</w:t>
      </w:r>
      <w:r>
        <w:t xml:space="preserve">, 35 rows covering 2023-04 → 2024-12, 14-day stride):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Risk tier</w:t>
            </w:r>
          </w:p>
        </w:tc>
        <w:tc>
          <w:tcPr/>
          <w:p>
            <w:pPr>
              <w:pStyle w:val="Compact"/>
            </w:pPr>
            <w:r>
              <w:t xml:space="preserve">Count</w:t>
            </w:r>
          </w:p>
        </w:tc>
        <w:tc>
          <w:tcPr/>
          <w:p>
            <w:pPr>
              <w:pStyle w:val="Compact"/>
            </w:pPr>
            <w:r>
              <w:t xml:space="preserve">Confidence tier</w:t>
            </w:r>
          </w:p>
        </w:tc>
        <w:tc>
          <w:tcPr/>
          <w:p>
            <w:pPr>
              <w:pStyle w:val="Compact"/>
            </w:pPr>
            <w:r>
              <w:t xml:space="preserve">Count</w:t>
            </w:r>
          </w:p>
        </w:tc>
      </w:tr>
      <w:tr>
        <w:tc>
          <w:tcPr/>
          <w:p>
            <w:pPr>
              <w:pStyle w:val="Compact"/>
            </w:pPr>
            <w:r>
              <w:t xml:space="preserve">Low</w:t>
            </w:r>
          </w:p>
        </w:tc>
        <w:tc>
          <w:tcPr/>
          <w:p>
            <w:pPr>
              <w:pStyle w:val="Compact"/>
            </w:pPr>
            <w:r>
              <w:t xml:space="preserve">26</w:t>
            </w:r>
          </w:p>
        </w:tc>
        <w:tc>
          <w:tcPr/>
          <w:p>
            <w:pPr>
              <w:pStyle w:val="Compact"/>
            </w:pPr>
            <w:r>
              <w:t xml:space="preserve">High</w:t>
            </w:r>
          </w:p>
        </w:tc>
        <w:tc>
          <w:tcPr/>
          <w:p>
            <w:pPr>
              <w:pStyle w:val="Compact"/>
            </w:pPr>
            <w:r>
              <w:t xml:space="preserve">0</w:t>
            </w:r>
          </w:p>
        </w:tc>
      </w:tr>
      <w:tr>
        <w:tc>
          <w:tcPr/>
          <w:p>
            <w:pPr>
              <w:pStyle w:val="Compact"/>
            </w:pPr>
            <w:r>
              <w:t xml:space="preserve">Medium</w:t>
            </w:r>
          </w:p>
        </w:tc>
        <w:tc>
          <w:tcPr/>
          <w:p>
            <w:pPr>
              <w:pStyle w:val="Compact"/>
            </w:pPr>
            <w:r>
              <w:t xml:space="preserve">9</w:t>
            </w:r>
          </w:p>
        </w:tc>
        <w:tc>
          <w:tcPr/>
          <w:p>
            <w:pPr>
              <w:pStyle w:val="Compact"/>
            </w:pPr>
            <w:r>
              <w:t xml:space="preserve">Medium</w:t>
            </w:r>
          </w:p>
        </w:tc>
        <w:tc>
          <w:tcPr/>
          <w:p>
            <w:pPr>
              <w:pStyle w:val="Compact"/>
            </w:pPr>
            <w:r>
              <w:t xml:space="preserve">35</w:t>
            </w:r>
          </w:p>
        </w:tc>
      </w:tr>
      <w:tr>
        <w:tc>
          <w:tcPr/>
          <w:p>
            <w:pPr>
              <w:pStyle w:val="Compact"/>
            </w:pPr>
            <w:r>
              <w:t xml:space="preserve">High</w:t>
            </w:r>
          </w:p>
        </w:tc>
        <w:tc>
          <w:tcPr/>
          <w:p>
            <w:pPr>
              <w:pStyle w:val="Compact"/>
            </w:pPr>
            <w:r>
              <w:t xml:space="preserve">0</w:t>
            </w:r>
          </w:p>
        </w:tc>
        <w:tc>
          <w:tcPr/>
          <w:p>
            <w:pPr>
              <w:pStyle w:val="Compact"/>
            </w:pPr>
            <w:r>
              <w:t xml:space="preserve">Low</w:t>
            </w:r>
          </w:p>
        </w:tc>
        <w:tc>
          <w:tcPr/>
          <w:p>
            <w:pPr>
              <w:pStyle w:val="Compact"/>
            </w:pPr>
            <w:r>
              <w:t xml:space="preserve">0</w:t>
            </w:r>
          </w:p>
        </w:tc>
      </w:tr>
    </w:tbl>
    <w:p>
      <w:pPr>
        <w:pStyle w:val="BodyText"/>
      </w:pPr>
      <w:r>
        <w:t xml:space="preserve">Pixel-level:</w:t>
      </w:r>
    </w:p>
    <w:p>
      <w:pPr>
        <w:pStyle w:val="Compact"/>
        <w:numPr>
          <w:ilvl w:val="0"/>
          <w:numId w:val="1014"/>
        </w:numPr>
      </w:pPr>
      <w:r>
        <w:t xml:space="preserve">75 % Low risk, 24 % Medium, 0.7 % High</w:t>
      </w:r>
    </w:p>
    <w:p>
      <w:pPr>
        <w:pStyle w:val="Compact"/>
        <w:numPr>
          <w:ilvl w:val="0"/>
          <w:numId w:val="1014"/>
        </w:numPr>
      </w:pPr>
      <w:r>
        <w:t xml:space="preserve">Dominant stress mix: 44 % senescence, 36 % cold, 20 % light</w:t>
      </w:r>
    </w:p>
    <w:p>
      <w:pPr>
        <w:pStyle w:val="Compact"/>
        <w:numPr>
          <w:ilvl w:val="0"/>
          <w:numId w:val="1014"/>
        </w:numPr>
      </w:pPr>
      <w:r>
        <w:rPr>
          <w:b/>
          <w:bCs/>
        </w:rPr>
        <w:t xml:space="preserve">100 % of pixels flagged out-of-distribution</w:t>
      </w:r>
      <w:r>
        <w:t xml:space="preserve"> </w:t>
      </w:r>
      <w:r>
        <w:t xml:space="preserve">(Mahalanobis p &lt; 0.05)</w:t>
      </w:r>
    </w:p>
    <w:p>
      <w:pPr>
        <w:pStyle w:val="FirstParagraph"/>
      </w:pPr>
      <w:r>
        <w:t xml:space="preserve">The seasonal trajectory is ecologically coherent: bed decline_prob is elevated in spring 2023 (cold stress regime), drops as GPI peaks in summer (stress shifts to light), then stays low through senescence onset in autumn. The model recovers the right</w:t>
      </w:r>
      <w:r>
        <w:t xml:space="preserve"> </w:t>
      </w:r>
      <w:r>
        <w:rPr>
          <w:i/>
          <w:iCs/>
        </w:rPr>
        <w:t xml:space="preserve">shape</w:t>
      </w:r>
      <w:r>
        <w:t xml:space="preserve"> </w:t>
      </w:r>
      <w:r>
        <w:t xml:space="preserve">of the annual cycle even though it’s never seen this latitude.</w:t>
      </w:r>
    </w:p>
    <w:bookmarkEnd w:id="23"/>
    <w:bookmarkEnd w:id="24"/>
    <w:bookmarkStart w:id="36" w:name="visualisation-by-visualisation-reading"/>
    <w:p>
      <w:pPr>
        <w:pStyle w:val="Heading1"/>
      </w:pPr>
      <w:r>
        <w:t xml:space="preserve">6. Visualisation-by-visualisation reading</w:t>
      </w:r>
    </w:p>
    <w:p>
      <w:pPr>
        <w:pStyle w:val="FirstParagraph"/>
      </w:pPr>
      <w:r>
        <w:t xml:space="preserve">All 27 figures live in</w:t>
      </w:r>
      <w:r>
        <w:t xml:space="preserve"> </w:t>
      </w:r>
      <w:r>
        <w:rPr>
          <w:rStyle w:val="VerbatimChar"/>
        </w:rPr>
        <w:t xml:space="preserve">data/figures/</w:t>
      </w:r>
      <w:r>
        <w:t xml:space="preserve">. Each tells a specific diagnostic story.</w:t>
      </w:r>
    </w:p>
    <w:bookmarkStart w:id="25" w:name="teacher-diagnostics-01-04"/>
    <w:p>
      <w:pPr>
        <w:pStyle w:val="Heading2"/>
      </w:pPr>
      <w:r>
        <w:t xml:space="preserve">Teacher diagnostics (01-04)</w:t>
      </w:r>
    </w:p>
    <w:p>
      <w:pPr>
        <w:pStyle w:val="Compact"/>
        <w:numPr>
          <w:ilvl w:val="0"/>
          <w:numId w:val="1015"/>
        </w:numPr>
      </w:pPr>
      <w:r>
        <w:rPr>
          <w:b/>
          <w:bCs/>
        </w:rPr>
        <w:t xml:space="preserve">01 GPI timeseries.</w:t>
      </w:r>
      <w:r>
        <w:t xml:space="preserve"> </w:t>
      </w:r>
      <w:r>
        <w:t xml:space="preserve">Annual sinusoid 0.10 → 0.84 → 0.10. All three sites overlap (shared env data). Each summer’s peak grows slightly over time, suggesting climate warming pushing GPI maxima up.</w:t>
      </w:r>
    </w:p>
    <w:p>
      <w:pPr>
        <w:pStyle w:val="Compact"/>
        <w:numPr>
          <w:ilvl w:val="0"/>
          <w:numId w:val="1015"/>
        </w:numPr>
      </w:pPr>
      <w:r>
        <w:rPr>
          <w:b/>
          <w:bCs/>
        </w:rPr>
        <w:t xml:space="preserve">02 Decline-prob timeseries.</w:t>
      </w:r>
      <w:r>
        <w:t xml:space="preserve"> </w:t>
      </w:r>
      <w:r>
        <w:t xml:space="preserve">Strongly bimodal flips between 0 and 1. Bursts of</w:t>
      </w:r>
      <w:r>
        <w:t xml:space="preserve"> </w:t>
      </w:r>
      <w:r>
        <w:t xml:space="preserve">“alert”</w:t>
      </w:r>
      <w:r>
        <w:t xml:space="preserve"> </w:t>
      </w:r>
      <w:r>
        <w:t xml:space="preserve">(prob &gt; 0.5) cluster around shoulder seasons (Apr-May, Sep-Oct) when seasonal transitions create rapid cover changes the teacher’s forecast can’t damp.</w:t>
      </w:r>
    </w:p>
    <w:p>
      <w:pPr>
        <w:pStyle w:val="Compact"/>
        <w:numPr>
          <w:ilvl w:val="0"/>
          <w:numId w:val="1015"/>
        </w:numPr>
      </w:pPr>
      <w:r>
        <w:rPr>
          <w:b/>
          <w:bCs/>
        </w:rPr>
        <w:t xml:space="preserve">03 Stress stacked area.</w:t>
      </w:r>
      <w:r>
        <w:t xml:space="preserve"> </w:t>
      </w:r>
      <w:r>
        <w:t xml:space="preserve">Clean seasonal rhythm: cold (Dec-Mar), light (variable spring/fall transitions), senescence (Sep-Nov). No heat (correct for the latitude).</w:t>
      </w:r>
    </w:p>
    <w:p>
      <w:pPr>
        <w:pStyle w:val="Compact"/>
        <w:numPr>
          <w:ilvl w:val="0"/>
          <w:numId w:val="1015"/>
        </w:numPr>
      </w:pPr>
      <w:r>
        <w:rPr>
          <w:b/>
          <w:bCs/>
        </w:rPr>
        <w:t xml:space="preserve">04 Distributions.</w:t>
      </w:r>
      <w:r>
        <w:t xml:space="preserve"> </w:t>
      </w:r>
      <w:r>
        <w:t xml:space="preserve">GPI is roughly bimodal per site (winter trough + summer peak). Decline-prob is heavily zero-inflated. Stress count bar shows ~64 % cold dominance.</w:t>
      </w:r>
    </w:p>
    <w:bookmarkEnd w:id="25"/>
    <w:bookmarkStart w:id="26" w:name="feature-diagnostics-05-07"/>
    <w:p>
      <w:pPr>
        <w:pStyle w:val="Heading2"/>
      </w:pPr>
      <w:r>
        <w:t xml:space="preserve">Feature diagnostics (05-07)</w:t>
      </w:r>
    </w:p>
    <w:p>
      <w:pPr>
        <w:pStyle w:val="Compact"/>
        <w:numPr>
          <w:ilvl w:val="0"/>
          <w:numId w:val="1016"/>
        </w:numPr>
      </w:pPr>
      <w:r>
        <w:rPr>
          <w:b/>
          <w:bCs/>
        </w:rPr>
        <w:t xml:space="preserve">05 Correlation heatmap (top 30 features by SHAP).</w:t>
      </w:r>
      <w:r>
        <w:t xml:space="preserve"> </w:t>
      </w:r>
      <w:r>
        <w:t xml:space="preserve">B3_mean, NDAVI_mean, B6_mean form a tight |r| &gt; 0.85 cluster (all measure greenness). sin_doy/cos_doy are orthogonal to each other and uncorrelated with most spectral features — they carry independent seasonal information. This validates the |r| &lt; 0.95 pruning that removed 67 of 135 redundant features.</w:t>
      </w:r>
    </w:p>
    <w:p>
      <w:pPr>
        <w:pStyle w:val="Compact"/>
        <w:numPr>
          <w:ilvl w:val="0"/>
          <w:numId w:val="1016"/>
        </w:numPr>
      </w:pPr>
      <w:r>
        <w:rPr>
          <w:b/>
          <w:bCs/>
        </w:rPr>
        <w:t xml:space="preserve">06 Spectral by stress.</w:t>
      </w:r>
      <w:r>
        <w:t xml:space="preserve"> </w:t>
      </w:r>
      <w:r>
        <w:t xml:space="preserve">B3_mean drops 30 % between cold-stress and light-stress windows (less visible eelgrass under turbid water). Turbidity proxy is highest in light-stress windows. Each band’s distribution shifts systematically with stress class, which is</w:t>
      </w:r>
      <w:r>
        <w:t xml:space="preserve"> </w:t>
      </w:r>
      <w:r>
        <w:rPr>
          <w:i/>
          <w:iCs/>
        </w:rPr>
        <w:t xml:space="preserve">what makes the stress classifier learnable</w:t>
      </w:r>
      <w:r>
        <w:t xml:space="preserve">.</w:t>
      </w:r>
    </w:p>
    <w:p>
      <w:pPr>
        <w:pStyle w:val="Compact"/>
        <w:numPr>
          <w:ilvl w:val="0"/>
          <w:numId w:val="1016"/>
        </w:numPr>
      </w:pPr>
      <w:r>
        <w:rPr>
          <w:b/>
          <w:bCs/>
        </w:rPr>
        <w:t xml:space="preserve">07 Pixel map.</w:t>
      </w:r>
      <w:r>
        <w:t xml:space="preserve"> </w:t>
      </w:r>
      <w:r>
        <w:t xml:space="preserve">Three spatial clusters at the expected lat/lon for Ouest (NW), Marais (NE), Sud (SE) — confirms the GEE polygons captured the intended sub-sites.</w:t>
      </w:r>
    </w:p>
    <w:bookmarkEnd w:id="26"/>
    <w:bookmarkStart w:id="27" w:name="student-interpretability-08-10-21-22"/>
    <w:p>
      <w:pPr>
        <w:pStyle w:val="Heading2"/>
      </w:pPr>
      <w:r>
        <w:t xml:space="preserve">Student interpretability (08-10, 21-22)</w:t>
      </w:r>
    </w:p>
    <w:p>
      <w:pPr>
        <w:pStyle w:val="Compact"/>
        <w:numPr>
          <w:ilvl w:val="0"/>
          <w:numId w:val="1017"/>
        </w:numPr>
      </w:pPr>
      <w:r>
        <w:rPr>
          <w:b/>
          <w:bCs/>
        </w:rPr>
        <w:t xml:space="preserve">08 SHAP GPI top drivers</w:t>
      </w:r>
      <w:r>
        <w:t xml:space="preserve"> </w:t>
      </w:r>
      <w:r>
        <w:t xml:space="preserve">(real data):</w:t>
      </w:r>
      <w:r>
        <w:t xml:space="preserve"> </w:t>
      </w:r>
      <w:r>
        <w:rPr>
          <w:b/>
          <w:bCs/>
        </w:rPr>
        <w:t xml:space="preserve">sin_doy (0.079)</w:t>
      </w:r>
      <w:r>
        <w:t xml:space="preserve"> </w:t>
      </w:r>
      <w:r>
        <w:t xml:space="preserve">and</w:t>
      </w:r>
      <w:r>
        <w:t xml:space="preserve"> </w:t>
      </w:r>
      <w:r>
        <w:rPr>
          <w:b/>
          <w:bCs/>
        </w:rPr>
        <w:t xml:space="preserve">cos_doy (0.041)</w:t>
      </w:r>
      <w:r>
        <w:t xml:space="preserve"> </w:t>
      </w:r>
      <w:r>
        <w:t xml:space="preserve">dominate. Next come spectral features at one order of magnitude smaller: B11_trend, B2_max, B6_std.</w:t>
      </w:r>
      <w:r>
        <w:t xml:space="preserve"> </w:t>
      </w:r>
      <w:r>
        <w:rPr>
          <w:i/>
          <w:iCs/>
        </w:rPr>
        <w:t xml:space="preserve">On real data the seasonal cycle is the strongest predictor because S2 spectra change drastically with sun angle/illumination across the year, regardless of vegetation state.</w:t>
      </w:r>
      <w:r>
        <w:t xml:space="preserve"> </w:t>
      </w:r>
      <w:r>
        <w:t xml:space="preserve">This is honest and expected; on synthetic data B3_mean dominated because we hard-coded that relationship.</w:t>
      </w:r>
    </w:p>
    <w:p>
      <w:pPr>
        <w:pStyle w:val="Compact"/>
        <w:numPr>
          <w:ilvl w:val="0"/>
          <w:numId w:val="1017"/>
        </w:numPr>
      </w:pPr>
      <w:r>
        <w:rPr>
          <w:b/>
          <w:bCs/>
        </w:rPr>
        <w:t xml:space="preserve">09 SHAP decline top drivers</w:t>
      </w:r>
      <w:r>
        <w:t xml:space="preserve">: sin_doy still leads (0.024), then B5_min (red-edge minimum), B2_std (blue instability), B2_max, cos_doy, B11_max. The mix of seasonal encoding + spectral instability/extremes is consistent with</w:t>
      </w:r>
      <w:r>
        <w:t xml:space="preserve"> </w:t>
      </w:r>
      <w:r>
        <w:t xml:space="preserve">“decline = a stressed-bed signal masked by seasonal background”</w:t>
      </w:r>
      <w:r>
        <w:t xml:space="preserve">.</w:t>
      </w:r>
    </w:p>
    <w:p>
      <w:pPr>
        <w:pStyle w:val="Compact"/>
        <w:numPr>
          <w:ilvl w:val="0"/>
          <w:numId w:val="1017"/>
        </w:numPr>
      </w:pPr>
      <w:r>
        <w:rPr>
          <w:b/>
          <w:bCs/>
        </w:rPr>
        <w:t xml:space="preserve">10 XGBoost gain importance</w:t>
      </w:r>
      <w:r>
        <w:t xml:space="preserve"> </w:t>
      </w:r>
      <w:r>
        <w:t xml:space="preserve">(3-panel). Per-model importance rankings agree with SHAP. Demonstrates the three models use different feature subsets — they’re not redundant copies of each other.</w:t>
      </w:r>
    </w:p>
    <w:p>
      <w:pPr>
        <w:pStyle w:val="Compact"/>
        <w:numPr>
          <w:ilvl w:val="0"/>
          <w:numId w:val="1017"/>
        </w:numPr>
      </w:pPr>
      <w:r>
        <w:rPr>
          <w:b/>
          <w:bCs/>
        </w:rPr>
        <w:t xml:space="preserve">21 Signed SHAP</w:t>
      </w:r>
      <w:r>
        <w:rPr>
          <w:b/>
          <w:bCs/>
        </w:rPr>
        <w:t xml:space="preserve"> </w:t>
      </w:r>
      <w:r>
        <w:rPr>
          <w:b/>
          <w:bCs/>
        </w:rPr>
        <w:t xml:space="preserve">“beeswarm”</w:t>
      </w:r>
      <w:r>
        <w:rPr>
          <w:b/>
          <w:bCs/>
        </w:rPr>
        <w:t xml:space="preserve">.</w:t>
      </w:r>
      <w:r>
        <w:t xml:space="preserve"> </w:t>
      </w:r>
      <w:r>
        <w:t xml:space="preserve">Red points (high feature value) for sin_doy push GPI predictions</w:t>
      </w:r>
      <w:r>
        <w:t xml:space="preserve"> </w:t>
      </w:r>
      <w:r>
        <w:rPr>
          <w:i/>
          <w:iCs/>
        </w:rPr>
        <w:t xml:space="preserve">up</w:t>
      </w:r>
      <w:r>
        <w:t xml:space="preserve"> </w:t>
      </w:r>
      <w:r>
        <w:t xml:space="preserve">(spring/summer increases GPI). Red for B2_max (high blue reflectance) push</w:t>
      </w:r>
      <w:r>
        <w:t xml:space="preserve"> </w:t>
      </w:r>
      <w:r>
        <w:rPr>
          <w:i/>
          <w:iCs/>
        </w:rPr>
        <w:t xml:space="preserve">down</w:t>
      </w:r>
      <w:r>
        <w:t xml:space="preserve"> </w:t>
      </w:r>
      <w:r>
        <w:t xml:space="preserve">(exposed sediment = bare bed). Each top feature shows a coherent monotonic direction.</w:t>
      </w:r>
    </w:p>
    <w:p>
      <w:pPr>
        <w:pStyle w:val="Compact"/>
        <w:numPr>
          <w:ilvl w:val="0"/>
          <w:numId w:val="1017"/>
        </w:numPr>
      </w:pPr>
      <w:r>
        <w:rPr>
          <w:b/>
          <w:bCs/>
        </w:rPr>
        <w:t xml:space="preserve">22 Partial dependence.</w:t>
      </w:r>
      <w:r>
        <w:t xml:space="preserve"> </w:t>
      </w:r>
      <w:r>
        <w:t xml:space="preserve">PD for B3_mean is monotonically increasing (more green → higher GPI). PD for B2_mean is monotonically decreasing (more blue → lower GPI). Both match ecological intuition.</w:t>
      </w:r>
    </w:p>
    <w:bookmarkEnd w:id="27"/>
    <w:bookmarkStart w:id="28" w:name="calibration-discrimination-11-14-20"/>
    <w:p>
      <w:pPr>
        <w:pStyle w:val="Heading2"/>
      </w:pPr>
      <w:r>
        <w:t xml:space="preserve">Calibration / discrimination (11-14, 20)</w:t>
      </w:r>
    </w:p>
    <w:p>
      <w:pPr>
        <w:pStyle w:val="Compact"/>
        <w:numPr>
          <w:ilvl w:val="0"/>
          <w:numId w:val="1018"/>
        </w:numPr>
      </w:pPr>
      <w:r>
        <w:rPr>
          <w:b/>
          <w:bCs/>
        </w:rPr>
        <w:t xml:space="preserve">11 GPI calibration scatter.</w:t>
      </w:r>
      <w:r>
        <w:t xml:space="preserve"> </w:t>
      </w:r>
      <w:r>
        <w:t xml:space="preserve">Spatial val: tight diagonal cluster, R² 0.995. Temporal test: systematic over-prediction at low GPI values (model trained on 2016-17 winter doesn’t recognise 2018 winter conditions). The pattern is</w:t>
      </w:r>
      <w:r>
        <w:t xml:space="preserve"> </w:t>
      </w:r>
      <w:r>
        <w:rPr>
          <w:i/>
          <w:iCs/>
        </w:rPr>
        <w:t xml:space="preserve">structured</w:t>
      </w:r>
      <w:r>
        <w:t xml:space="preserve">, not random — so a per-month bias correction would help.</w:t>
      </w:r>
    </w:p>
    <w:p>
      <w:pPr>
        <w:pStyle w:val="Compact"/>
        <w:numPr>
          <w:ilvl w:val="0"/>
          <w:numId w:val="1018"/>
        </w:numPr>
      </w:pPr>
      <w:r>
        <w:rPr>
          <w:b/>
          <w:bCs/>
        </w:rPr>
        <w:t xml:space="preserve">12 Decline calibration scatter.</w:t>
      </w:r>
      <w:r>
        <w:t xml:space="preserve"> </w:t>
      </w:r>
      <w:r>
        <w:t xml:space="preserve">Spatial val: tight diagonal. Temporal test: cloud spreads across full square, with notable density at predicted ≈ 0.3 / actual ≈ 0.7 → model under-predicts decline risk on the test set.</w:t>
      </w:r>
    </w:p>
    <w:p>
      <w:pPr>
        <w:pStyle w:val="Compact"/>
        <w:numPr>
          <w:ilvl w:val="0"/>
          <w:numId w:val="1018"/>
        </w:numPr>
      </w:pPr>
      <w:r>
        <w:rPr>
          <w:b/>
          <w:bCs/>
        </w:rPr>
        <w:t xml:space="preserve">13 Confusion matrices</w:t>
      </w:r>
      <w:r>
        <w:t xml:space="preserve"> </w:t>
      </w:r>
      <w:r>
        <w:t xml:space="preserve">(3 classes × 2 splits). Spatial val: near-perfect diagonal. Temporal test: cold-class confusion is acceptable (88 % accuracy), light-class is the bottleneck — frequently misclassified as cold (the two have overlapping spectral signatures in winter S2 imagery).</w:t>
      </w:r>
    </w:p>
    <w:p>
      <w:pPr>
        <w:pStyle w:val="Compact"/>
        <w:numPr>
          <w:ilvl w:val="0"/>
          <w:numId w:val="1018"/>
        </w:numPr>
      </w:pPr>
      <w:r>
        <w:rPr>
          <w:b/>
          <w:bCs/>
        </w:rPr>
        <w:t xml:space="preserve">14 ROC curves.</w:t>
      </w:r>
      <w:r>
        <w:t xml:space="preserve"> </w:t>
      </w:r>
      <w:r>
        <w:t xml:space="preserve">Spatial val: textbook right-angle corner (AUC 0.998). Temporal test: a much more realistic ROC with AUC 0.662 — meaningfully above the diagonal but with substantial room.</w:t>
      </w:r>
    </w:p>
    <w:p>
      <w:pPr>
        <w:pStyle w:val="Compact"/>
        <w:numPr>
          <w:ilvl w:val="0"/>
          <w:numId w:val="1018"/>
        </w:numPr>
      </w:pPr>
      <w:r>
        <w:rPr>
          <w:b/>
          <w:bCs/>
        </w:rPr>
        <w:t xml:space="preserve">20 Reliability diagram.</w:t>
      </w:r>
      <w:r>
        <w:t xml:space="preserve"> </w:t>
      </w:r>
      <w:r>
        <w:t xml:space="preserve">Both splits are</w:t>
      </w:r>
      <w:r>
        <w:t xml:space="preserve"> </w:t>
      </w:r>
      <w:r>
        <w:rPr>
          <w:i/>
          <w:iCs/>
        </w:rPr>
        <w:t xml:space="preserve">poorly calibrated</w:t>
      </w:r>
      <w:r>
        <w:t xml:space="preserve">: predicted probabilities don’t match observed frequencies. Val_spatial over-confidence at low predictions; test_temporal shows the classic sigmoidal recalibration target.</w:t>
      </w:r>
      <w:r>
        <w:t xml:space="preserve"> </w:t>
      </w:r>
      <w:r>
        <w:rPr>
          <w:b/>
          <w:bCs/>
        </w:rPr>
        <w:t xml:space="preserve">Action item</w:t>
      </w:r>
      <w:r>
        <w:t xml:space="preserve">: run</w:t>
      </w:r>
      <w:r>
        <w:t xml:space="preserve"> </w:t>
      </w:r>
      <w:r>
        <w:rPr>
          <w:rStyle w:val="VerbatimChar"/>
        </w:rPr>
        <w:t xml:space="preserve">pipeline.calibration</w:t>
      </w:r>
      <w:r>
        <w:t xml:space="preserve"> </w:t>
      </w:r>
      <w:r>
        <w:t xml:space="preserve">with ground-truth observations from a non-Forillon region.</w:t>
      </w:r>
    </w:p>
    <w:bookmarkEnd w:id="28"/>
    <w:bookmarkStart w:id="29" w:name="overall-performance-15"/>
    <w:p>
      <w:pPr>
        <w:pStyle w:val="Heading2"/>
      </w:pPr>
      <w:r>
        <w:t xml:space="preserve">Overall performance (15)</w:t>
      </w:r>
    </w:p>
    <w:p>
      <w:pPr>
        <w:pStyle w:val="Compact"/>
        <w:numPr>
          <w:ilvl w:val="0"/>
          <w:numId w:val="1019"/>
        </w:numPr>
      </w:pPr>
      <w:r>
        <w:rPr>
          <w:b/>
          <w:bCs/>
        </w:rPr>
        <w:t xml:space="preserve">15 Metrics bar chart.</w:t>
      </w:r>
      <w:r>
        <w:t xml:space="preserve"> </w:t>
      </w:r>
      <w:r>
        <w:t xml:space="preserve">Side-by-side val vs test for all metrics. Visualises the spatial-vs-temporal generalisation gap at a glance: spatial transfer is near-perfect, temporal transfer degrades 10–40 % depending on metric.</w:t>
      </w:r>
    </w:p>
    <w:bookmarkEnd w:id="29"/>
    <w:bookmarkStart w:id="30" w:name="spatial-outputs-16-17"/>
    <w:p>
      <w:pPr>
        <w:pStyle w:val="Heading2"/>
      </w:pPr>
      <w:r>
        <w:t xml:space="preserve">Spatial outputs (16, 17)</w:t>
      </w:r>
    </w:p>
    <w:p>
      <w:pPr>
        <w:pStyle w:val="Compact"/>
        <w:numPr>
          <w:ilvl w:val="0"/>
          <w:numId w:val="1020"/>
        </w:numPr>
      </w:pPr>
      <w:r>
        <w:rPr>
          <w:b/>
          <w:bCs/>
        </w:rPr>
        <w:t xml:space="preserve">16 Pixel-level prediction map (2018-12-08).</w:t>
      </w:r>
      <w:r>
        <w:t xml:space="preserve"> </w:t>
      </w:r>
      <w:r>
        <w:t xml:space="preserve">Three clusters visible (Ouest NW, Marais NE, Sud SE). Winter window — all pixels show low GPI (red, near-zero growth potential) and low decline risk (dark green) → consistent with dormancy regime.</w:t>
      </w:r>
    </w:p>
    <w:p>
      <w:pPr>
        <w:pStyle w:val="Compact"/>
        <w:numPr>
          <w:ilvl w:val="0"/>
          <w:numId w:val="1020"/>
        </w:numPr>
      </w:pPr>
      <w:r>
        <w:rPr>
          <w:b/>
          <w:bCs/>
        </w:rPr>
        <w:t xml:space="preserve">17 Teacher vs student scatter.</w:t>
      </w:r>
      <w:r>
        <w:t xml:space="preserve"> </w:t>
      </w:r>
      <w:r>
        <w:t xml:space="preserve">Two-panel scatter showing student predictions on x-axis, teacher labels on y-axis, across the full dataset. GPI tracks the y=x line tightly. Decline shows more dispersion at extremes.</w:t>
      </w:r>
    </w:p>
    <w:bookmarkEnd w:id="30"/>
    <w:bookmarkStart w:id="31" w:name="tracking-and-residuals-18-19-26"/>
    <w:p>
      <w:pPr>
        <w:pStyle w:val="Heading2"/>
      </w:pPr>
      <w:r>
        <w:t xml:space="preserve">Tracking and residuals (18-19, 26)</w:t>
      </w:r>
    </w:p>
    <w:p>
      <w:pPr>
        <w:pStyle w:val="Compact"/>
        <w:numPr>
          <w:ilvl w:val="0"/>
          <w:numId w:val="1021"/>
        </w:numPr>
      </w:pPr>
      <w:r>
        <w:rPr>
          <w:b/>
          <w:bCs/>
        </w:rPr>
        <w:t xml:space="preserve">18 Student vs teacher tracking timeseries.</w:t>
      </w:r>
      <w:r>
        <w:t xml:space="preserve"> </w:t>
      </w:r>
      <w:r>
        <w:t xml:space="preserve">Three site panels. Each shows teacher GPI (black dashed) overlaid with student prediction mean + 10-90 % pixel band (coloured). The bands wrap teacher tightly through 2016-2017 and widen visibly in 2018 — the temporal-test years are exactly where uncertainty is highest.</w:t>
      </w:r>
    </w:p>
    <w:p>
      <w:pPr>
        <w:pStyle w:val="Compact"/>
        <w:numPr>
          <w:ilvl w:val="0"/>
          <w:numId w:val="1021"/>
        </w:numPr>
      </w:pPr>
      <w:r>
        <w:rPr>
          <w:b/>
          <w:bCs/>
        </w:rPr>
        <w:t xml:space="preserve">19 Residuals.</w:t>
      </w:r>
      <w:r>
        <w:t xml:space="preserve"> </w:t>
      </w:r>
      <w:r>
        <w:t xml:space="preserve">Histograms + boxplots, GPI residuals concentrate near zero on train/val but widen and skew negative on test_temporal (model under-predicts in 2018). Decline residuals are tightly zero-centred on train/val and have heavy tails on test (the 0.33 MAE comes from a minority of badly-predicted windows, not uniform error).</w:t>
      </w:r>
    </w:p>
    <w:p>
      <w:pPr>
        <w:pStyle w:val="Compact"/>
        <w:numPr>
          <w:ilvl w:val="0"/>
          <w:numId w:val="1021"/>
        </w:numPr>
      </w:pPr>
      <w:r>
        <w:rPr>
          <w:b/>
          <w:bCs/>
        </w:rPr>
        <w:t xml:space="preserve">26 Monthly error breakdown.</w:t>
      </w:r>
      <w:r>
        <w:t xml:space="preserve"> </w:t>
      </w:r>
      <w:r>
        <w:t xml:space="preserve">GPI MAE peaks in summer months (Jul-Aug) — the transition zone where seasonal change is steepest is hardest to fit. Decline MAE peaks in spring (Apr) and late summer (Aug) — the windows where decline_prob actually changes (i.e., when the alarm is being raised or cancelled).</w:t>
      </w:r>
    </w:p>
    <w:bookmarkEnd w:id="31"/>
    <w:bookmarkStart w:id="32" w:name="ood-detection-23"/>
    <w:p>
      <w:pPr>
        <w:pStyle w:val="Heading2"/>
      </w:pPr>
      <w:r>
        <w:t xml:space="preserve">OOD detection (23)</w:t>
      </w:r>
    </w:p>
    <w:p>
      <w:pPr>
        <w:pStyle w:val="Compact"/>
        <w:numPr>
          <w:ilvl w:val="0"/>
          <w:numId w:val="1022"/>
        </w:numPr>
      </w:pPr>
      <w:r>
        <w:rPr>
          <w:b/>
          <w:bCs/>
        </w:rPr>
        <w:t xml:space="preserve">23 Mahalanobis distance.</w:t>
      </w:r>
      <w:r>
        <w:t xml:space="preserve"> </w:t>
      </w:r>
      <w:r>
        <w:t xml:space="preserve">Left panel: distributions overlap heavily across train/val/test, all centred ≈ 1.0 with 95th-percentile threshold ≈ 3.0. Right panel: Sud has a slightly wider distance distribution than Ouest/Marais — exactly the right signal for the spatial validation hold-out. This is the mechanism that produces the 100 % OOD flag for Antigonish (a region 330 km south).</w:t>
      </w:r>
    </w:p>
    <w:bookmarkEnd w:id="32"/>
    <w:bookmarkStart w:id="33" w:name="operational-outputs-24"/>
    <w:p>
      <w:pPr>
        <w:pStyle w:val="Heading2"/>
      </w:pPr>
      <w:r>
        <w:t xml:space="preserve">Operational outputs (24)</w:t>
      </w:r>
    </w:p>
    <w:p>
      <w:pPr>
        <w:pStyle w:val="Compact"/>
        <w:numPr>
          <w:ilvl w:val="0"/>
          <w:numId w:val="1023"/>
        </w:numPr>
      </w:pPr>
      <w:r>
        <w:rPr>
          <w:b/>
          <w:bCs/>
        </w:rPr>
        <w:t xml:space="preserve">24 Bed aggregation demo.</w:t>
      </w:r>
      <w:r>
        <w:t xml:space="preserve"> </w:t>
      </w:r>
      <w:r>
        <w:t xml:space="preserve">Top panel: bed-level decline probability over time per site, with Low/Medium/High dashed thresholds. The signal is bimodal (often near 0 or near 1) — reflects the underlying teacher’s bimodality. Bottom panel: yearly risk-tier composition; ~70 % Low, ~25 % High, ~5 % Medium. The 2013 partial year is an artifact of date range.</w:t>
      </w:r>
    </w:p>
    <w:bookmarkEnd w:id="33"/>
    <w:bookmarkStart w:id="34" w:name="learning-dynamics-25"/>
    <w:p>
      <w:pPr>
        <w:pStyle w:val="Heading2"/>
      </w:pPr>
      <w:r>
        <w:t xml:space="preserve">Learning dynamics (25)</w:t>
      </w:r>
    </w:p>
    <w:p>
      <w:pPr>
        <w:pStyle w:val="Compact"/>
        <w:numPr>
          <w:ilvl w:val="0"/>
          <w:numId w:val="1024"/>
        </w:numPr>
      </w:pPr>
      <w:r>
        <w:rPr>
          <w:b/>
          <w:bCs/>
        </w:rPr>
        <w:t xml:space="preserve">25 Learning curves.</w:t>
      </w:r>
      <w:r>
        <w:t xml:space="preserve"> </w:t>
      </w:r>
      <w:r>
        <w:t xml:space="preserve">Both GPI and Decline plots show classic mild-overfit signatures: train MAE keeps falling (overfit), val MAE plateaus around boosting round 150, test MAE plateaus much higher. Decline test curve is</w:t>
      </w:r>
      <w:r>
        <w:t xml:space="preserve"> </w:t>
      </w:r>
      <w:r>
        <w:rPr>
          <w:i/>
          <w:iCs/>
        </w:rPr>
        <w:t xml:space="preserve">essentially flat</w:t>
      </w:r>
      <w:r>
        <w:t xml:space="preserve"> </w:t>
      </w:r>
      <w:r>
        <w:t xml:space="preserve">from round 0 — adding trees doesn’t reduce test error. This means the 0.33 decline MAE is a</w:t>
      </w:r>
      <w:r>
        <w:t xml:space="preserve"> </w:t>
      </w:r>
      <w:r>
        <w:rPr>
          <w:b/>
          <w:bCs/>
        </w:rPr>
        <w:t xml:space="preserve">signal-availability ceiling</w:t>
      </w:r>
      <w:r>
        <w:t xml:space="preserve">, not a model-capacity problem. To improve, add data (more sites, more years), not capacity.</w:t>
      </w:r>
    </w:p>
    <w:bookmarkEnd w:id="34"/>
    <w:bookmarkStart w:id="35" w:name="stress-trajectory-27"/>
    <w:p>
      <w:pPr>
        <w:pStyle w:val="Heading2"/>
      </w:pPr>
      <w:r>
        <w:t xml:space="preserve">Stress trajectory (27)</w:t>
      </w:r>
    </w:p>
    <w:p>
      <w:pPr>
        <w:pStyle w:val="Compact"/>
        <w:numPr>
          <w:ilvl w:val="0"/>
          <w:numId w:val="1025"/>
        </w:numPr>
      </w:pPr>
      <w:r>
        <w:rPr>
          <w:b/>
          <w:bCs/>
        </w:rPr>
        <w:t xml:space="preserve">27 Stress probability heatmap.</w:t>
      </w:r>
      <w:r>
        <w:t xml:space="preserve"> </w:t>
      </w:r>
      <w:r>
        <w:t xml:space="preserve">Per-site time-vs-class heatmaps. Clean annual rhythm visible: cold (Dec-Apr), light (transition seasons), senescence (Sep-Nov). All three sites essentially identical (same env data). Pattern is near-binary because the classifier outputs sharp probabilities on real S2 data — well-separated classes when given enough spectral features.</w:t>
      </w:r>
    </w:p>
    <w:bookmarkEnd w:id="35"/>
    <w:bookmarkEnd w:id="36"/>
    <w:bookmarkStart w:id="38" w:name="limitations-caveats-and-next-steps"/>
    <w:p>
      <w:pPr>
        <w:pStyle w:val="Heading1"/>
      </w:pPr>
      <w:r>
        <w:t xml:space="preserve">7. Limitations, caveats, and next steps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Limitation</w:t>
            </w:r>
          </w:p>
        </w:tc>
        <w:tc>
          <w:tcPr/>
          <w:p>
            <w:pPr>
              <w:pStyle w:val="Compact"/>
            </w:pPr>
            <w:r>
              <w:t xml:space="preserve">Why it matters</w:t>
            </w:r>
          </w:p>
        </w:tc>
        <w:tc>
          <w:tcPr/>
          <w:p>
            <w:pPr>
              <w:pStyle w:val="Compact"/>
            </w:pPr>
            <w:r>
              <w:t xml:space="preserve">What fixes it</w:t>
            </w:r>
          </w:p>
        </w:tc>
      </w:tr>
      <w:tr>
        <w:tc>
          <w:tcPr/>
          <w:p>
            <w:pPr>
              <w:pStyle w:val="Compact"/>
            </w:pPr>
            <w:r>
              <w:t xml:space="preserve">Per-site env data is spatially averaged</w:t>
            </w:r>
          </w:p>
        </w:tc>
        <w:tc>
          <w:tcPr/>
          <w:p>
            <w:pPr>
              <w:pStyle w:val="Compact"/>
            </w:pPr>
            <w:r>
              <w:t xml:space="preserve">All 3 sites get identical labels; the student can only learn spatial differentiation from the spectra, not the targets</w:t>
            </w:r>
          </w:p>
        </w:tc>
        <w:tc>
          <w:tcPr/>
          <w:p>
            <w:pPr>
              <w:pStyle w:val="Compact"/>
            </w:pPr>
            <w:r>
              <w:t xml:space="preserve">Point-extract SST/PAR at each site centroid instead of bay-mean</w:t>
            </w:r>
          </w:p>
        </w:tc>
      </w:tr>
      <w:tr>
        <w:tc>
          <w:tcPr/>
          <w:p>
            <w:pPr>
              <w:pStyle w:val="Compact"/>
            </w:pPr>
            <w:r>
              <w:t xml:space="preserve">S2 archive starts 2016 (3 years overlap with in-situ)</w:t>
            </w:r>
          </w:p>
        </w:tc>
        <w:tc>
          <w:tcPr/>
          <w:p>
            <w:pPr>
              <w:pStyle w:val="Compact"/>
            </w:pPr>
            <w:r>
              <w:t xml:space="preserve">Annual-label student is structurally crippled — tail strategy used to silently fail (zero-row train set), now produces degenerate</w:t>
            </w:r>
            <w:r>
              <w:t xml:space="preserve"> </w:t>
            </w:r>
            <w:r>
              <w:t xml:space="preserve">“always-0”</w:t>
            </w:r>
            <w:r>
              <w:t xml:space="preserve"> </w:t>
            </w:r>
            <w:r>
              <w:t xml:space="preserve">predictions after the</w:t>
            </w:r>
            <w:r>
              <w:t xml:space="preserve"> </w:t>
            </w:r>
            <w:r>
              <w:rPr>
                <w:rStyle w:val="VerbatimChar"/>
              </w:rPr>
              <w:t xml:space="preserve">tail_split</w:t>
            </w:r>
            <w:r>
              <w:t xml:space="preserve"> </w:t>
            </w:r>
            <w:r>
              <w:t xml:space="preserve">fallback fix</w:t>
            </w:r>
          </w:p>
        </w:tc>
        <w:tc>
          <w:tcPr/>
          <w:p>
            <w:pPr>
              <w:pStyle w:val="Compact"/>
            </w:pPr>
            <w:r>
              <w:t xml:space="preserve">Use Landsat 8 (2013→) to backfill the early years, or only use the window-level student</w:t>
            </w:r>
          </w:p>
        </w:tc>
      </w:tr>
      <w:tr>
        <w:tc>
          <w:tcPr/>
          <w:p>
            <w:pPr>
              <w:pStyle w:val="Compact"/>
            </w:pPr>
            <w:r>
              <w:t xml:space="preserve">No heat-stress examples in Forillon</w:t>
            </w:r>
          </w:p>
        </w:tc>
        <w:tc>
          <w:tcPr/>
          <w:p>
            <w:pPr>
              <w:pStyle w:val="Compact"/>
            </w:pPr>
            <w:r>
              <w:t xml:space="preserve">Model can never predict heat class until it’s deployed somewhere with it</w:t>
            </w:r>
          </w:p>
        </w:tc>
        <w:tc>
          <w:tcPr/>
          <w:p>
            <w:pPr>
              <w:pStyle w:val="Compact"/>
            </w:pPr>
            <w:r>
              <w:t xml:space="preserve">Co-train with a southern site (Antigonish, Malpeque) where heat does occur</w:t>
            </w:r>
          </w:p>
        </w:tc>
      </w:tr>
      <w:tr>
        <w:tc>
          <w:tcPr/>
          <w:p>
            <w:pPr>
              <w:pStyle w:val="Compact"/>
            </w:pPr>
            <w:r>
              <w:t xml:space="preserve">100 % OOD flag on Antigonish</w:t>
            </w:r>
          </w:p>
        </w:tc>
        <w:tc>
          <w:tcPr/>
          <w:p>
            <w:pPr>
              <w:pStyle w:val="Compact"/>
            </w:pPr>
            <w:r>
              <w:t xml:space="preserve">All bed scores downgraded to Medium confidence</w:t>
            </w:r>
          </w:p>
        </w:tc>
        <w:tc>
          <w:tcPr/>
          <w:p>
            <w:pPr>
              <w:pStyle w:val="Compact"/>
            </w:pPr>
            <w:r>
              <w:t xml:space="preserve">Run</w:t>
            </w:r>
            <w:r>
              <w:t xml:space="preserve"> </w:t>
            </w:r>
            <w:r>
              <w:rPr>
                <w:rStyle w:val="VerbatimChar"/>
              </w:rPr>
              <w:t xml:space="preserve">pipeline.calibration</w:t>
            </w:r>
            <w:r>
              <w:t xml:space="preserve"> </w:t>
            </w:r>
            <w:r>
              <w:t xml:space="preserve">with any 10–20 ground-truth observations from a target region</w:t>
            </w:r>
          </w:p>
        </w:tc>
      </w:tr>
      <w:tr>
        <w:tc>
          <w:tcPr/>
          <w:p>
            <w:pPr>
              <w:pStyle w:val="Compact"/>
            </w:pPr>
            <w:r>
              <w:t xml:space="preserve">Decline calibration is poor</w:t>
            </w:r>
          </w:p>
        </w:tc>
        <w:tc>
          <w:tcPr/>
          <w:p>
            <w:pPr>
              <w:pStyle w:val="Compact"/>
            </w:pPr>
            <w:r>
              <w:t xml:space="preserve">Probability values can’t be taken literally, only ranked</w:t>
            </w:r>
          </w:p>
        </w:tc>
        <w:tc>
          <w:tcPr/>
          <w:p>
            <w:pPr>
              <w:pStyle w:val="Compact"/>
            </w:pPr>
            <w:r>
              <w:t xml:space="preserve">Isotonic calibrator wrapping student output (already wired, awaits ground truth)</w:t>
            </w:r>
          </w:p>
        </w:tc>
      </w:tr>
      <w:tr>
        <w:tc>
          <w:tcPr/>
          <w:p>
            <w:pPr>
              <w:pStyle w:val="Compact"/>
            </w:pPr>
            <w:r>
              <w:t xml:space="preserve">Decline test AUC 0.66 is below operational threshold</w:t>
            </w:r>
          </w:p>
        </w:tc>
        <w:tc>
          <w:tcPr/>
          <w:p>
            <w:pPr>
              <w:pStyle w:val="Compact"/>
            </w:pPr>
            <w:r>
              <w:t xml:space="preserve">“Above chance”</w:t>
            </w:r>
            <w:r>
              <w:t xml:space="preserve"> </w:t>
            </w:r>
            <w:r>
              <w:t xml:space="preserve">not</w:t>
            </w:r>
            <w:r>
              <w:t xml:space="preserve"> </w:t>
            </w:r>
            <w:r>
              <w:t xml:space="preserve">“production-ready”</w:t>
            </w:r>
          </w:p>
        </w:tc>
        <w:tc>
          <w:tcPr/>
          <w:p>
            <w:pPr>
              <w:pStyle w:val="Compact"/>
            </w:pPr>
            <w:r>
              <w:t xml:space="preserve">More training years/sites; bigger labelled corpus</w:t>
            </w:r>
          </w:p>
        </w:tc>
      </w:tr>
    </w:tbl>
    <w:bookmarkStart w:id="37" w:name="recommended-next-milestones"/>
    <w:p>
      <w:pPr>
        <w:pStyle w:val="Heading2"/>
      </w:pPr>
      <w:r>
        <w:t xml:space="preserve">Recommended next milestones</w:t>
      </w:r>
    </w:p>
    <w:p>
      <w:pPr>
        <w:pStyle w:val="Compact"/>
        <w:numPr>
          <w:ilvl w:val="0"/>
          <w:numId w:val="1026"/>
        </w:numPr>
      </w:pPr>
      <w:r>
        <w:rPr>
          <w:b/>
          <w:bCs/>
        </w:rPr>
        <w:t xml:space="preserve">Run the API</w:t>
      </w:r>
      <w:r>
        <w:t xml:space="preserve">:</w:t>
      </w:r>
      <w:r>
        <w:t xml:space="preserve"> </w:t>
      </w:r>
      <w:r>
        <w:rPr>
          <w:rStyle w:val="VerbatimChar"/>
        </w:rPr>
        <w:t xml:space="preserve">uvicorn api.main:app --port 8000</w:t>
      </w:r>
      <w:r>
        <w:t xml:space="preserve"> </w:t>
      </w:r>
      <w:r>
        <w:t xml:space="preserve">and open</w:t>
      </w:r>
      <w:r>
        <w:t xml:space="preserve"> </w:t>
      </w:r>
      <w:r>
        <w:rPr>
          <w:rStyle w:val="VerbatimChar"/>
        </w:rPr>
        <w:t xml:space="preserve">web/index.html</w:t>
      </w:r>
      <w:r>
        <w:t xml:space="preserve">. Verify the JSON contract end-to-end.</w:t>
      </w:r>
    </w:p>
    <w:p>
      <w:pPr>
        <w:pStyle w:val="Compact"/>
        <w:numPr>
          <w:ilvl w:val="0"/>
          <w:numId w:val="1026"/>
        </w:numPr>
      </w:pPr>
      <w:r>
        <w:rPr>
          <w:b/>
          <w:bCs/>
        </w:rPr>
        <w:t xml:space="preserve">Get any ground-truth from a non-Forillon region</w:t>
      </w:r>
      <w:r>
        <w:t xml:space="preserve"> </w:t>
      </w:r>
      <w:r>
        <w:t xml:space="preserve">(CIOOS, CERI, DFO, community surveys). Even 10 observations gates the calibration step that turns the rank-orderings into calibrated probabilities.</w:t>
      </w:r>
    </w:p>
    <w:p>
      <w:pPr>
        <w:pStyle w:val="Compact"/>
        <w:numPr>
          <w:ilvl w:val="0"/>
          <w:numId w:val="1026"/>
        </w:numPr>
      </w:pPr>
      <w:r>
        <w:rPr>
          <w:b/>
          <w:bCs/>
        </w:rPr>
        <w:t xml:space="preserve">Add Antigonish as a training region</w:t>
      </w:r>
      <w:r>
        <w:t xml:space="preserve">, not just an inference target. Two-site training will smooth out the spatial OOD problem dramatically.</w:t>
      </w:r>
    </w:p>
    <w:p>
      <w:pPr>
        <w:pStyle w:val="Compact"/>
        <w:numPr>
          <w:ilvl w:val="0"/>
          <w:numId w:val="1026"/>
        </w:numPr>
      </w:pPr>
      <w:r>
        <w:rPr>
          <w:b/>
          <w:bCs/>
        </w:rPr>
        <w:t xml:space="preserve">Switch the operational student to ensemble of LOYO folds</w:t>
      </w:r>
      <w:r>
        <w:t xml:space="preserve"> </w:t>
      </w:r>
      <w:r>
        <w:t xml:space="preserve">instead of a single trained model. The mean of 6 LOYO models is more robust to outlier years than any single year-trained model.</w:t>
      </w:r>
    </w:p>
    <w:bookmarkEnd w:id="37"/>
    <w:bookmarkEnd w:id="38"/>
    <w:bookmarkStart w:id="39" w:name="the-bottom-line"/>
    <w:p>
      <w:pPr>
        <w:pStyle w:val="Heading1"/>
      </w:pPr>
      <w:r>
        <w:t xml:space="preserve">8. The bottom line</w:t>
      </w:r>
    </w:p>
    <w:p>
      <w:pPr>
        <w:pStyle w:val="FirstParagraph"/>
      </w:pPr>
      <w:r>
        <w:t xml:space="preserve">The system is</w:t>
      </w:r>
      <w:r>
        <w:t xml:space="preserve"> </w:t>
      </w:r>
      <w:r>
        <w:rPr>
          <w:b/>
          <w:bCs/>
        </w:rPr>
        <w:t xml:space="preserve">operationally complete</w:t>
      </w:r>
      <w:r>
        <w:t xml:space="preserve">: every stage runs end-to-end on real GEE imagery and real in-situ data, with honest validation metrics, diagnostic plots, OOD detection, and a deployable API. The decline-risk model is currently a</w:t>
      </w:r>
      <w:r>
        <w:t xml:space="preserve"> </w:t>
      </w:r>
      <w:r>
        <w:rPr>
          <w:i/>
          <w:iCs/>
        </w:rPr>
        <w:t xml:space="preserve">rank-ordering tool</w:t>
      </w:r>
      <w:r>
        <w:t xml:space="preserve"> </w:t>
      </w:r>
      <w:r>
        <w:t xml:space="preserve">(AUC 0.66) rather than a</w:t>
      </w:r>
      <w:r>
        <w:t xml:space="preserve"> </w:t>
      </w:r>
      <w:r>
        <w:rPr>
          <w:i/>
          <w:iCs/>
        </w:rPr>
        <w:t xml:space="preserve">calibrated probability tool</w:t>
      </w:r>
      <w:r>
        <w:t xml:space="preserve"> </w:t>
      </w:r>
      <w:r>
        <w:t xml:space="preserve">(AUC &gt; 0.8), but the framework is in place to upgrade it as more ground truth arrives. Pan-Atlantic inference is demonstrated working with appropriately downgraded confidence on out-of-distribution coastlines.</w:t>
      </w:r>
    </w:p>
    <w:p>
      <w:pPr>
        <w:pStyle w:val="BodyText"/>
      </w:pPr>
      <w:r>
        <w:t xml:space="preserve">This is the right shape of a production early-warning system: a small expensive expert pipeline (the teacher) bottling knowledge that a fast cheap model (the student) can apply over the whole continent.</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eelsSaver — Full Project Report</dc:title>
  <dc:creator>Pan-Atlantic Eelgrass Early-Warning System</dc:creator>
  <cp:keywords/>
  <dcterms:created xsi:type="dcterms:W3CDTF">2026-05-24T01:53:34Z</dcterms:created>
  <dcterms:modified xsi:type="dcterms:W3CDTF">2026-05-24T01:53:34Z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NeuroHack 2026 · Hack the Elements</vt:lpwstr>
  </property>
</Properties>
</file>