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38ea2922d06c3b44726d7278644bb461af812f8"/>
    <w:p>
      <w:pPr>
        <w:pStyle w:val="Heading1"/>
      </w:pPr>
      <w:r>
        <w:t xml:space="preserve">Detailed Beamer slide plan for a 45-minute talk on women’s connectivity in extreme networks</w:t>
      </w:r>
    </w:p>
    <w:bookmarkStart w:id="23" w:name="executive-summary"/>
    <w:p>
      <w:pPr>
        <w:pStyle w:val="Heading2"/>
      </w:pPr>
      <w:r>
        <w:t xml:space="preserve">Executive summary</w:t>
      </w:r>
    </w:p>
    <w:p>
      <w:pPr>
        <w:pStyle w:val="FirstParagraph"/>
      </w:pPr>
      <w:r>
        <w:t xml:space="preserve">This plan produces a 45-minute, slide-by-slide</w:t>
      </w:r>
      <w:r>
        <w:t xml:space="preserve"> </w:t>
      </w:r>
      <w:r>
        <w:rPr>
          <w:b/>
          <w:bCs/>
        </w:rPr>
        <w:t xml:space="preserve">LaTeX Beamer</w:t>
      </w:r>
      <w:r>
        <w:t xml:space="preserve"> </w:t>
      </w:r>
      <w:r>
        <w:t xml:space="preserve">presentation (targeting ~23 “core” slides including a Q&amp;A slide, plus ~5 backup slides) that is</w:t>
      </w:r>
      <w:r>
        <w:t xml:space="preserve"> </w:t>
      </w:r>
      <w:r>
        <w:rPr>
          <w:b/>
          <w:bCs/>
        </w:rPr>
        <w:t xml:space="preserve">based predominantly on a single academic article</w:t>
      </w:r>
      <w:r>
        <w:t xml:space="preserve">:</w:t>
      </w:r>
      <w:r>
        <w:t xml:space="preserve"> </w:t>
      </w:r>
      <w:r>
        <w:rPr>
          <w:i/>
          <w:iCs/>
        </w:rPr>
        <w:t xml:space="preserve">Women’s connectivity in extreme networks</w:t>
      </w:r>
      <w:r>
        <w:t xml:space="preserve"> </w:t>
      </w:r>
      <w:r>
        <w:t xml:space="preserve">(2016). fileciteturn0file0</w:t>
      </w:r>
      <w:r>
        <w:t xml:space="preserve"> </w:t>
      </w:r>
      <w:hyperlink r:id="rId21">
        <w:r>
          <w:rPr>
            <w:rStyle w:val="Hyperlink"/>
          </w:rPr>
          <w:t xml:space="preserve">[1]</w:t>
        </w:r>
      </w:hyperlink>
    </w:p>
    <w:p>
      <w:pPr>
        <w:pStyle w:val="BodyText"/>
      </w:pPr>
      <w:r>
        <w:t xml:space="preserve">The talk’s narrative follows the paper’s own structure: (i) motivation and research question (challenging stereotypes about women’s roles in dangerous/“extreme” networks), (ii)</w:t>
      </w:r>
      <w:r>
        <w:t xml:space="preserve"> </w:t>
      </w:r>
      <w:r>
        <w:rPr>
          <w:b/>
          <w:bCs/>
        </w:rPr>
        <w:t xml:space="preserve">two longitudinal operational networks</w:t>
      </w:r>
      <w:r>
        <w:t xml:space="preserve"> </w:t>
      </w:r>
      <w:r>
        <w:t xml:space="preserve">(online pro-ISIS support on VKontakte; offline PIRA collaboration network), (iii) core network measures (</w:t>
      </w:r>
      <w:r>
        <w:rPr>
          <w:b/>
          <w:bCs/>
        </w:rPr>
        <w:t xml:space="preserve">betweenness centrality</w:t>
      </w:r>
      <w:r>
        <w:t xml:space="preserve"> </w:t>
      </w:r>
      <w:r>
        <w:t xml:space="preserve">and</w:t>
      </w:r>
      <w:r>
        <w:t xml:space="preserve"> </w:t>
      </w:r>
      <w:r>
        <w:rPr>
          <w:b/>
          <w:bCs/>
        </w:rPr>
        <w:t xml:space="preserve">degree centrality</w:t>
      </w:r>
      <w:r>
        <w:t xml:space="preserve">) and null-model comparison, (iv) key empirical results (women show higher betweenness; women avoid high-degree “star” visibility), (v) longevity associations, and (vi) interpretation, limits, and ethical framing.</w:t>
      </w:r>
      <w:r>
        <w:t xml:space="preserve"> </w:t>
      </w:r>
      <w:hyperlink r:id="rId21">
        <w:r>
          <w:rPr>
            <w:rStyle w:val="Hyperlink"/>
          </w:rPr>
          <w:t xml:space="preserve">[2]</w:t>
        </w:r>
      </w:hyperlink>
    </w:p>
    <w:p>
      <w:pPr>
        <w:pStyle w:val="BodyText"/>
      </w:pPr>
      <w:r>
        <w:t xml:space="preserve">Visualisations are built in as first-class elements on essentially every slide: (a)</w:t>
      </w:r>
      <w:r>
        <w:t xml:space="preserve"> </w:t>
      </w:r>
      <w:r>
        <w:rPr>
          <w:b/>
          <w:bCs/>
        </w:rPr>
        <w:t xml:space="preserve">extracted paper figures</w:t>
      </w:r>
      <w:r>
        <w:t xml:space="preserve"> </w:t>
      </w:r>
      <w:r>
        <w:t xml:space="preserve">(Fig. 1–3) placed as full-width or right-column “hero” visuals, and (b)</w:t>
      </w:r>
      <w:r>
        <w:t xml:space="preserve"> </w:t>
      </w:r>
      <w:r>
        <w:rPr>
          <w:b/>
          <w:bCs/>
        </w:rPr>
        <w:t xml:space="preserve">custom diagrams</w:t>
      </w:r>
      <w:r>
        <w:t xml:space="preserve"> </w:t>
      </w:r>
      <w:r>
        <w:t xml:space="preserve">(TikZ flowcharts, concept cartoons for degree vs betweenness, and an “analysis pipeline” figure) to bridge technical gaps for the audience.</w:t>
      </w:r>
      <w:r>
        <w:t xml:space="preserve"> </w:t>
      </w:r>
      <w:hyperlink r:id="rId21">
        <w:r>
          <w:rPr>
            <w:rStyle w:val="Hyperlink"/>
          </w:rPr>
          <w:t xml:space="preserve">[3]</w:t>
        </w:r>
      </w:hyperlink>
    </w:p>
    <w:p>
      <w:pPr>
        <w:pStyle w:val="BodyText"/>
      </w:pPr>
      <w:r>
        <w:t xml:space="preserve">Because the plan is intended to be pasted directly into Beamer, it includes: a ready-to-compile</w:t>
      </w:r>
      <w:r>
        <w:t xml:space="preserve"> </w:t>
      </w:r>
      <w:r>
        <w:rPr>
          <w:rStyle w:val="VerbatimChar"/>
        </w:rPr>
        <w:t xml:space="preserve">.tex</w:t>
      </w:r>
      <w:r>
        <w:t xml:space="preserve"> </w:t>
      </w:r>
      <w:r>
        <w:t xml:space="preserve">skeleton, recommended packages for diagrams/notes, per-slide layout specs, per-slide timed speaker notes using</w:t>
      </w:r>
      <w:r>
        <w:t xml:space="preserve"> </w:t>
      </w:r>
      <w:r>
        <w:rPr>
          <w:rStyle w:val="VerbatimChar"/>
        </w:rPr>
        <w:t xml:space="preserve">\note{...}</w:t>
      </w:r>
      <w:r>
        <w:t xml:space="preserve">, and a compact asset checklist (figures,</w:t>
      </w:r>
      <w:r>
        <w:t xml:space="preserve"> </w:t>
      </w:r>
      <w:r>
        <w:rPr>
          <w:rStyle w:val="VerbatimChar"/>
        </w:rPr>
        <w:t xml:space="preserve">.bib</w:t>
      </w:r>
      <w:r>
        <w:t xml:space="preserve">, macros). Beamer’s notes and font/aspect-ratio options are aligned with the official user guide.</w:t>
      </w:r>
      <w:r>
        <w:t xml:space="preserve"> </w:t>
      </w:r>
      <w:hyperlink r:id="rId22">
        <w:r>
          <w:rPr>
            <w:rStyle w:val="Hyperlink"/>
          </w:rPr>
          <w:t xml:space="preserve">[4]</w:t>
        </w:r>
      </w:hyperlink>
    </w:p>
    <w:bookmarkEnd w:id="23"/>
    <w:bookmarkStart w:id="43" w:name="research-base-and-source-hierarchy"/>
    <w:p>
      <w:pPr>
        <w:pStyle w:val="Heading2"/>
      </w:pPr>
      <w:r>
        <w:t xml:space="preserve">Research base and source hierarchy</w:t>
      </w:r>
    </w:p>
    <w:p>
      <w:pPr>
        <w:pStyle w:val="FirstParagraph"/>
      </w:pPr>
      <w:r>
        <w:t xml:space="preserve">The core content is taken from the article authored by: Pedro Manrique</w:t>
      </w:r>
      <w:hyperlink r:id="rId21">
        <w:r>
          <w:rPr>
            <w:rStyle w:val="Hyperlink"/>
          </w:rPr>
          <w:t xml:space="preserve">[5]</w:t>
        </w:r>
      </w:hyperlink>
      <w:r>
        <w:t xml:space="preserve">, Zhenfeng Cao</w:t>
      </w:r>
      <w:hyperlink r:id="rId21">
        <w:r>
          <w:rPr>
            <w:rStyle w:val="Hyperlink"/>
          </w:rPr>
          <w:t xml:space="preserve">[6]</w:t>
        </w:r>
      </w:hyperlink>
      <w:r>
        <w:t xml:space="preserve">, Andrew Gabriel</w:t>
      </w:r>
      <w:hyperlink r:id="rId24">
        <w:r>
          <w:rPr>
            <w:rStyle w:val="Hyperlink"/>
          </w:rPr>
          <w:t xml:space="preserve">[7]</w:t>
        </w:r>
      </w:hyperlink>
      <w:r>
        <w:t xml:space="preserve">, John G. Horgan</w:t>
      </w:r>
      <w:hyperlink r:id="rId25">
        <w:r>
          <w:rPr>
            <w:rStyle w:val="Hyperlink"/>
          </w:rPr>
          <w:t xml:space="preserve">[8]</w:t>
        </w:r>
      </w:hyperlink>
      <w:r>
        <w:t xml:space="preserve">, Paul Gill</w:t>
      </w:r>
      <w:hyperlink r:id="rId26">
        <w:r>
          <w:rPr>
            <w:rStyle w:val="Hyperlink"/>
          </w:rPr>
          <w:t xml:space="preserve">[9]</w:t>
        </w:r>
      </w:hyperlink>
      <w:r>
        <w:t xml:space="preserve">, Hong Qi</w:t>
      </w:r>
      <w:hyperlink r:id="rId22">
        <w:r>
          <w:rPr>
            <w:rStyle w:val="Hyperlink"/>
          </w:rPr>
          <w:t xml:space="preserve">[10]</w:t>
        </w:r>
      </w:hyperlink>
      <w:r>
        <w:t xml:space="preserve">, Elvira M. Restrepo</w:t>
      </w:r>
      <w:hyperlink r:id="rId21">
        <w:r>
          <w:rPr>
            <w:rStyle w:val="Hyperlink"/>
          </w:rPr>
          <w:t xml:space="preserve">[11]</w:t>
        </w:r>
      </w:hyperlink>
      <w:r>
        <w:t xml:space="preserve">, Daniela Johnson</w:t>
      </w:r>
      <w:hyperlink r:id="rId27">
        <w:r>
          <w:rPr>
            <w:rStyle w:val="Hyperlink"/>
          </w:rPr>
          <w:t xml:space="preserve">[12]</w:t>
        </w:r>
      </w:hyperlink>
      <w:r>
        <w:t xml:space="preserve">, Stefan Wuchty</w:t>
      </w:r>
      <w:hyperlink r:id="rId28">
        <w:r>
          <w:rPr>
            <w:rStyle w:val="Hyperlink"/>
          </w:rPr>
          <w:t xml:space="preserve">[13]</w:t>
        </w:r>
      </w:hyperlink>
      <w:r>
        <w:t xml:space="preserve">, Chaoming Song</w:t>
      </w:r>
      <w:hyperlink r:id="rId22">
        <w:r>
          <w:rPr>
            <w:rStyle w:val="Hyperlink"/>
          </w:rPr>
          <w:t xml:space="preserve">[14]</w:t>
        </w:r>
      </w:hyperlink>
      <w:r>
        <w:t xml:space="preserve">, and Neil F. Johnson</w:t>
      </w:r>
      <w:hyperlink r:id="rId29">
        <w:r>
          <w:rPr>
            <w:rStyle w:val="Hyperlink"/>
          </w:rPr>
          <w:t xml:space="preserve">[15]</w:t>
        </w:r>
      </w:hyperlink>
      <w:r>
        <w:t xml:space="preserve">.</w:t>
      </w:r>
      <w:r>
        <w:t xml:space="preserve"> </w:t>
      </w:r>
      <w:hyperlink r:id="rId21">
        <w:r>
          <w:rPr>
            <w:rStyle w:val="Hyperlink"/>
          </w:rPr>
          <w:t xml:space="preserve">[1]</w:t>
        </w:r>
      </w:hyperlink>
    </w:p>
    <w:p>
      <w:pPr>
        <w:pStyle w:val="BodyText"/>
      </w:pPr>
      <w:r>
        <w:t xml:space="preserve">The paper analyses longitudinal operational networks linked to ISIS (Islamic State)</w:t>
      </w:r>
      <w:hyperlink r:id="rId22">
        <w:r>
          <w:rPr>
            <w:rStyle w:val="Hyperlink"/>
          </w:rPr>
          <w:t xml:space="preserve">[16]</w:t>
        </w:r>
      </w:hyperlink>
      <w:r>
        <w:t xml:space="preserve"> </w:t>
      </w:r>
      <w:r>
        <w:t xml:space="preserve">(online support on VKontakte</w:t>
      </w:r>
      <w:hyperlink r:id="rId30">
        <w:r>
          <w:rPr>
            <w:rStyle w:val="Hyperlink"/>
          </w:rPr>
          <w:t xml:space="preserve">[17]</w:t>
        </w:r>
      </w:hyperlink>
      <w:r>
        <w:t xml:space="preserve">) and the Provisional Irish Republican Army</w:t>
      </w:r>
      <w:hyperlink r:id="rId25">
        <w:r>
          <w:rPr>
            <w:rStyle w:val="Hyperlink"/>
          </w:rPr>
          <w:t xml:space="preserve">[18]</w:t>
        </w:r>
      </w:hyperlink>
      <w:r>
        <w:t xml:space="preserve"> </w:t>
      </w:r>
      <w:r>
        <w:t xml:space="preserve">(offline collaboration on attacks).</w:t>
      </w:r>
      <w:r>
        <w:t xml:space="preserve"> </w:t>
      </w:r>
      <w:hyperlink r:id="rId21">
        <w:r>
          <w:rPr>
            <w:rStyle w:val="Hyperlink"/>
          </w:rPr>
          <w:t xml:space="preserve">[19]</w:t>
        </w:r>
      </w:hyperlink>
    </w:p>
    <w:bookmarkStart w:id="34" w:name="researchgate-first-inventory"/>
    <w:p>
      <w:pPr>
        <w:pStyle w:val="Heading3"/>
      </w:pPr>
      <w:r>
        <w:t xml:space="preserve">ResearchGate-first inventory</w:t>
      </w:r>
    </w:p>
    <w:p>
      <w:pPr>
        <w:pStyle w:val="FirstParagraph"/>
      </w:pPr>
      <w:r>
        <w:t xml:space="preserve">Per your instruction, research began with ResearchGate</w:t>
      </w:r>
      <w:hyperlink r:id="rId21">
        <w:r>
          <w:rPr>
            <w:rStyle w:val="Hyperlink"/>
          </w:rPr>
          <w:t xml:space="preserve">[20]</w:t>
        </w:r>
      </w:hyperlink>
      <w:r>
        <w:t xml:space="preserve"> </w:t>
      </w:r>
      <w:r>
        <w:t xml:space="preserve">and the plan below lists</w:t>
      </w:r>
      <w:r>
        <w:t xml:space="preserve"> </w:t>
      </w:r>
      <w:r>
        <w:rPr>
          <w:b/>
          <w:bCs/>
        </w:rPr>
        <w:t xml:space="preserve">all ResearchGate items consulted during triage</w:t>
      </w:r>
      <w:r>
        <w:t xml:space="preserve">, including the paper landing page, figure pages, and relevant author/profile pages (notably useful for quickly downloading the full text and accessing “figure-only” permalinks).</w:t>
      </w:r>
      <w:r>
        <w:t xml:space="preserve"> </w:t>
      </w:r>
      <w:hyperlink r:id="rId31">
        <w:r>
          <w:rPr>
            <w:rStyle w:val="Hyperlink"/>
          </w:rPr>
          <w:t xml:space="preserve">[21]</w:t>
        </w:r>
      </w:hyperlink>
    </w:p>
    <w:p>
      <w:pPr>
        <w:pStyle w:val="BodyText"/>
      </w:pPr>
      <w:r>
        <w:rPr>
          <w:b/>
          <w:bCs/>
        </w:rPr>
        <w:t xml:space="preserve">ResearchGate sources (all):</w:t>
      </w:r>
      <w:r>
        <w:t xml:space="preserve"> </w:t>
      </w:r>
      <w:r>
        <w:t xml:space="preserve">- ResearchGate publication page (full text access):</w:t>
      </w:r>
      <w:r>
        <w:t xml:space="preserve"> </w:t>
      </w:r>
      <w:hyperlink r:id="rId31">
        <w:r>
          <w:rPr>
            <w:rStyle w:val="Hyperlink"/>
          </w:rPr>
          <w:t xml:space="preserve">[22]</w:t>
        </w:r>
      </w:hyperlink>
      <w:r>
        <w:br/>
      </w:r>
      <w:r>
        <w:t xml:space="preserve">- Figure pages (used to anchor slide figure assets and captions): Fig. 1</w:t>
      </w:r>
      <w:r>
        <w:t xml:space="preserve"> </w:t>
      </w:r>
      <w:hyperlink r:id="rId29">
        <w:r>
          <w:rPr>
            <w:rStyle w:val="Hyperlink"/>
          </w:rPr>
          <w:t xml:space="preserve">[23]</w:t>
        </w:r>
      </w:hyperlink>
      <w:r>
        <w:t xml:space="preserve">; Fig. 2</w:t>
      </w:r>
      <w:r>
        <w:t xml:space="preserve"> </w:t>
      </w:r>
      <w:hyperlink r:id="rId30">
        <w:r>
          <w:rPr>
            <w:rStyle w:val="Hyperlink"/>
          </w:rPr>
          <w:t xml:space="preserve">[24]</w:t>
        </w:r>
      </w:hyperlink>
      <w:r>
        <w:t xml:space="preserve">; Fig. 3</w:t>
      </w:r>
      <w:r>
        <w:t xml:space="preserve"> </w:t>
      </w:r>
      <w:hyperlink r:id="rId32">
        <w:r>
          <w:rPr>
            <w:rStyle w:val="Hyperlink"/>
          </w:rPr>
          <w:t xml:space="preserve">[25]</w:t>
        </w:r>
      </w:hyperlink>
      <w:r>
        <w:br/>
      </w:r>
      <w:r>
        <w:t xml:space="preserve">- Author/profile pages and author-contribution hubs (used as cross-checks for attribution and for locating related work):</w:t>
      </w:r>
      <w:r>
        <w:t xml:space="preserve"> </w:t>
      </w:r>
      <w:hyperlink r:id="rId33">
        <w:r>
          <w:rPr>
            <w:rStyle w:val="Hyperlink"/>
          </w:rPr>
          <w:t xml:space="preserve">[26]</w:t>
        </w:r>
      </w:hyperlink>
      <w:r>
        <w:br/>
      </w:r>
      <w:r>
        <w:t xml:space="preserve">- ResearchGate records surfaced during triage that are</w:t>
      </w:r>
      <w:r>
        <w:t xml:space="preserve"> </w:t>
      </w:r>
      <w:r>
        <w:rPr>
          <w:i/>
          <w:iCs/>
        </w:rPr>
        <w:t xml:space="preserve">not essential to the final slide content</w:t>
      </w:r>
      <w:r>
        <w:t xml:space="preserve"> </w:t>
      </w:r>
      <w:r>
        <w:t xml:space="preserve">but were reviewed because they appeared in the ResearchGate search pass (kept here for completeness, as requested):</w:t>
      </w:r>
      <w:r>
        <w:t xml:space="preserve"> </w:t>
      </w:r>
      <w:hyperlink r:id="rId26">
        <w:r>
          <w:rPr>
            <w:rStyle w:val="Hyperlink"/>
          </w:rPr>
          <w:t xml:space="preserve">[27]</w:t>
        </w:r>
      </w:hyperlink>
    </w:p>
    <w:bookmarkEnd w:id="34"/>
    <w:bookmarkStart w:id="37" w:name="Xec716003bb77ee58d88605914938d3e0cf56d17"/>
    <w:p>
      <w:pPr>
        <w:pStyle w:val="Heading3"/>
      </w:pPr>
      <w:r>
        <w:t xml:space="preserve">Primary/official sources used after ResearchGate</w:t>
      </w:r>
    </w:p>
    <w:p>
      <w:pPr>
        <w:pStyle w:val="Compact"/>
        <w:numPr>
          <w:ilvl w:val="0"/>
          <w:numId w:val="1001"/>
        </w:numPr>
      </w:pPr>
      <w:r>
        <w:t xml:space="preserve">Open-access hosted copy of the paper (publisher-format PDF) via UCL Discovery; used as the</w:t>
      </w:r>
      <w:r>
        <w:t xml:space="preserve"> </w:t>
      </w:r>
      <w:r>
        <w:rPr>
          <w:b/>
          <w:bCs/>
        </w:rPr>
        <w:t xml:space="preserve">authoritative “paper text + figures”</w:t>
      </w:r>
      <w:r>
        <w:t xml:space="preserve"> </w:t>
      </w:r>
      <w:r>
        <w:t xml:space="preserve">reference for slide extraction.</w:t>
      </w:r>
      <w:r>
        <w:t xml:space="preserve"> </w:t>
      </w:r>
      <w:hyperlink r:id="rId35">
        <w:r>
          <w:rPr>
            <w:rStyle w:val="Hyperlink"/>
          </w:rPr>
          <w:t xml:space="preserve">[28]</w:t>
        </w:r>
      </w:hyperlink>
    </w:p>
    <w:p>
      <w:pPr>
        <w:pStyle w:val="Compact"/>
        <w:numPr>
          <w:ilvl w:val="0"/>
          <w:numId w:val="1001"/>
        </w:numPr>
      </w:pPr>
      <w:r>
        <w:t xml:space="preserve">Metadata cross-checks via PubMed and Google Scholar listings for the article.</w:t>
      </w:r>
      <w:r>
        <w:t xml:space="preserve"> </w:t>
      </w:r>
      <w:hyperlink r:id="rId25">
        <w:r>
          <w:rPr>
            <w:rStyle w:val="Hyperlink"/>
          </w:rPr>
          <w:t xml:space="preserve">[29]</w:t>
        </w:r>
      </w:hyperlink>
    </w:p>
    <w:p>
      <w:pPr>
        <w:pStyle w:val="Compact"/>
        <w:numPr>
          <w:ilvl w:val="0"/>
          <w:numId w:val="1001"/>
        </w:numPr>
      </w:pPr>
      <w:r>
        <w:t xml:space="preserve">Institutional/news write-ups used sparingly (contextual framing only, not as evidence for the paper’s results):</w:t>
      </w:r>
      <w:r>
        <w:t xml:space="preserve"> </w:t>
      </w:r>
      <w:hyperlink r:id="rId36">
        <w:r>
          <w:rPr>
            <w:rStyle w:val="Hyperlink"/>
          </w:rPr>
          <w:t xml:space="preserve">[30]</w:t>
        </w:r>
      </w:hyperlink>
    </w:p>
    <w:p>
      <w:pPr>
        <w:pStyle w:val="Compact"/>
        <w:numPr>
          <w:ilvl w:val="0"/>
          <w:numId w:val="1001"/>
        </w:numPr>
      </w:pPr>
      <w:r>
        <w:t xml:space="preserve">Foundational network-centrality references for definitions and intuition:</w:t>
      </w:r>
    </w:p>
    <w:p>
      <w:pPr>
        <w:pStyle w:val="Compact"/>
        <w:numPr>
          <w:ilvl w:val="0"/>
          <w:numId w:val="1001"/>
        </w:numPr>
      </w:pPr>
      <w:r>
        <w:t xml:space="preserve">Linton C. Freeman</w:t>
      </w:r>
      <w:hyperlink r:id="rId26">
        <w:r>
          <w:rPr>
            <w:rStyle w:val="Hyperlink"/>
          </w:rPr>
          <w:t xml:space="preserve">[31]</w:t>
        </w:r>
      </w:hyperlink>
      <w:r>
        <w:t xml:space="preserve"> </w:t>
      </w:r>
      <w:r>
        <w:t xml:space="preserve">(betweenness-based centrality foundations).</w:t>
      </w:r>
      <w:r>
        <w:t xml:space="preserve"> </w:t>
      </w:r>
      <w:hyperlink r:id="rId28">
        <w:r>
          <w:rPr>
            <w:rStyle w:val="Hyperlink"/>
          </w:rPr>
          <w:t xml:space="preserve">[32]</w:t>
        </w:r>
      </w:hyperlink>
    </w:p>
    <w:p>
      <w:pPr>
        <w:pStyle w:val="Compact"/>
        <w:numPr>
          <w:ilvl w:val="0"/>
          <w:numId w:val="1001"/>
        </w:numPr>
      </w:pPr>
      <w:r>
        <w:t xml:space="preserve">Open textbook chapter for degree/betweenness intuition and “big three” context (used to support pedagogical recaps).</w:t>
      </w:r>
      <w:r>
        <w:t xml:space="preserve"> </w:t>
      </w:r>
      <w:hyperlink r:id="rId24">
        <w:r>
          <w:rPr>
            <w:rStyle w:val="Hyperlink"/>
          </w:rPr>
          <w:t xml:space="preserve">[33]</w:t>
        </w:r>
      </w:hyperlink>
    </w:p>
    <w:bookmarkEnd w:id="37"/>
    <w:bookmarkStart w:id="42" w:name="presentationbeamer-technique-sources"/>
    <w:p>
      <w:pPr>
        <w:pStyle w:val="Heading3"/>
      </w:pPr>
      <w:r>
        <w:t xml:space="preserve">Presentation/Beamer technique sources</w:t>
      </w:r>
    </w:p>
    <w:p>
      <w:pPr>
        <w:pStyle w:val="Compact"/>
        <w:numPr>
          <w:ilvl w:val="0"/>
          <w:numId w:val="1002"/>
        </w:numPr>
      </w:pPr>
      <w:r>
        <w:t xml:space="preserve">Official Beamer user guide (font sizing, aspect ratio options, notes).</w:t>
      </w:r>
      <w:r>
        <w:t xml:space="preserve"> </w:t>
      </w:r>
      <w:hyperlink r:id="rId22">
        <w:r>
          <w:rPr>
            <w:rStyle w:val="Hyperlink"/>
          </w:rPr>
          <w:t xml:space="preserve">[34]</w:t>
        </w:r>
      </w:hyperlink>
    </w:p>
    <w:p>
      <w:pPr>
        <w:pStyle w:val="Compact"/>
        <w:numPr>
          <w:ilvl w:val="0"/>
          <w:numId w:val="1002"/>
        </w:numPr>
      </w:pPr>
      <w:r>
        <w:t xml:space="preserve">Beamer notes handouts package reference (optional, for printable handouts-with-notes).</w:t>
      </w:r>
      <w:r>
        <w:t xml:space="preserve"> </w:t>
      </w:r>
      <w:hyperlink r:id="rId38">
        <w:r>
          <w:rPr>
            <w:rStyle w:val="Hyperlink"/>
          </w:rPr>
          <w:t xml:space="preserve">[35]</w:t>
        </w:r>
      </w:hyperlink>
    </w:p>
    <w:p>
      <w:pPr>
        <w:pStyle w:val="Compact"/>
        <w:numPr>
          <w:ilvl w:val="0"/>
          <w:numId w:val="1002"/>
        </w:numPr>
      </w:pPr>
      <w:r>
        <w:t xml:space="preserve">Slide-design and pacing sources used to justify timing and density constraints:</w:t>
      </w:r>
    </w:p>
    <w:p>
      <w:pPr>
        <w:pStyle w:val="Compact"/>
        <w:numPr>
          <w:ilvl w:val="0"/>
          <w:numId w:val="1002"/>
        </w:numPr>
      </w:pPr>
      <w:r>
        <w:t xml:space="preserve">Kristen M. Naegle</w:t>
      </w:r>
      <w:hyperlink r:id="rId24">
        <w:r>
          <w:rPr>
            <w:rStyle w:val="Hyperlink"/>
          </w:rPr>
          <w:t xml:space="preserve">[36]</w:t>
        </w:r>
      </w:hyperlink>
      <w:r>
        <w:t xml:space="preserve"> </w:t>
      </w:r>
      <w:r>
        <w:t xml:space="preserve">(rule-of-thumb about ~1 minute/slide; one-idea-per-slide).</w:t>
      </w:r>
      <w:r>
        <w:t xml:space="preserve"> </w:t>
      </w:r>
      <w:hyperlink r:id="rId27">
        <w:r>
          <w:rPr>
            <w:rStyle w:val="Hyperlink"/>
          </w:rPr>
          <w:t xml:space="preserve">[37]</w:t>
        </w:r>
      </w:hyperlink>
    </w:p>
    <w:p>
      <w:pPr>
        <w:pStyle w:val="Compact"/>
        <w:numPr>
          <w:ilvl w:val="0"/>
          <w:numId w:val="1002"/>
        </w:numPr>
      </w:pPr>
      <w:r>
        <w:t xml:space="preserve">Christopher J. Lortie</w:t>
      </w:r>
      <w:hyperlink r:id="rId21">
        <w:r>
          <w:rPr>
            <w:rStyle w:val="Hyperlink"/>
          </w:rPr>
          <w:t xml:space="preserve">[38]</w:t>
        </w:r>
      </w:hyperlink>
      <w:r>
        <w:t xml:space="preserve"> </w:t>
      </w:r>
      <w:r>
        <w:t xml:space="preserve">(one-major-point-per-slide framing).</w:t>
      </w:r>
      <w:r>
        <w:t xml:space="preserve"> </w:t>
      </w:r>
      <w:hyperlink r:id="rId39">
        <w:r>
          <w:rPr>
            <w:rStyle w:val="Hyperlink"/>
          </w:rPr>
          <w:t xml:space="preserve">[39]</w:t>
        </w:r>
      </w:hyperlink>
    </w:p>
    <w:p>
      <w:pPr>
        <w:pStyle w:val="Compact"/>
        <w:numPr>
          <w:ilvl w:val="0"/>
          <w:numId w:val="1002"/>
        </w:numPr>
      </w:pPr>
      <w:r>
        <w:t xml:space="preserve">Paul N. Edwards</w:t>
      </w:r>
      <w:hyperlink r:id="rId21">
        <w:r>
          <w:rPr>
            <w:rStyle w:val="Hyperlink"/>
          </w:rPr>
          <w:t xml:space="preserve">[40]</w:t>
        </w:r>
      </w:hyperlink>
      <w:r>
        <w:t xml:space="preserve"> </w:t>
      </w:r>
      <w:r>
        <w:t xml:space="preserve">(outline-first, don’t read slides, speaker pacing).</w:t>
      </w:r>
      <w:r>
        <w:t xml:space="preserve"> </w:t>
      </w:r>
      <w:hyperlink r:id="rId40">
        <w:r>
          <w:rPr>
            <w:rStyle w:val="Hyperlink"/>
          </w:rPr>
          <w:t xml:space="preserve">[41]</w:t>
        </w:r>
      </w:hyperlink>
    </w:p>
    <w:p>
      <w:pPr>
        <w:pStyle w:val="Compact"/>
        <w:numPr>
          <w:ilvl w:val="0"/>
          <w:numId w:val="1002"/>
        </w:numPr>
      </w:pPr>
      <w:r>
        <w:t xml:space="preserve">Jason Eisner</w:t>
      </w:r>
      <w:hyperlink r:id="rId40">
        <w:r>
          <w:rPr>
            <w:rStyle w:val="Hyperlink"/>
          </w:rPr>
          <w:t xml:space="preserve">[42]</w:t>
        </w:r>
      </w:hyperlink>
      <w:r>
        <w:t xml:space="preserve"> </w:t>
      </w:r>
      <w:r>
        <w:t xml:space="preserve">(practical slide timing heuristics; “audience needs time to decode”).</w:t>
      </w:r>
      <w:r>
        <w:t xml:space="preserve"> </w:t>
      </w:r>
      <w:hyperlink r:id="rId41">
        <w:r>
          <w:rPr>
            <w:rStyle w:val="Hyperlink"/>
          </w:rPr>
          <w:t xml:space="preserve">[43]</w:t>
        </w:r>
      </w:hyperlink>
    </w:p>
    <w:bookmarkEnd w:id="42"/>
    <w:bookmarkEnd w:id="43"/>
    <w:bookmarkStart w:id="46" w:name="global-design-system-for-the-beamer-deck"/>
    <w:p>
      <w:pPr>
        <w:pStyle w:val="Heading2"/>
      </w:pPr>
      <w:r>
        <w:t xml:space="preserve">Global design system for the Beamer deck</w:t>
      </w:r>
    </w:p>
    <w:bookmarkStart w:id="44" w:name="Xf26a5d60d12c235b2b28c53b89ad61e6912fce1"/>
    <w:p>
      <w:pPr>
        <w:pStyle w:val="Heading3"/>
      </w:pPr>
      <w:r>
        <w:t xml:space="preserve">Non-negotiable content constraints derived from the paper</w:t>
      </w:r>
    </w:p>
    <w:p>
      <w:pPr>
        <w:pStyle w:val="FirstParagraph"/>
      </w:pPr>
      <w:r>
        <w:t xml:space="preserve">The paper’s results rely primarily on</w:t>
      </w:r>
      <w:r>
        <w:t xml:space="preserve"> </w:t>
      </w:r>
      <w:r>
        <w:rPr>
          <w:b/>
          <w:bCs/>
        </w:rPr>
        <w:t xml:space="preserve">(i)</w:t>
      </w:r>
      <w:r>
        <w:t xml:space="preserve"> </w:t>
      </w:r>
      <w:r>
        <w:t xml:space="preserve">a daily-resolved online network built by co-membership in pro-ISIS group pages on VKontakte, and</w:t>
      </w:r>
      <w:r>
        <w:t xml:space="preserve"> </w:t>
      </w:r>
      <w:r>
        <w:rPr>
          <w:b/>
          <w:bCs/>
        </w:rPr>
        <w:t xml:space="preserve">(ii)</w:t>
      </w:r>
      <w:r>
        <w:t xml:space="preserve"> </w:t>
      </w:r>
      <w:r>
        <w:t xml:space="preserve">a yearly offline collaboration network derived from PIRA IED events and attacks; central claims are expressed through Fig. 1–3 and two centrality measures (betweenness and degree), plus a gender-shuffling null model.</w:t>
      </w:r>
      <w:r>
        <w:t xml:space="preserve"> </w:t>
      </w:r>
      <w:hyperlink r:id="rId21">
        <w:r>
          <w:rPr>
            <w:rStyle w:val="Hyperlink"/>
          </w:rPr>
          <w:t xml:space="preserve">[44]</w:t>
        </w:r>
      </w:hyperlink>
    </w:p>
    <w:p>
      <w:pPr>
        <w:pStyle w:val="BodyText"/>
      </w:pPr>
      <w:r>
        <w:t xml:space="preserve">Accordingly, the deck is engineered so that:</w:t>
      </w:r>
      <w:r>
        <w:t xml:space="preserve"> </w:t>
      </w:r>
      <w:r>
        <w:t xml:space="preserve">- Fig. 1–3 are</w:t>
      </w:r>
      <w:r>
        <w:t xml:space="preserve"> </w:t>
      </w:r>
      <w:r>
        <w:rPr>
          <w:b/>
          <w:bCs/>
        </w:rPr>
        <w:t xml:space="preserve">the main visual anchors</w:t>
      </w:r>
      <w:r>
        <w:t xml:space="preserve"> </w:t>
      </w:r>
      <w:r>
        <w:t xml:space="preserve">(not decorative).</w:t>
      </w:r>
      <w:r>
        <w:t xml:space="preserve"> </w:t>
      </w:r>
      <w:hyperlink r:id="rId21">
        <w:r>
          <w:rPr>
            <w:rStyle w:val="Hyperlink"/>
          </w:rPr>
          <w:t xml:space="preserve">[45]</w:t>
        </w:r>
      </w:hyperlink>
      <w:r>
        <w:br/>
      </w:r>
      <w:r>
        <w:t xml:space="preserve">- Definitions shown on slides match the paper’s equations for betweenness centrality and its normalisation.</w:t>
      </w:r>
      <w:r>
        <w:t xml:space="preserve"> </w:t>
      </w:r>
      <w:hyperlink r:id="rId21">
        <w:r>
          <w:rPr>
            <w:rStyle w:val="Hyperlink"/>
          </w:rPr>
          <w:t xml:space="preserve">[46]</w:t>
        </w:r>
      </w:hyperlink>
      <w:r>
        <w:br/>
      </w:r>
      <w:r>
        <w:t xml:space="preserve">- Any “context” slides are short and serve only to help the audience interpret the paper’s methods/results (consistent with cutting a finished paper into a talk outline).</w:t>
      </w:r>
      <w:r>
        <w:t xml:space="preserve"> </w:t>
      </w:r>
      <w:hyperlink r:id="rId40">
        <w:r>
          <w:rPr>
            <w:rStyle w:val="Hyperlink"/>
          </w:rPr>
          <w:t xml:space="preserve">[41]</w:t>
        </w:r>
      </w:hyperlink>
    </w:p>
    <w:bookmarkEnd w:id="44"/>
    <w:bookmarkStart w:id="45" w:name="beamer-engineering-choices"/>
    <w:p>
      <w:pPr>
        <w:pStyle w:val="Heading3"/>
      </w:pPr>
      <w:r>
        <w:t xml:space="preserve">Beamer engineering choices</w:t>
      </w:r>
    </w:p>
    <w:p>
      <w:pPr>
        <w:pStyle w:val="FirstParagraph"/>
      </w:pPr>
      <w:r>
        <w:rPr>
          <w:b/>
          <w:bCs/>
        </w:rPr>
        <w:t xml:space="preserve">Aspect ratio:</w:t>
      </w:r>
      <w:r>
        <w:t xml:space="preserve"> </w:t>
      </w:r>
      <w:r>
        <w:t xml:space="preserve">16:9 via</w:t>
      </w:r>
      <w:r>
        <w:t xml:space="preserve"> </w:t>
      </w:r>
      <w:r>
        <w:rPr>
          <w:rStyle w:val="VerbatimChar"/>
        </w:rPr>
        <w:t xml:space="preserve">aspectratio=169</w:t>
      </w:r>
      <w:r>
        <w:t xml:space="preserve">, because modern projectors and screen sharing commonly use widescreen; Beamer supports explicit aspect-ratio class options.</w:t>
      </w:r>
      <w:r>
        <w:t xml:space="preserve"> </w:t>
      </w:r>
      <w:hyperlink r:id="rId22">
        <w:r>
          <w:rPr>
            <w:rStyle w:val="Hyperlink"/>
          </w:rPr>
          <w:t xml:space="preserve">[47]</w:t>
        </w:r>
      </w:hyperlink>
    </w:p>
    <w:p>
      <w:pPr>
        <w:pStyle w:val="BodyText"/>
      </w:pPr>
      <w:r>
        <w:rPr>
          <w:b/>
          <w:bCs/>
        </w:rPr>
        <w:t xml:space="preserve">Font size policy:</w:t>
      </w:r>
      <w:r>
        <w:t xml:space="preserve"> </w:t>
      </w:r>
      <w:r>
        <w:t xml:space="preserve">keep the Beamer base font at 11pt (default) and set explicit larger sizes for title/frametitles to ensure readability; Beamer documents how font-size options map to slide density and readability.</w:t>
      </w:r>
      <w:r>
        <w:t xml:space="preserve"> </w:t>
      </w:r>
      <w:hyperlink r:id="rId22">
        <w:r>
          <w:rPr>
            <w:rStyle w:val="Hyperlink"/>
          </w:rPr>
          <w:t xml:space="preserve">[48]</w:t>
        </w:r>
      </w:hyperlink>
    </w:p>
    <w:p>
      <w:pPr>
        <w:pStyle w:val="BodyText"/>
      </w:pPr>
      <w:r>
        <w:rPr>
          <w:b/>
          <w:bCs/>
        </w:rPr>
        <w:t xml:space="preserve">Speaker notes:</w:t>
      </w:r>
      <w:r>
        <w:t xml:space="preserve"> </w:t>
      </w:r>
      <w:r>
        <w:t xml:space="preserve">use Beamer’s</w:t>
      </w:r>
      <w:r>
        <w:t xml:space="preserve"> </w:t>
      </w:r>
      <w:r>
        <w:rPr>
          <w:rStyle w:val="VerbatimChar"/>
        </w:rPr>
        <w:t xml:space="preserve">\note{...}</w:t>
      </w:r>
      <w:r>
        <w:t xml:space="preserve"> </w:t>
      </w:r>
      <w:r>
        <w:t xml:space="preserve">plus</w:t>
      </w:r>
      <w:r>
        <w:t xml:space="preserve"> </w:t>
      </w:r>
      <w:r>
        <w:rPr>
          <w:rStyle w:val="VerbatimChar"/>
        </w:rPr>
        <w:t xml:space="preserve">pgfpages</w:t>
      </w:r>
      <w:r>
        <w:t xml:space="preserve"> </w:t>
      </w:r>
      <w:r>
        <w:t xml:space="preserve">and</w:t>
      </w:r>
      <w:r>
        <w:t xml:space="preserve"> </w:t>
      </w:r>
      <w:r>
        <w:rPr>
          <w:rStyle w:val="VerbatimChar"/>
        </w:rPr>
        <w:t xml:space="preserve">show notes on second screen=right</w:t>
      </w:r>
      <w:r>
        <w:t xml:space="preserve">, which is explicitly supported in the Beamer manual.</w:t>
      </w:r>
      <w:r>
        <w:t xml:space="preserve"> </w:t>
      </w:r>
      <w:hyperlink r:id="rId22">
        <w:r>
          <w:rPr>
            <w:rStyle w:val="Hyperlink"/>
          </w:rPr>
          <w:t xml:space="preserve">[49]</w:t>
        </w:r>
      </w:hyperlink>
    </w:p>
    <w:p>
      <w:pPr>
        <w:pStyle w:val="BodyText"/>
      </w:pPr>
      <w:r>
        <w:rPr>
          <w:b/>
          <w:bCs/>
        </w:rPr>
        <w:t xml:space="preserve">Slide density and timing:</w:t>
      </w:r>
      <w:r>
        <w:t xml:space="preserve"> </w:t>
      </w:r>
      <w:r>
        <w:t xml:space="preserve">target “one major idea per slide,” with average ~1–2 minutes/slide, and reserve explicit Q&amp;A time; this matches peer-reviewed “Ten simple rules” guidance and standard talk-prep heuristics that emphasise decoding time for visuals.</w:t>
      </w:r>
      <w:r>
        <w:t xml:space="preserve"> </w:t>
      </w:r>
      <w:hyperlink r:id="rId27">
        <w:r>
          <w:rPr>
            <w:rStyle w:val="Hyperlink"/>
          </w:rPr>
          <w:t xml:space="preserve">[50]</w:t>
        </w:r>
      </w:hyperlink>
    </w:p>
    <w:bookmarkEnd w:id="45"/>
    <w:bookmarkEnd w:id="46"/>
    <w:bookmarkStart w:id="48" w:name="X6388e83abe2dee68619a1909aafa9c5e8770442"/>
    <w:p>
      <w:pPr>
        <w:pStyle w:val="Heading2"/>
      </w:pPr>
      <w:r>
        <w:t xml:space="preserve">Timing models and alternative slide-count tables</w:t>
      </w:r>
    </w:p>
    <w:p>
      <w:pPr>
        <w:pStyle w:val="FirstParagraph"/>
      </w:pPr>
      <w:r>
        <w:t xml:space="preserve">The plan below uses</w:t>
      </w:r>
      <w:r>
        <w:t xml:space="preserve"> </w:t>
      </w:r>
      <w:r>
        <w:rPr>
          <w:b/>
          <w:bCs/>
        </w:rPr>
        <w:t xml:space="preserve">23 core slides (including a Q&amp;A slide)</w:t>
      </w:r>
      <w:r>
        <w:t xml:space="preserve"> </w:t>
      </w:r>
      <w:r>
        <w:t xml:space="preserve">for a 45-minute slot, with</w:t>
      </w:r>
      <w:r>
        <w:t xml:space="preserve"> </w:t>
      </w:r>
      <w:r>
        <w:rPr>
          <w:b/>
          <w:bCs/>
        </w:rPr>
        <w:t xml:space="preserve">~7 minutes reserved for Q&amp;A</w:t>
      </w:r>
      <w:r>
        <w:t xml:space="preserve"> </w:t>
      </w:r>
      <w:r>
        <w:t xml:space="preserve">and the remainder for the talk proper; backup slides are available if Q&amp;A is short or if deeper technical context is requested. This matches the “budget time per slide / one idea per slide” guidance while leaving enough time to walk through graphs carefully.</w:t>
      </w:r>
      <w:r>
        <w:t xml:space="preserve"> </w:t>
      </w:r>
      <w:hyperlink r:id="rId27">
        <w:r>
          <w:rPr>
            <w:rStyle w:val="Hyperlink"/>
          </w:rPr>
          <w:t xml:space="preserve">[51]</w:t>
        </w:r>
      </w:hyperlink>
    </w:p>
    <w:bookmarkStart w:id="47" w:name="slide-counttiming-comparison-table"/>
    <w:p>
      <w:pPr>
        <w:pStyle w:val="Heading3"/>
      </w:pPr>
      <w:r>
        <w:t xml:space="preserve">Slide-count/timing comparison table</w:t>
      </w:r>
    </w:p>
    <w:p>
      <w:pPr>
        <w:pStyle w:val="FirstParagraph"/>
      </w:pPr>
      <w:r>
        <w:t xml:space="preserve">Pasteable LaTeX table (for your planning notes or a “meta” slide to yourself):</w:t>
      </w:r>
    </w:p>
    <w:p>
      <w:pPr>
        <w:pStyle w:val="SourceCode"/>
      </w:pPr>
      <w:r>
        <w:rPr>
          <w:rStyle w:val="VerbatimChar"/>
        </w:rPr>
        <w:t xml:space="preserve">\begin{table}</w:t>
      </w:r>
      <w:r>
        <w:br/>
      </w:r>
      <w:r>
        <w:rPr>
          <w:rStyle w:val="VerbatimChar"/>
        </w:rPr>
        <w:t xml:space="preserve">\centering</w:t>
      </w:r>
      <w:r>
        <w:br/>
      </w:r>
      <w:r>
        <w:rPr>
          <w:rStyle w:val="VerbatimChar"/>
        </w:rPr>
        <w:t xml:space="preserve">\small</w:t>
      </w:r>
      <w:r>
        <w:br/>
      </w:r>
      <w:r>
        <w:rPr>
          <w:rStyle w:val="VerbatimChar"/>
        </w:rPr>
        <w:t xml:space="preserve">\begin{tabular}{@{}lrrrr@{}}</w:t>
      </w:r>
      <w:r>
        <w:br/>
      </w:r>
      <w:r>
        <w:rPr>
          <w:rStyle w:val="VerbatimChar"/>
        </w:rPr>
        <w:t xml:space="preserve">\toprule</w:t>
      </w:r>
      <w:r>
        <w:br/>
      </w:r>
      <w:r>
        <w:rPr>
          <w:rStyle w:val="VerbatimChar"/>
        </w:rPr>
        <w:t xml:space="preserve">Option &amp; Core slides &amp; Backup slides &amp; Talk time &amp; Avg. min/core slide \\</w:t>
      </w:r>
      <w:r>
        <w:br/>
      </w:r>
      <w:r>
        <w:rPr>
          <w:rStyle w:val="VerbatimChar"/>
        </w:rPr>
        <w:t xml:space="preserve">\midrule</w:t>
      </w:r>
      <w:r>
        <w:br/>
      </w:r>
      <w:r>
        <w:rPr>
          <w:rStyle w:val="VerbatimChar"/>
        </w:rPr>
        <w:t xml:space="preserve">A (denser)     &amp; 20 &amp; 5 &amp; 38 + 7 Q\&amp;A = 45 &amp; 1.9 \\</w:t>
      </w:r>
      <w:r>
        <w:br/>
      </w:r>
      <w:r>
        <w:rPr>
          <w:rStyle w:val="VerbatimChar"/>
        </w:rPr>
        <w:t xml:space="preserve">B (balanced)   &amp; 23 &amp; 5 &amp; 38 + 7 Q\&amp;A = 45 &amp; 1.65 \\</w:t>
      </w:r>
      <w:r>
        <w:br/>
      </w:r>
      <w:r>
        <w:rPr>
          <w:rStyle w:val="VerbatimChar"/>
        </w:rPr>
        <w:t xml:space="preserve">C (more paced) &amp; 26 &amp; 5 &amp; 38 + 7 Q\&amp;A = 45 &amp; 1.46 \\</w:t>
      </w:r>
      <w:r>
        <w:br/>
      </w:r>
      <w:r>
        <w:rPr>
          <w:rStyle w:val="VerbatimChar"/>
        </w:rPr>
        <w:t xml:space="preserve">\bottomrule</w:t>
      </w:r>
      <w:r>
        <w:br/>
      </w:r>
      <w:r>
        <w:rPr>
          <w:rStyle w:val="VerbatimChar"/>
        </w:rPr>
        <w:t xml:space="preserve">\end{tabular}</w:t>
      </w:r>
      <w:r>
        <w:br/>
      </w:r>
      <w:r>
        <w:rPr>
          <w:rStyle w:val="VerbatimChar"/>
        </w:rPr>
        <w:t xml:space="preserve">\caption{Slide-count options for a 45-minute slot.}</w:t>
      </w:r>
      <w:r>
        <w:br/>
      </w:r>
      <w:r>
        <w:rPr>
          <w:rStyle w:val="VerbatimChar"/>
        </w:rPr>
        <w:t xml:space="preserve">\end{table}</w:t>
      </w:r>
    </w:p>
    <w:p>
      <w:pPr>
        <w:pStyle w:val="FirstParagraph"/>
      </w:pPr>
      <w:r>
        <w:t xml:space="preserve">The</w:t>
      </w:r>
      <w:r>
        <w:t xml:space="preserve"> </w:t>
      </w:r>
      <w:r>
        <w:rPr>
          <w:b/>
          <w:bCs/>
        </w:rPr>
        <w:t xml:space="preserve">balanced option (B)</w:t>
      </w:r>
      <w:r>
        <w:t xml:space="preserve"> </w:t>
      </w:r>
      <w:r>
        <w:t xml:space="preserve">is recommended because the paper contains several multi-panel figures (Fig. 1 and Fig. 2) that need slow, careful decoding (axes/legend/colour coding) and explicit verbal narrative; squeezing these into fewer slides risks overloading each slide.</w:t>
      </w:r>
      <w:r>
        <w:t xml:space="preserve"> </w:t>
      </w:r>
      <w:hyperlink r:id="rId21">
        <w:r>
          <w:rPr>
            <w:rStyle w:val="Hyperlink"/>
          </w:rPr>
          <w:t xml:space="preserve">[52]</w:t>
        </w:r>
      </w:hyperlink>
    </w:p>
    <w:bookmarkEnd w:id="47"/>
    <w:bookmarkEnd w:id="48"/>
    <w:bookmarkStart w:id="50" w:name="X362ca8daa3e0f202b91910d70e673d6b5a11e71"/>
    <w:p>
      <w:pPr>
        <w:pStyle w:val="Heading2"/>
      </w:pPr>
      <w:r>
        <w:t xml:space="preserve">Slide-by-slide plan and Beamer-ready code</w:t>
      </w:r>
    </w:p>
    <w:p>
      <w:pPr>
        <w:pStyle w:val="FirstParagraph"/>
      </w:pPr>
      <w:r>
        <w:rPr>
          <w:b/>
          <w:bCs/>
        </w:rPr>
        <w:t xml:space="preserve">How to use this block:</w:t>
      </w:r>
      <w:r>
        <w:t xml:space="preserve"> </w:t>
      </w:r>
      <w:r>
        <w:t xml:space="preserve">copy into</w:t>
      </w:r>
      <w:r>
        <w:t xml:space="preserve"> </w:t>
      </w:r>
      <w:r>
        <w:rPr>
          <w:rStyle w:val="VerbatimChar"/>
        </w:rPr>
        <w:t xml:space="preserve">main.tex</w:t>
      </w:r>
      <w:r>
        <w:t xml:space="preserve">, place figures into</w:t>
      </w:r>
      <w:r>
        <w:t xml:space="preserve"> </w:t>
      </w:r>
      <w:r>
        <w:rPr>
          <w:rStyle w:val="VerbatimChar"/>
        </w:rPr>
        <w:t xml:space="preserve">figures/</w:t>
      </w:r>
      <w:r>
        <w:t xml:space="preserve">, and compile. The plan assumes you will extract the paper’s Fig. 1–3 panels into separate files (see asset checklist). All slide text is drafted to stay close to the paper’s phrasing/claims (especially where interpretive nuance matters).</w:t>
      </w:r>
      <w:r>
        <w:t xml:space="preserve"> </w:t>
      </w:r>
      <w:hyperlink r:id="rId21">
        <w:r>
          <w:rPr>
            <w:rStyle w:val="Hyperlink"/>
          </w:rPr>
          <w:t xml:space="preserve">[53]</w:t>
        </w:r>
      </w:hyperlink>
    </w:p>
    <w:bookmarkStart w:id="49" w:name="main.tex-ready-to-paste"/>
    <w:p>
      <w:pPr>
        <w:pStyle w:val="Heading3"/>
      </w:pPr>
      <w:r>
        <w:rPr>
          <w:rStyle w:val="VerbatimChar"/>
        </w:rPr>
        <w:t xml:space="preserve">main.tex</w:t>
      </w:r>
      <w:r>
        <w:t xml:space="preserve"> </w:t>
      </w:r>
      <w:r>
        <w:t xml:space="preserve">(ready to paste)</w:t>
      </w:r>
    </w:p>
    <w:p>
      <w:pPr>
        <w:pStyle w:val="SourceCode"/>
      </w:pPr>
      <w:r>
        <w:rPr>
          <w:rStyle w:val="VerbatimChar"/>
        </w:rPr>
        <w:t xml:space="preserve">\documentclass[aspectratio=169,11pt]{beamer}</w:t>
      </w:r>
      <w:r>
        <w:br/>
      </w:r>
      <w:r>
        <w:br/>
      </w:r>
      <w:r>
        <w:rPr>
          <w:rStyle w:val="VerbatimChar"/>
        </w:rPr>
        <w:t xml:space="preserve">% =========================================================</w:t>
      </w:r>
      <w:r>
        <w:br/>
      </w:r>
      <w:r>
        <w:rPr>
          <w:rStyle w:val="VerbatimChar"/>
        </w:rPr>
        <w:t xml:space="preserve">% Packages (core)</w:t>
      </w:r>
      <w:r>
        <w:br/>
      </w:r>
      <w:r>
        <w:rPr>
          <w:rStyle w:val="VerbatimChar"/>
        </w:rPr>
        <w:t xml:space="preserve">% =========================================================</w:t>
      </w:r>
      <w:r>
        <w:br/>
      </w:r>
      <w:r>
        <w:rPr>
          <w:rStyle w:val="VerbatimChar"/>
        </w:rPr>
        <w:t xml:space="preserve">\usepackage[T1]{fontenc}</w:t>
      </w:r>
      <w:r>
        <w:br/>
      </w:r>
      <w:r>
        <w:rPr>
          <w:rStyle w:val="VerbatimChar"/>
        </w:rPr>
        <w:t xml:space="preserve">\usepackage{lmodern}</w:t>
      </w:r>
      <w:r>
        <w:br/>
      </w:r>
      <w:r>
        <w:rPr>
          <w:rStyle w:val="VerbatimChar"/>
        </w:rPr>
        <w:t xml:space="preserve">\usepackage{amsmath,amssymb,mathtools}</w:t>
      </w:r>
      <w:r>
        <w:br/>
      </w:r>
      <w:r>
        <w:rPr>
          <w:rStyle w:val="VerbatimChar"/>
        </w:rPr>
        <w:t xml:space="preserve">\usepackage{graphicx}</w:t>
      </w:r>
      <w:r>
        <w:br/>
      </w:r>
      <w:r>
        <w:rPr>
          <w:rStyle w:val="VerbatimChar"/>
        </w:rPr>
        <w:t xml:space="preserve">\usepackage{booktabs}</w:t>
      </w:r>
      <w:r>
        <w:br/>
      </w:r>
      <w:r>
        <w:rPr>
          <w:rStyle w:val="VerbatimChar"/>
        </w:rPr>
        <w:t xml:space="preserve">\usepackage{siunitx}</w:t>
      </w:r>
      <w:r>
        <w:br/>
      </w:r>
      <w:r>
        <w:rPr>
          <w:rStyle w:val="VerbatimChar"/>
        </w:rPr>
        <w:t xml:space="preserve">\usepackage{xcolor}</w:t>
      </w:r>
      <w:r>
        <w:br/>
      </w:r>
      <w:r>
        <w:rPr>
          <w:rStyle w:val="VerbatimChar"/>
        </w:rPr>
        <w:t xml:space="preserve">\usepackage{tikz}</w:t>
      </w:r>
      <w:r>
        <w:br/>
      </w:r>
      <w:r>
        <w:rPr>
          <w:rStyle w:val="VerbatimChar"/>
        </w:rPr>
        <w:t xml:space="preserve">\usetikzlibrary{arrows.meta,positioning,shapes.geometric,calc,fit}</w:t>
      </w:r>
      <w:r>
        <w:br/>
      </w:r>
      <w:r>
        <w:rPr>
          <w:rStyle w:val="VerbatimChar"/>
        </w:rPr>
        <w:t xml:space="preserve">\usepackage{pgfplots}</w:t>
      </w:r>
      <w:r>
        <w:br/>
      </w:r>
      <w:r>
        <w:rPr>
          <w:rStyle w:val="VerbatimChar"/>
        </w:rPr>
        <w:t xml:space="preserve">\pgfplotsset{compat=1.18}</w:t>
      </w:r>
      <w:r>
        <w:br/>
      </w:r>
      <w:r>
        <w:rPr>
          <w:rStyle w:val="VerbatimChar"/>
        </w:rPr>
        <w:t xml:space="preserve">\usepackage{csquotes}</w:t>
      </w:r>
      <w:r>
        <w:br/>
      </w:r>
      <w:r>
        <w:br/>
      </w:r>
      <w:r>
        <w:rPr>
          <w:rStyle w:val="VerbatimChar"/>
        </w:rPr>
        <w:t xml:space="preserve">% References (optional but recommended)</w:t>
      </w:r>
      <w:r>
        <w:br/>
      </w:r>
      <w:r>
        <w:rPr>
          <w:rStyle w:val="VerbatimChar"/>
        </w:rPr>
        <w:t xml:space="preserve">\usepackage[backend=biber,style=authoryear,maxbibnames=99]{biblatex}</w:t>
      </w:r>
      <w:r>
        <w:br/>
      </w:r>
      <w:r>
        <w:rPr>
          <w:rStyle w:val="VerbatimChar"/>
        </w:rPr>
        <w:t xml:space="preserve">\addbibresource{refs.bib}</w:t>
      </w:r>
      <w:r>
        <w:br/>
      </w:r>
      <w:r>
        <w:br/>
      </w:r>
      <w:r>
        <w:rPr>
          <w:rStyle w:val="VerbatimChar"/>
        </w:rPr>
        <w:t xml:space="preserve">% Speaker notes</w:t>
      </w:r>
      <w:r>
        <w:br/>
      </w:r>
      <w:r>
        <w:rPr>
          <w:rStyle w:val="VerbatimChar"/>
        </w:rPr>
        <w:t xml:space="preserve">\usepackage{pgfpages}</w:t>
      </w:r>
      <w:r>
        <w:br/>
      </w:r>
      <w:r>
        <w:rPr>
          <w:rStyle w:val="VerbatimChar"/>
        </w:rPr>
        <w:t xml:space="preserve">\setbeameroption{show notes on second screen=right}</w:t>
      </w:r>
      <w:r>
        <w:br/>
      </w:r>
      <w:r>
        <w:br/>
      </w:r>
      <w:r>
        <w:rPr>
          <w:rStyle w:val="VerbatimChar"/>
        </w:rPr>
        <w:t xml:space="preserve">% =========================================================</w:t>
      </w:r>
      <w:r>
        <w:br/>
      </w:r>
      <w:r>
        <w:rPr>
          <w:rStyle w:val="VerbatimChar"/>
        </w:rPr>
        <w:t xml:space="preserve">% Design system (colours, fonts, footline)</w:t>
      </w:r>
      <w:r>
        <w:br/>
      </w:r>
      <w:r>
        <w:rPr>
          <w:rStyle w:val="VerbatimChar"/>
        </w:rPr>
        <w:t xml:space="preserve">% =========================================================</w:t>
      </w:r>
      <w:r>
        <w:br/>
      </w:r>
      <w:r>
        <w:rPr>
          <w:rStyle w:val="VerbatimChar"/>
        </w:rPr>
        <w:t xml:space="preserve">\definecolor{AccentBlue}{RGB}{0,68,136}</w:t>
      </w:r>
      <w:r>
        <w:br/>
      </w:r>
      <w:r>
        <w:rPr>
          <w:rStyle w:val="VerbatimChar"/>
        </w:rPr>
        <w:t xml:space="preserve">\definecolor{AccentRed}{RGB}{176,0,32}</w:t>
      </w:r>
      <w:r>
        <w:br/>
      </w:r>
      <w:r>
        <w:rPr>
          <w:rStyle w:val="VerbatimChar"/>
        </w:rPr>
        <w:t xml:space="preserve">\definecolor{AccentGrey}{RGB}{60,60,60}</w:t>
      </w:r>
      <w:r>
        <w:br/>
      </w:r>
      <w:r>
        <w:rPr>
          <w:rStyle w:val="VerbatimChar"/>
        </w:rPr>
        <w:t xml:space="preserve">\definecolor{BgGrey}{RGB}{248,248,248}</w:t>
      </w:r>
      <w:r>
        <w:br/>
      </w:r>
      <w:r>
        <w:br/>
      </w:r>
      <w:r>
        <w:rPr>
          <w:rStyle w:val="VerbatimChar"/>
        </w:rPr>
        <w:t xml:space="preserve">\setbeamercolor{title}{fg=AccentBlue}</w:t>
      </w:r>
      <w:r>
        <w:br/>
      </w:r>
      <w:r>
        <w:rPr>
          <w:rStyle w:val="VerbatimChar"/>
        </w:rPr>
        <w:t xml:space="preserve">\setbeamercolor{frametitle}{fg=AccentBlue}</w:t>
      </w:r>
      <w:r>
        <w:br/>
      </w:r>
      <w:r>
        <w:rPr>
          <w:rStyle w:val="VerbatimChar"/>
        </w:rPr>
        <w:t xml:space="preserve">\setbeamercolor{structure}{fg=AccentBlue}</w:t>
      </w:r>
      <w:r>
        <w:br/>
      </w:r>
      <w:r>
        <w:rPr>
          <w:rStyle w:val="VerbatimChar"/>
        </w:rPr>
        <w:t xml:space="preserve">\setbeamercolor{alerted text}{fg=AccentRed}</w:t>
      </w:r>
      <w:r>
        <w:br/>
      </w:r>
      <w:r>
        <w:br/>
      </w:r>
      <w:r>
        <w:rPr>
          <w:rStyle w:val="VerbatimChar"/>
        </w:rPr>
        <w:t xml:space="preserve">\setbeamercolor{block title}{fg=white,bg=AccentBlue}</w:t>
      </w:r>
      <w:r>
        <w:br/>
      </w:r>
      <w:r>
        <w:rPr>
          <w:rStyle w:val="VerbatimChar"/>
        </w:rPr>
        <w:t xml:space="preserve">\setbeamercolor{block body}{fg=black,bg=BgGrey}</w:t>
      </w:r>
      <w:r>
        <w:br/>
      </w:r>
      <w:r>
        <w:rPr>
          <w:rStyle w:val="VerbatimChar"/>
        </w:rPr>
        <w:t xml:space="preserve">\setbeamercolor{exampleblock title}{fg=black,bg=BgGrey}</w:t>
      </w:r>
      <w:r>
        <w:br/>
      </w:r>
      <w:r>
        <w:rPr>
          <w:rStyle w:val="VerbatimChar"/>
        </w:rPr>
        <w:t xml:space="preserve">\setbeamercolor{exampleblock body}{fg=black,bg=BgGrey}</w:t>
      </w:r>
      <w:r>
        <w:br/>
      </w:r>
      <w:r>
        <w:br/>
      </w:r>
      <w:r>
        <w:rPr>
          <w:rStyle w:val="VerbatimChar"/>
        </w:rPr>
        <w:t xml:space="preserve">\setbeamerfont{title}{size=\fontsize{30}{34}\selectfont,series=\bfseries}</w:t>
      </w:r>
      <w:r>
        <w:br/>
      </w:r>
      <w:r>
        <w:rPr>
          <w:rStyle w:val="VerbatimChar"/>
        </w:rPr>
        <w:t xml:space="preserve">\setbeamerfont{frametitle}{size=\fontsize{20}{24}\selectfont,series=\bfseries}</w:t>
      </w:r>
      <w:r>
        <w:br/>
      </w:r>
      <w:r>
        <w:rPr>
          <w:rStyle w:val="VerbatimChar"/>
        </w:rPr>
        <w:t xml:space="preserve">\setbeamerfont{normal text}{size=\fontsize{14}{17}\selectfont}</w:t>
      </w:r>
      <w:r>
        <w:br/>
      </w:r>
      <w:r>
        <w:rPr>
          <w:rStyle w:val="VerbatimChar"/>
        </w:rPr>
        <w:t xml:space="preserve">\setbeamerfont{footline}{size=\fontsize{9}{11}\selectfont}</w:t>
      </w:r>
      <w:r>
        <w:br/>
      </w:r>
      <w:r>
        <w:br/>
      </w:r>
      <w:r>
        <w:rPr>
          <w:rStyle w:val="VerbatimChar"/>
        </w:rPr>
        <w:t xml:space="preserve">\setbeamertemplate{navigation symbols}{}</w:t>
      </w:r>
      <w:r>
        <w:br/>
      </w:r>
      <w:r>
        <w:br/>
      </w:r>
      <w:r>
        <w:rPr>
          <w:rStyle w:val="VerbatimChar"/>
        </w:rPr>
        <w:t xml:space="preserve">\setbeamertemplate{footline}{</w:t>
      </w:r>
      <w:r>
        <w:br/>
      </w:r>
      <w:r>
        <w:rPr>
          <w:rStyle w:val="VerbatimChar"/>
        </w:rPr>
        <w:t xml:space="preserve">  \leavevmode%</w:t>
      </w:r>
      <w:r>
        <w:br/>
      </w:r>
      <w:r>
        <w:rPr>
          <w:rStyle w:val="VerbatimChar"/>
        </w:rPr>
        <w:t xml:space="preserve">  \hbox{%</w:t>
      </w:r>
      <w:r>
        <w:br/>
      </w:r>
      <w:r>
        <w:rPr>
          <w:rStyle w:val="VerbatimChar"/>
        </w:rPr>
        <w:t xml:space="preserve">    \begin{beamercolorbox}[wd=.78\paperwidth,ht=2.5ex,dp=1.25ex,left]{author in head/foot}%</w:t>
      </w:r>
      <w:r>
        <w:br/>
      </w:r>
      <w:r>
        <w:rPr>
          <w:rStyle w:val="VerbatimChar"/>
        </w:rPr>
        <w:t xml:space="preserve">      \hspace{1.2ex}\insertshorttitle</w:t>
      </w:r>
      <w:r>
        <w:br/>
      </w:r>
      <w:r>
        <w:rPr>
          <w:rStyle w:val="VerbatimChar"/>
        </w:rPr>
        <w:t xml:space="preserve">    \end{beamercolorbox}%</w:t>
      </w:r>
      <w:r>
        <w:br/>
      </w:r>
      <w:r>
        <w:rPr>
          <w:rStyle w:val="VerbatimChar"/>
        </w:rPr>
        <w:t xml:space="preserve">    \begin{beamercolorbox}[wd=.22\paperwidth,ht=2.5ex,dp=1.25ex,right]{date in head/foot}%</w:t>
      </w:r>
      <w:r>
        <w:br/>
      </w:r>
      <w:r>
        <w:rPr>
          <w:rStyle w:val="VerbatimChar"/>
        </w:rPr>
        <w:t xml:space="preserve">      \insertframenumber{} / \inserttotalframenumber\hspace{1.2ex}</w:t>
      </w:r>
      <w:r>
        <w:br/>
      </w:r>
      <w:r>
        <w:rPr>
          <w:rStyle w:val="VerbatimChar"/>
        </w:rPr>
        <w:t xml:space="preserve">    \end{beamercolorbox}%</w:t>
      </w:r>
      <w:r>
        <w:br/>
      </w:r>
      <w:r>
        <w:rPr>
          <w:rStyle w:val="VerbatimChar"/>
        </w:rPr>
        <w:t xml:space="preserve">  }%</w:t>
      </w:r>
      <w:r>
        <w:br/>
      </w:r>
      <w:r>
        <w:rPr>
          <w:rStyle w:val="VerbatimChar"/>
        </w:rPr>
        <w:t xml:space="preserve">  \vskip0pt%</w:t>
      </w:r>
      <w:r>
        <w:br/>
      </w:r>
      <w:r>
        <w:rPr>
          <w:rStyle w:val="VerbatimChar"/>
        </w:rPr>
        <w:t xml:space="preserve">}</w:t>
      </w:r>
      <w:r>
        <w:br/>
      </w:r>
      <w:r>
        <w:br/>
      </w:r>
      <w:r>
        <w:rPr>
          <w:rStyle w:val="VerbatimChar"/>
        </w:rPr>
        <w:t xml:space="preserve">% TikZ styles</w:t>
      </w:r>
      <w:r>
        <w:br/>
      </w:r>
      <w:r>
        <w:rPr>
          <w:rStyle w:val="VerbatimChar"/>
        </w:rPr>
        <w:t xml:space="preserve">\tikzset{</w:t>
      </w:r>
      <w:r>
        <w:br/>
      </w:r>
      <w:r>
        <w:rPr>
          <w:rStyle w:val="VerbatimChar"/>
        </w:rPr>
        <w:t xml:space="preserve">  box/.style={rounded corners, draw=AccentGrey, thick, fill=BgGrey, align=center, inner sep=6pt},</w:t>
      </w:r>
      <w:r>
        <w:br/>
      </w:r>
      <w:r>
        <w:rPr>
          <w:rStyle w:val="VerbatimChar"/>
        </w:rPr>
        <w:t xml:space="preserve">  arrow/.style={-Latex, thick},</w:t>
      </w:r>
      <w:r>
        <w:br/>
      </w:r>
      <w:r>
        <w:rPr>
          <w:rStyle w:val="VerbatimChar"/>
        </w:rPr>
        <w:t xml:space="preserve">  small/.style={font=\scriptsize}</w:t>
      </w:r>
      <w:r>
        <w:br/>
      </w:r>
      <w:r>
        <w:rPr>
          <w:rStyle w:val="VerbatimChar"/>
        </w:rPr>
        <w:t xml:space="preserve">}</w:t>
      </w:r>
      <w:r>
        <w:br/>
      </w:r>
      <w:r>
        <w:br/>
      </w:r>
      <w:r>
        <w:rPr>
          <w:rStyle w:val="VerbatimChar"/>
        </w:rPr>
        <w:t xml:space="preserve">% =========================================================</w:t>
      </w:r>
      <w:r>
        <w:br/>
      </w:r>
      <w:r>
        <w:rPr>
          <w:rStyle w:val="VerbatimChar"/>
        </w:rPr>
        <w:t xml:space="preserve">% Meta</w:t>
      </w:r>
      <w:r>
        <w:br/>
      </w:r>
      <w:r>
        <w:rPr>
          <w:rStyle w:val="VerbatimChar"/>
        </w:rPr>
        <w:t xml:space="preserve">% =========================================================</w:t>
      </w:r>
      <w:r>
        <w:br/>
      </w:r>
      <w:r>
        <w:rPr>
          <w:rStyle w:val="VerbatimChar"/>
        </w:rPr>
        <w:t xml:space="preserve">\title[Women’s connectivity]{Women’s connectivity in extreme networks\\\vspace{0.3em}\large A talk based on Manrique et al.\ (Science Advances, 2016)}</w:t>
      </w:r>
      <w:r>
        <w:br/>
      </w:r>
      <w:r>
        <w:rPr>
          <w:rStyle w:val="VerbatimChar"/>
        </w:rPr>
        <w:t xml:space="preserve">\author{&lt;Your Name&gt;}</w:t>
      </w:r>
      <w:r>
        <w:br/>
      </w:r>
      <w:r>
        <w:rPr>
          <w:rStyle w:val="VerbatimChar"/>
        </w:rPr>
        <w:t xml:space="preserve">\institute{&lt;Your Department / University&gt;}</w:t>
      </w:r>
      <w:r>
        <w:br/>
      </w:r>
      <w:r>
        <w:rPr>
          <w:rStyle w:val="VerbatimChar"/>
        </w:rPr>
        <w:t xml:space="preserve">\date{&lt;Event&gt;, &lt;Date&gt;}</w:t>
      </w:r>
      <w:r>
        <w:br/>
      </w:r>
      <w:r>
        <w:br/>
      </w:r>
      <w:r>
        <w:rPr>
          <w:rStyle w:val="VerbatimChar"/>
        </w:rPr>
        <w:t xml:space="preserve">\begin{document}</w:t>
      </w:r>
      <w:r>
        <w:br/>
      </w:r>
      <w:r>
        <w:br/>
      </w:r>
      <w:r>
        <w:rPr>
          <w:rStyle w:val="VerbatimChar"/>
        </w:rPr>
        <w:t xml:space="preserve">% ---------------------------------------------------------</w:t>
      </w:r>
      <w:r>
        <w:br/>
      </w:r>
      <w:r>
        <w:rPr>
          <w:rStyle w:val="VerbatimChar"/>
        </w:rPr>
        <w:t xml:space="preserve">% Slide 1 — Title</w:t>
      </w:r>
      <w:r>
        <w:br/>
      </w:r>
      <w:r>
        <w:rPr>
          <w:rStyle w:val="VerbatimChar"/>
        </w:rPr>
        <w:t xml:space="preserve">% ---------------------------------------------------------</w:t>
      </w:r>
      <w:r>
        <w:br/>
      </w:r>
      <w:r>
        <w:rPr>
          <w:rStyle w:val="VerbatimChar"/>
        </w:rPr>
        <w:t xml:space="preserve">\begin{frame}[plain]</w:t>
      </w:r>
      <w:r>
        <w:br/>
      </w:r>
      <w:r>
        <w:rPr>
          <w:rStyle w:val="VerbatimChar"/>
        </w:rPr>
        <w:t xml:space="preserve">% Layout: plain titlepage (no header). Visual: (optional) small network icon in corner.</w:t>
      </w:r>
      <w:r>
        <w:br/>
      </w:r>
      <w:r>
        <w:rPr>
          <w:rStyle w:val="VerbatimChar"/>
        </w:rPr>
        <w:t xml:space="preserve">\titlepage</w:t>
      </w:r>
      <w:r>
        <w:br/>
      </w:r>
      <w:r>
        <w:rPr>
          <w:rStyle w:val="VerbatimChar"/>
        </w:rPr>
        <w:t xml:space="preserve">\vspace{-1.2em}</w:t>
      </w:r>
      <w:r>
        <w:br/>
      </w:r>
      <w:r>
        <w:rPr>
          <w:rStyle w:val="VerbatimChar"/>
        </w:rPr>
        <w:t xml:space="preserve">{\tiny Source paper: Manrique et al.\ (2016), DOI: 10.1126/sciadv.1501742.}</w:t>
      </w:r>
      <w:r>
        <w:br/>
      </w:r>
      <w:r>
        <w:rPr>
          <w:rStyle w:val="VerbatimChar"/>
        </w:rPr>
        <w:t xml:space="preserve">\note{</w:t>
      </w:r>
      <w:r>
        <w:br/>
      </w:r>
      <w:r>
        <w:rPr>
          <w:rStyle w:val="VerbatimChar"/>
        </w:rPr>
        <w:t xml:space="preserve">\textbf{Time: 0:30}\par</w:t>
      </w:r>
      <w:r>
        <w:br/>
      </w:r>
      <w:r>
        <w:rPr>
          <w:rStyle w:val="VerbatimChar"/>
        </w:rPr>
        <w:t xml:space="preserve">Housekeeping: title, what paper, why it matters.\par</w:t>
      </w:r>
      <w:r>
        <w:br/>
      </w:r>
      <w:r>
        <w:rPr>
          <w:rStyle w:val="VerbatimChar"/>
        </w:rPr>
        <w:t xml:space="preserve">Signal sensitivity: we discuss extremist networks academically; no propaganda content beyond what is in the paper.\par</w:t>
      </w:r>
      <w:r>
        <w:br/>
      </w:r>
      <w:r>
        <w:rPr>
          <w:rStyle w:val="VerbatimChar"/>
        </w:rPr>
        <w:t xml:space="preserve">Roadmap: two case studies (online + offline) and two centrality measures.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2 — Motivation &amp; question</w:t>
      </w:r>
      <w:r>
        <w:br/>
      </w:r>
      <w:r>
        <w:rPr>
          <w:rStyle w:val="VerbatimChar"/>
        </w:rPr>
        <w:t xml:space="preserve">% ---------------------------------------------------------</w:t>
      </w:r>
      <w:r>
        <w:br/>
      </w:r>
      <w:r>
        <w:rPr>
          <w:rStyle w:val="VerbatimChar"/>
        </w:rPr>
        <w:t xml:space="preserve">\begin{frame}{Motivation: who is “central” in extreme networks?}</w:t>
      </w:r>
      <w:r>
        <w:br/>
      </w:r>
      <w:r>
        <w:rPr>
          <w:rStyle w:val="VerbatimChar"/>
        </w:rPr>
        <w:t xml:space="preserve">% Layout:</w:t>
      </w:r>
      <w:r>
        <w:br/>
      </w:r>
      <w:r>
        <w:rPr>
          <w:rStyle w:val="VerbatimChar"/>
        </w:rPr>
        <w:t xml:space="preserve">% - Header: frametitle</w:t>
      </w:r>
      <w:r>
        <w:br/>
      </w:r>
      <w:r>
        <w:rPr>
          <w:rStyle w:val="VerbatimChar"/>
        </w:rPr>
        <w:t xml:space="preserve">% - Two-column body (55/45):</w:t>
      </w:r>
      <w:r>
        <w:br/>
      </w:r>
      <w:r>
        <w:rPr>
          <w:rStyle w:val="VerbatimChar"/>
        </w:rPr>
        <w:t xml:space="preserve">%   Left: bullet narrative + research question</w:t>
      </w:r>
      <w:r>
        <w:br/>
      </w:r>
      <w:r>
        <w:rPr>
          <w:rStyle w:val="VerbatimChar"/>
        </w:rPr>
        <w:t xml:space="preserve">%   Right: callout box with the paper’s abstract claim (short paraphrase)</w:t>
      </w:r>
      <w:r>
        <w:br/>
      </w:r>
      <w:r>
        <w:rPr>
          <w:rStyle w:val="VerbatimChar"/>
        </w:rPr>
        <w:t xml:space="preserve">\begin{columns}[T,onlytextwidth]</w:t>
      </w:r>
      <w:r>
        <w:br/>
      </w:r>
      <w:r>
        <w:rPr>
          <w:rStyle w:val="VerbatimChar"/>
        </w:rPr>
        <w:t xml:space="preserve">\begin{column}{0.55\textwidth}</w:t>
      </w:r>
      <w:r>
        <w:br/>
      </w:r>
      <w:r>
        <w:rPr>
          <w:rStyle w:val="VerbatimChar"/>
        </w:rPr>
        <w:t xml:space="preserve">\begin{block}{Problem setting (paper framing)}</w:t>
      </w:r>
      <w:r>
        <w:br/>
      </w:r>
      <w:r>
        <w:rPr>
          <w:rStyle w:val="VerbatimChar"/>
        </w:rPr>
        <w:t xml:space="preserve">\begin{itemize}</w:t>
      </w:r>
      <w:r>
        <w:br/>
      </w:r>
      <w:r>
        <w:rPr>
          <w:rStyle w:val="VerbatimChar"/>
        </w:rPr>
        <w:t xml:space="preserve">\item Stereotype: women play minor/subservient roles as environments become more dangerous.</w:t>
      </w:r>
      <w:r>
        <w:br/>
      </w:r>
      <w:r>
        <w:rPr>
          <w:rStyle w:val="VerbatimChar"/>
        </w:rPr>
        <w:t xml:space="preserve">\item Paper’s question: \alert{Does network position contradict this?}</w:t>
      </w:r>
      <w:r>
        <w:br/>
      </w:r>
      <w:r>
        <w:rPr>
          <w:rStyle w:val="VerbatimChar"/>
        </w:rPr>
        <w:t xml:space="preserve">\item Operational networks studied: online pro-ISIS support and offline PIRA operations.</w:t>
      </w:r>
      <w:r>
        <w:br/>
      </w:r>
      <w:r>
        <w:rPr>
          <w:rStyle w:val="VerbatimChar"/>
        </w:rPr>
        <w:t xml:space="preserve">\end{itemize}</w:t>
      </w:r>
      <w:r>
        <w:br/>
      </w:r>
      <w:r>
        <w:rPr>
          <w:rStyle w:val="VerbatimChar"/>
        </w:rPr>
        <w:t xml:space="preserve">\end{block}</w:t>
      </w:r>
      <w:r>
        <w:br/>
      </w:r>
      <w:r>
        <w:br/>
      </w:r>
      <w:r>
        <w:rPr>
          <w:rStyle w:val="VerbatimChar"/>
        </w:rPr>
        <w:t xml:space="preserve">\begin{exampleblock}{Talk objective}</w:t>
      </w:r>
      <w:r>
        <w:br/>
      </w:r>
      <w:r>
        <w:rPr>
          <w:rStyle w:val="VerbatimChar"/>
        </w:rPr>
        <w:t xml:space="preserve">Explain \alert{why betweenness centrality} reveals a different “importance” than hub-like degree, and how this differs by gender in the studied networks.</w:t>
      </w:r>
      <w:r>
        <w:br/>
      </w:r>
      <w:r>
        <w:rPr>
          <w:rStyle w:val="VerbatimChar"/>
        </w:rPr>
        <w:t xml:space="preserve">\end{exampleblock}</w:t>
      </w:r>
      <w:r>
        <w:br/>
      </w:r>
      <w:r>
        <w:rPr>
          <w:rStyle w:val="VerbatimChar"/>
        </w:rPr>
        <w:t xml:space="preserve">\end{column}</w:t>
      </w:r>
      <w:r>
        <w:br/>
      </w:r>
      <w:r>
        <w:br/>
      </w:r>
      <w:r>
        <w:rPr>
          <w:rStyle w:val="VerbatimChar"/>
        </w:rPr>
        <w:t xml:space="preserve">\begin{column}{0.45\textwidth}</w:t>
      </w:r>
      <w:r>
        <w:br/>
      </w:r>
      <w:r>
        <w:rPr>
          <w:rStyle w:val="VerbatimChar"/>
        </w:rPr>
        <w:t xml:space="preserve">\begin{block}{Key claim (from abstract)}</w:t>
      </w:r>
      <w:r>
        <w:br/>
      </w:r>
      <w:r>
        <w:rPr>
          <w:rStyle w:val="VerbatimChar"/>
        </w:rPr>
        <w:t xml:space="preserve">Even when men dominate numerically, women can exhibit \alert{superior network connectivity} that benefits robustness/survival.</w:t>
      </w:r>
      <w:r>
        <w:br/>
      </w:r>
      <w:r>
        <w:rPr>
          <w:rStyle w:val="VerbatimChar"/>
        </w:rPr>
        <w:t xml:space="preserve">\end{block}</w:t>
      </w:r>
      <w:r>
        <w:br/>
      </w:r>
      <w:r>
        <w:br/>
      </w:r>
      <w:r>
        <w:rPr>
          <w:rStyle w:val="VerbatimChar"/>
        </w:rPr>
        <w:t xml:space="preserve">\begin{center}</w:t>
      </w:r>
      <w:r>
        <w:br/>
      </w:r>
      <w:r>
        <w:rPr>
          <w:rStyle w:val="VerbatimChar"/>
        </w:rPr>
        <w:t xml:space="preserve">\vspace{0.5em}</w:t>
      </w:r>
      <w:r>
        <w:br/>
      </w:r>
      <w:r>
        <w:rPr>
          <w:rStyle w:val="VerbatimChar"/>
        </w:rPr>
        <w:t xml:space="preserve">\begin{tikzpicture}[scale=0.9]</w:t>
      </w:r>
      <w:r>
        <w:br/>
      </w:r>
      <w:r>
        <w:rPr>
          <w:rStyle w:val="VerbatimChar"/>
        </w:rPr>
        <w:t xml:space="preserve">\node[box] (q) {Guiding question\\\smallskip</w:t>
      </w:r>
      <w:r>
        <w:br/>
      </w:r>
      <w:r>
        <w:rPr>
          <w:rStyle w:val="VerbatimChar"/>
        </w:rPr>
        <w:t xml:space="preserve">\textbf{Who holds network-together positions}\\</w:t>
      </w:r>
      <w:r>
        <w:br/>
      </w:r>
      <w:r>
        <w:rPr>
          <w:rStyle w:val="VerbatimChar"/>
        </w:rPr>
        <w:t xml:space="preserve">when “pressure” is high?};</w:t>
      </w:r>
      <w:r>
        <w:br/>
      </w:r>
      <w:r>
        <w:rPr>
          <w:rStyle w:val="VerbatimChar"/>
        </w:rPr>
        <w:t xml:space="preserve">\end{tikzpicture}</w:t>
      </w:r>
      <w:r>
        <w:br/>
      </w:r>
      <w:r>
        <w:rPr>
          <w:rStyle w:val="VerbatimChar"/>
        </w:rPr>
        <w:t xml:space="preserve">\end{center}</w:t>
      </w:r>
      <w:r>
        <w:br/>
      </w:r>
      <w:r>
        <w:br/>
      </w:r>
      <w:r>
        <w:rPr>
          <w:rStyle w:val="VerbatimChar"/>
        </w:rPr>
        <w:t xml:space="preserve">\end{column}</w:t>
      </w:r>
      <w:r>
        <w:br/>
      </w:r>
      <w:r>
        <w:rPr>
          <w:rStyle w:val="VerbatimChar"/>
        </w:rPr>
        <w:t xml:space="preserve">\end{columns}</w:t>
      </w:r>
      <w:r>
        <w:br/>
      </w:r>
      <w:r>
        <w:br/>
      </w:r>
      <w:r>
        <w:rPr>
          <w:rStyle w:val="VerbatimChar"/>
        </w:rPr>
        <w:t xml:space="preserve">\vspace{-0.5em}</w:t>
      </w:r>
      <w:r>
        <w:br/>
      </w:r>
      <w:r>
        <w:rPr>
          <w:rStyle w:val="VerbatimChar"/>
        </w:rPr>
        <w:t xml:space="preserve">{\tiny Visual note: keep this slide text-light; pace the claim in speech, not on screen.}</w:t>
      </w:r>
      <w:r>
        <w:br/>
      </w:r>
      <w:r>
        <w:br/>
      </w:r>
      <w:r>
        <w:rPr>
          <w:rStyle w:val="VerbatimChar"/>
        </w:rPr>
        <w:t xml:space="preserve">\note{</w:t>
      </w:r>
      <w:r>
        <w:br/>
      </w:r>
      <w:r>
        <w:rPr>
          <w:rStyle w:val="VerbatimChar"/>
        </w:rPr>
        <w:t xml:space="preserve">\textbf{Time: 2:00}\par</w:t>
      </w:r>
      <w:r>
        <w:br/>
      </w:r>
      <w:r>
        <w:rPr>
          <w:rStyle w:val="VerbatimChar"/>
        </w:rPr>
        <w:t xml:space="preserve">1) Start with the stereotype the authors mention.\par</w:t>
      </w:r>
      <w:r>
        <w:br/>
      </w:r>
      <w:r>
        <w:rPr>
          <w:rStyle w:val="VerbatimChar"/>
        </w:rPr>
        <w:t xml:space="preserve">2) Explain that we will use a network-science lens, not anecdote.\par</w:t>
      </w:r>
      <w:r>
        <w:br/>
      </w:r>
      <w:r>
        <w:rPr>
          <w:rStyle w:val="VerbatimChar"/>
        </w:rPr>
        <w:t xml:space="preserve">3) Preview that “importance” will be measured in two ways: local popularity (degree) vs bridging (betweenness).\par</w:t>
      </w:r>
      <w:r>
        <w:br/>
      </w:r>
      <w:r>
        <w:rPr>
          <w:rStyle w:val="VerbatimChar"/>
        </w:rPr>
        <w:t xml:space="preserve">4) Stress: the paper is about \emph{collective connectivity}, not individual notoriety.</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3 — Paper structure (custom diagram)</w:t>
      </w:r>
      <w:r>
        <w:br/>
      </w:r>
      <w:r>
        <w:rPr>
          <w:rStyle w:val="VerbatimChar"/>
        </w:rPr>
        <w:t xml:space="preserve">% ---------------------------------------------------------</w:t>
      </w:r>
      <w:r>
        <w:br/>
      </w:r>
      <w:r>
        <w:rPr>
          <w:rStyle w:val="VerbatimChar"/>
        </w:rPr>
        <w:t xml:space="preserve">\begin{frame}{Paper roadmap (structure in one picture)}</w:t>
      </w:r>
      <w:r>
        <w:br/>
      </w:r>
      <w:r>
        <w:rPr>
          <w:rStyle w:val="VerbatimChar"/>
        </w:rPr>
        <w:t xml:space="preserve">% Layout:</w:t>
      </w:r>
      <w:r>
        <w:br/>
      </w:r>
      <w:r>
        <w:rPr>
          <w:rStyle w:val="VerbatimChar"/>
        </w:rPr>
        <w:t xml:space="preserve">% - Header</w:t>
      </w:r>
      <w:r>
        <w:br/>
      </w:r>
      <w:r>
        <w:rPr>
          <w:rStyle w:val="VerbatimChar"/>
        </w:rPr>
        <w:t xml:space="preserve">% - Full-width TikZ flowchart (visual-first)</w:t>
      </w:r>
      <w:r>
        <w:br/>
      </w:r>
      <w:r>
        <w:rPr>
          <w:rStyle w:val="VerbatimChar"/>
        </w:rPr>
        <w:t xml:space="preserve">% - Footer: tiny “where in paper” tags</w:t>
      </w:r>
      <w:r>
        <w:br/>
      </w:r>
      <w:r>
        <w:rPr>
          <w:rStyle w:val="VerbatimChar"/>
        </w:rPr>
        <w:t xml:space="preserve">\centering</w:t>
      </w:r>
      <w:r>
        <w:br/>
      </w:r>
      <w:r>
        <w:rPr>
          <w:rStyle w:val="VerbatimChar"/>
        </w:rPr>
        <w:t xml:space="preserve">\begin{tikzpicture}[node distance=1.05cm]</w:t>
      </w:r>
      <w:r>
        <w:br/>
      </w:r>
      <w:r>
        <w:rPr>
          <w:rStyle w:val="VerbatimChar"/>
        </w:rPr>
        <w:t xml:space="preserve">\node[box] (intro) {Introduction\\\small stereotype $\rightarrow$ test via SNA};</w:t>
      </w:r>
      <w:r>
        <w:br/>
      </w:r>
      <w:r>
        <w:rPr>
          <w:rStyle w:val="VerbatimChar"/>
        </w:rPr>
        <w:t xml:space="preserve">\node[box,below=of intro] (data) {Two longitudinal data sets\\\small Online (VKontakte) + Offline (PIRA)};</w:t>
      </w:r>
      <w:r>
        <w:br/>
      </w:r>
      <w:r>
        <w:rPr>
          <w:rStyle w:val="VerbatimChar"/>
        </w:rPr>
        <w:t xml:space="preserve">\node[box,below left=0.9cm and 1.2cm of data] (isis) {Results A\\\small Online pro-ISIS network\\Fig.\ 1};</w:t>
      </w:r>
      <w:r>
        <w:br/>
      </w:r>
      <w:r>
        <w:rPr>
          <w:rStyle w:val="VerbatimChar"/>
        </w:rPr>
        <w:t xml:space="preserve">\node[box,below right=0.9cm and 1.2cm of data] (pira) {Results B\\\small Offline PIRA network\\Fig.\ 2};</w:t>
      </w:r>
      <w:r>
        <w:br/>
      </w:r>
      <w:r>
        <w:rPr>
          <w:rStyle w:val="VerbatimChar"/>
        </w:rPr>
        <w:t xml:space="preserve">\node[box,below=1.0cm of data] (long) {Longevity associations\\\small Fig.\ 3};</w:t>
      </w:r>
      <w:r>
        <w:br/>
      </w:r>
      <w:r>
        <w:rPr>
          <w:rStyle w:val="VerbatimChar"/>
        </w:rPr>
        <w:t xml:space="preserve">\node[box,below=1.0cm of long] (disc) {Discussion \&amp; limitations\\\small implications + threats to validity};</w:t>
      </w:r>
      <w:r>
        <w:br/>
      </w:r>
      <w:r>
        <w:br/>
      </w:r>
      <w:r>
        <w:rPr>
          <w:rStyle w:val="VerbatimChar"/>
        </w:rPr>
        <w:t xml:space="preserve">\draw[arrow] (intro) -- (data);</w:t>
      </w:r>
      <w:r>
        <w:br/>
      </w:r>
      <w:r>
        <w:rPr>
          <w:rStyle w:val="VerbatimChar"/>
        </w:rPr>
        <w:t xml:space="preserve">\draw[arrow] (data) -- (isis);</w:t>
      </w:r>
      <w:r>
        <w:br/>
      </w:r>
      <w:r>
        <w:rPr>
          <w:rStyle w:val="VerbatimChar"/>
        </w:rPr>
        <w:t xml:space="preserve">\draw[arrow] (data) -- (pira);</w:t>
      </w:r>
      <w:r>
        <w:br/>
      </w:r>
      <w:r>
        <w:rPr>
          <w:rStyle w:val="VerbatimChar"/>
        </w:rPr>
        <w:t xml:space="preserve">\draw[arrow] (isis) -- (long);</w:t>
      </w:r>
      <w:r>
        <w:br/>
      </w:r>
      <w:r>
        <w:rPr>
          <w:rStyle w:val="VerbatimChar"/>
        </w:rPr>
        <w:t xml:space="preserve">\draw[arrow] (pira) -- (long);</w:t>
      </w:r>
      <w:r>
        <w:br/>
      </w:r>
      <w:r>
        <w:rPr>
          <w:rStyle w:val="VerbatimChar"/>
        </w:rPr>
        <w:t xml:space="preserve">\draw[arrow] (long) -- (disc);</w:t>
      </w:r>
      <w:r>
        <w:br/>
      </w:r>
      <w:r>
        <w:rPr>
          <w:rStyle w:val="VerbatimChar"/>
        </w:rPr>
        <w:t xml:space="preserve">\end{tikzpicture}</w:t>
      </w:r>
      <w:r>
        <w:br/>
      </w:r>
      <w:r>
        <w:br/>
      </w:r>
      <w:r>
        <w:rPr>
          <w:rStyle w:val="VerbatimChar"/>
        </w:rPr>
        <w:t xml:space="preserve">\vspace{0.6em}</w:t>
      </w:r>
      <w:r>
        <w:br/>
      </w:r>
      <w:r>
        <w:rPr>
          <w:rStyle w:val="VerbatimChar"/>
        </w:rPr>
        <w:t xml:space="preserve">{\tiny Visualisation: this is a custom “map” you can return to when transitioning sections.}</w:t>
      </w:r>
      <w:r>
        <w:br/>
      </w:r>
      <w:r>
        <w:br/>
      </w:r>
      <w:r>
        <w:rPr>
          <w:rStyle w:val="VerbatimChar"/>
        </w:rPr>
        <w:t xml:space="preserve">\note{</w:t>
      </w:r>
      <w:r>
        <w:br/>
      </w:r>
      <w:r>
        <w:rPr>
          <w:rStyle w:val="VerbatimChar"/>
        </w:rPr>
        <w:t xml:space="preserve">\textbf{Time: 1:00}\par</w:t>
      </w:r>
      <w:r>
        <w:br/>
      </w:r>
      <w:r>
        <w:rPr>
          <w:rStyle w:val="VerbatimChar"/>
        </w:rPr>
        <w:t xml:space="preserve">Use this as an explicit navigation promise.\par</w:t>
      </w:r>
      <w:r>
        <w:br/>
      </w:r>
      <w:r>
        <w:rPr>
          <w:rStyle w:val="VerbatimChar"/>
        </w:rPr>
        <w:t xml:space="preserve">Tell audience: we will do (i) definitions, (ii) online case, (iii) offline case, (iv) longevity and interpretation.\par</w:t>
      </w:r>
      <w:r>
        <w:br/>
      </w:r>
      <w:r>
        <w:rPr>
          <w:rStyle w:val="VerbatimChar"/>
        </w:rPr>
        <w:t xml:space="preserve">Point to each box as you speak.</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4 — Definitions: degree vs betweenness (equations + cartoon)</w:t>
      </w:r>
      <w:r>
        <w:br/>
      </w:r>
      <w:r>
        <w:rPr>
          <w:rStyle w:val="VerbatimChar"/>
        </w:rPr>
        <w:t xml:space="preserve">% ---------------------------------------------------------</w:t>
      </w:r>
      <w:r>
        <w:br/>
      </w:r>
      <w:r>
        <w:rPr>
          <w:rStyle w:val="VerbatimChar"/>
        </w:rPr>
        <w:t xml:space="preserve">\begin{frame}{Key definitions: degree and betweenness centrality}</w:t>
      </w:r>
      <w:r>
        <w:br/>
      </w:r>
      <w:r>
        <w:rPr>
          <w:rStyle w:val="VerbatimChar"/>
        </w:rPr>
        <w:t xml:space="preserve">% Layout:</w:t>
      </w:r>
      <w:r>
        <w:br/>
      </w:r>
      <w:r>
        <w:rPr>
          <w:rStyle w:val="VerbatimChar"/>
        </w:rPr>
        <w:t xml:space="preserve">% - Two-column (55/45)</w:t>
      </w:r>
      <w:r>
        <w:br/>
      </w:r>
      <w:r>
        <w:rPr>
          <w:rStyle w:val="VerbatimChar"/>
        </w:rPr>
        <w:t xml:space="preserve">% - Left: equation blocks + definition blocks</w:t>
      </w:r>
      <w:r>
        <w:br/>
      </w:r>
      <w:r>
        <w:rPr>
          <w:rStyle w:val="VerbatimChar"/>
        </w:rPr>
        <w:t xml:space="preserve">% - Right: visual cartoon (custom TikZ) contrasting hub vs bridge</w:t>
      </w:r>
      <w:r>
        <w:br/>
      </w:r>
      <w:r>
        <w:rPr>
          <w:rStyle w:val="VerbatimChar"/>
        </w:rPr>
        <w:t xml:space="preserve">\begin{columns}[T,onlytextwidth]</w:t>
      </w:r>
      <w:r>
        <w:br/>
      </w:r>
      <w:r>
        <w:rPr>
          <w:rStyle w:val="VerbatimChar"/>
        </w:rPr>
        <w:t xml:space="preserve">\begin{column}{0.55\textwidth}</w:t>
      </w:r>
      <w:r>
        <w:br/>
      </w:r>
      <w:r>
        <w:rPr>
          <w:rStyle w:val="VerbatimChar"/>
        </w:rPr>
        <w:t xml:space="preserve">\begin{block}{Degree centrality (local visibility)}</w:t>
      </w:r>
      <w:r>
        <w:br/>
      </w:r>
      <w:r>
        <w:rPr>
          <w:rStyle w:val="VerbatimChar"/>
        </w:rPr>
        <w:t xml:space="preserve">\begin{itemize}</w:t>
      </w:r>
      <w:r>
        <w:br/>
      </w:r>
      <w:r>
        <w:rPr>
          <w:rStyle w:val="VerbatimChar"/>
        </w:rPr>
        <w:t xml:space="preserve">\item Count of direct neighbours (local “hub-ness”).</w:t>
      </w:r>
      <w:r>
        <w:br/>
      </w:r>
      <w:r>
        <w:rPr>
          <w:rStyle w:val="VerbatimChar"/>
        </w:rPr>
        <w:t xml:space="preserve">\item Intuition: easy to spot; may imply exposure in covert settings.</w:t>
      </w:r>
      <w:r>
        <w:br/>
      </w:r>
      <w:r>
        <w:rPr>
          <w:rStyle w:val="VerbatimChar"/>
        </w:rPr>
        <w:t xml:space="preserve">\end{itemize}</w:t>
      </w:r>
      <w:r>
        <w:br/>
      </w:r>
      <w:r>
        <w:rPr>
          <w:rStyle w:val="VerbatimChar"/>
        </w:rPr>
        <w:t xml:space="preserve">\end{block}</w:t>
      </w:r>
      <w:r>
        <w:br/>
      </w:r>
      <w:r>
        <w:br/>
      </w:r>
      <w:r>
        <w:rPr>
          <w:rStyle w:val="VerbatimChar"/>
        </w:rPr>
        <w:t xml:space="preserve">\begin{block}{Betweenness centrality (global brokerage)}</w:t>
      </w:r>
      <w:r>
        <w:br/>
      </w:r>
      <w:r>
        <w:rPr>
          <w:rStyle w:val="VerbatimChar"/>
        </w:rPr>
        <w:t xml:space="preserve">Paper’s definition:</w:t>
      </w:r>
      <w:r>
        <w:br/>
      </w:r>
      <w:r>
        <w:rPr>
          <w:rStyle w:val="VerbatimChar"/>
        </w:rPr>
        <w:t xml:space="preserve">\[</w:t>
      </w:r>
      <w:r>
        <w:br/>
      </w:r>
      <w:r>
        <w:rPr>
          <w:rStyle w:val="VerbatimChar"/>
        </w:rPr>
        <w:t xml:space="preserve">c_B(n)=\sum_{s\neq t\neq n}\frac{\sigma_{st}(n)}{\sigma_{st}}</w:t>
      </w:r>
      <w:r>
        <w:br/>
      </w:r>
      <w:r>
        <w:rPr>
          <w:rStyle w:val="VerbatimChar"/>
        </w:rPr>
        <w:t xml:space="preserve">\qquad</w:t>
      </w:r>
      <w:r>
        <w:br/>
      </w:r>
      <w:r>
        <w:rPr>
          <w:rStyle w:val="VerbatimChar"/>
        </w:rPr>
        <w:t xml:space="preserve">\hat c_B(n)=\frac{c_B(n)}{(N-1)(N-2)}</w:t>
      </w:r>
      <w:r>
        <w:br/>
      </w:r>
      <w:r>
        <w:rPr>
          <w:rStyle w:val="VerbatimChar"/>
        </w:rPr>
        <w:t xml:space="preserve">\]</w:t>
      </w:r>
      <w:r>
        <w:br/>
      </w:r>
      <w:r>
        <w:rPr>
          <w:rStyle w:val="VerbatimChar"/>
        </w:rPr>
        <w:t xml:space="preserve">\smallskip</w:t>
      </w:r>
      <w:r>
        <w:br/>
      </w:r>
      <w:r>
        <w:rPr>
          <w:rStyle w:val="VerbatimChar"/>
        </w:rPr>
        <w:t xml:space="preserve">\begin{itemize}</w:t>
      </w:r>
      <w:r>
        <w:br/>
      </w:r>
      <w:r>
        <w:rPr>
          <w:rStyle w:val="VerbatimChar"/>
        </w:rPr>
        <w:t xml:space="preserve">\item $\sigma_{st}$: number of shortest paths $s\rightarrow t$.</w:t>
      </w:r>
      <w:r>
        <w:br/>
      </w:r>
      <w:r>
        <w:rPr>
          <w:rStyle w:val="VerbatimChar"/>
        </w:rPr>
        <w:t xml:space="preserve">\item $\sigma_{st}(n)$: those paths that pass through $n$.</w:t>
      </w:r>
      <w:r>
        <w:br/>
      </w:r>
      <w:r>
        <w:rPr>
          <w:rStyle w:val="VerbatimChar"/>
        </w:rPr>
        <w:t xml:space="preserve">\item $N$: nodes in the connected network (giant component).</w:t>
      </w:r>
      <w:r>
        <w:br/>
      </w:r>
      <w:r>
        <w:rPr>
          <w:rStyle w:val="VerbatimChar"/>
        </w:rPr>
        <w:t xml:space="preserve">\end{itemize}</w:t>
      </w:r>
      <w:r>
        <w:br/>
      </w:r>
      <w:r>
        <w:rPr>
          <w:rStyle w:val="VerbatimChar"/>
        </w:rPr>
        <w:t xml:space="preserve">\end{block}</w:t>
      </w:r>
      <w:r>
        <w:br/>
      </w:r>
      <w:r>
        <w:br/>
      </w:r>
      <w:r>
        <w:rPr>
          <w:rStyle w:val="VerbatimChar"/>
        </w:rPr>
        <w:t xml:space="preserve">{\tiny Source: Manrique et al.\ (2016), Eqs.\ (1)–(2).}</w:t>
      </w:r>
      <w:r>
        <w:br/>
      </w:r>
      <w:r>
        <w:rPr>
          <w:rStyle w:val="VerbatimChar"/>
        </w:rPr>
        <w:t xml:space="preserve">\end{column}</w:t>
      </w:r>
      <w:r>
        <w:br/>
      </w:r>
      <w:r>
        <w:br/>
      </w:r>
      <w:r>
        <w:rPr>
          <w:rStyle w:val="VerbatimChar"/>
        </w:rPr>
        <w:t xml:space="preserve">\begin{column}{0.45\textwidth}</w:t>
      </w:r>
      <w:r>
        <w:br/>
      </w:r>
      <w:r>
        <w:rPr>
          <w:rStyle w:val="VerbatimChar"/>
        </w:rPr>
        <w:t xml:space="preserve">\begin{block}{Visual intuition}</w:t>
      </w:r>
      <w:r>
        <w:br/>
      </w:r>
      <w:r>
        <w:rPr>
          <w:rStyle w:val="VerbatimChar"/>
        </w:rPr>
        <w:t xml:space="preserve">\centering</w:t>
      </w:r>
      <w:r>
        <w:br/>
      </w:r>
      <w:r>
        <w:rPr>
          <w:rStyle w:val="VerbatimChar"/>
        </w:rPr>
        <w:t xml:space="preserve">\begin{tikzpicture}[scale=0.95]</w:t>
      </w:r>
      <w:r>
        <w:br/>
      </w:r>
      <w:r>
        <w:rPr>
          <w:rStyle w:val="VerbatimChar"/>
        </w:rPr>
        <w:t xml:space="preserve">% Hub graph (high degree, potentially high betweenness)</w:t>
      </w:r>
      <w:r>
        <w:br/>
      </w:r>
      <w:r>
        <w:rPr>
          <w:rStyle w:val="VerbatimChar"/>
        </w:rPr>
        <w:t xml:space="preserve">\node[circle,fill=AccentRed,inner sep=2.2pt,label=above:{\scriptsize hub}] (h) at (0,1.6) {};</w:t>
      </w:r>
      <w:r>
        <w:br/>
      </w:r>
      <w:r>
        <w:rPr>
          <w:rStyle w:val="VerbatimChar"/>
        </w:rPr>
        <w:t xml:space="preserve">\foreach \a in {20,60,...,340} {</w:t>
      </w:r>
      <w:r>
        <w:br/>
      </w:r>
      <w:r>
        <w:rPr>
          <w:rStyle w:val="VerbatimChar"/>
        </w:rPr>
        <w:t xml:space="preserve">  \node[circle,fill=AccentGrey,inner sep=1.7pt] (p\a) at ({1.15*cos(\a)},{1.6+1.15*sin(\a)}) {};</w:t>
      </w:r>
      <w:r>
        <w:br/>
      </w:r>
      <w:r>
        <w:rPr>
          <w:rStyle w:val="VerbatimChar"/>
        </w:rPr>
        <w:t xml:space="preserve">  \draw[thick] (h) -- (p\a);</w:t>
      </w:r>
      <w:r>
        <w:br/>
      </w:r>
      <w:r>
        <w:rPr>
          <w:rStyle w:val="VerbatimChar"/>
        </w:rPr>
        <w:t xml:space="preserve">}</w:t>
      </w:r>
      <w:r>
        <w:br/>
      </w:r>
      <w:r>
        <w:rPr>
          <w:rStyle w:val="VerbatimChar"/>
        </w:rPr>
        <w:t xml:space="preserve">\node[small] at (0,0.2) {High degree (many neighbours)};</w:t>
      </w:r>
      <w:r>
        <w:br/>
      </w:r>
      <w:r>
        <w:br/>
      </w:r>
      <w:r>
        <w:rPr>
          <w:rStyle w:val="VerbatimChar"/>
        </w:rPr>
        <w:t xml:space="preserve">% Bridge graph (low degree, high betweenness)</w:t>
      </w:r>
      <w:r>
        <w:br/>
      </w:r>
      <w:r>
        <w:rPr>
          <w:rStyle w:val="VerbatimChar"/>
        </w:rPr>
        <w:t xml:space="preserve">\node[circle,fill=AccentRed,inner sep=2.2pt,label=above:{\scriptsize bridge}] (b) at (0,-1.0) {};</w:t>
      </w:r>
      <w:r>
        <w:br/>
      </w:r>
      <w:r>
        <w:rPr>
          <w:rStyle w:val="VerbatimChar"/>
        </w:rPr>
        <w:t xml:space="preserve">\node[circle,fill=AccentGrey,inner sep=1.7pt] (l1) at (-1.5,-1.0) {};</w:t>
      </w:r>
      <w:r>
        <w:br/>
      </w:r>
      <w:r>
        <w:rPr>
          <w:rStyle w:val="VerbatimChar"/>
        </w:rPr>
        <w:t xml:space="preserve">\node[circle,fill=AccentGrey,inner sep=1.7pt] (l2) at (-2.2,-0.6) {};</w:t>
      </w:r>
      <w:r>
        <w:br/>
      </w:r>
      <w:r>
        <w:rPr>
          <w:rStyle w:val="VerbatimChar"/>
        </w:rPr>
        <w:t xml:space="preserve">\node[circle,fill=AccentGrey,inner sep=1.7pt] (l3) at (-2.2,-1.4) {};</w:t>
      </w:r>
      <w:r>
        <w:br/>
      </w:r>
      <w:r>
        <w:rPr>
          <w:rStyle w:val="VerbatimChar"/>
        </w:rPr>
        <w:t xml:space="preserve">\node[circle,fill=AccentGrey,inner sep=1.7pt] (r1) at (1.5,-1.0) {};</w:t>
      </w:r>
      <w:r>
        <w:br/>
      </w:r>
      <w:r>
        <w:rPr>
          <w:rStyle w:val="VerbatimChar"/>
        </w:rPr>
        <w:t xml:space="preserve">\node[circle,fill=AccentGrey,inner sep=1.7pt] (r2) at (2.2,-0.6) {};</w:t>
      </w:r>
      <w:r>
        <w:br/>
      </w:r>
      <w:r>
        <w:rPr>
          <w:rStyle w:val="VerbatimChar"/>
        </w:rPr>
        <w:t xml:space="preserve">\node[circle,fill=AccentGrey,inner sep=1.7pt] (r3) at (2.2,-1.4) {};</w:t>
      </w:r>
      <w:r>
        <w:br/>
      </w:r>
      <w:r>
        <w:rPr>
          <w:rStyle w:val="VerbatimChar"/>
        </w:rPr>
        <w:t xml:space="preserve">\draw[thick] (b)--(l1) (b)--(r1);</w:t>
      </w:r>
      <w:r>
        <w:br/>
      </w:r>
      <w:r>
        <w:rPr>
          <w:rStyle w:val="VerbatimChar"/>
        </w:rPr>
        <w:t xml:space="preserve">\draw[thick] (l1)--(l2) (l1)--(l3);</w:t>
      </w:r>
      <w:r>
        <w:br/>
      </w:r>
      <w:r>
        <w:rPr>
          <w:rStyle w:val="VerbatimChar"/>
        </w:rPr>
        <w:t xml:space="preserve">\draw[thick] (r1)--(r2) (r1)--(r3);</w:t>
      </w:r>
      <w:r>
        <w:br/>
      </w:r>
      <w:r>
        <w:rPr>
          <w:rStyle w:val="VerbatimChar"/>
        </w:rPr>
        <w:t xml:space="preserve">\node[small] at (0,-2.25) {Low degree, high betweenness};</w:t>
      </w:r>
      <w:r>
        <w:br/>
      </w:r>
      <w:r>
        <w:rPr>
          <w:rStyle w:val="VerbatimChar"/>
        </w:rPr>
        <w:t xml:space="preserve">\end{tikzpicture}</w:t>
      </w:r>
      <w:r>
        <w:br/>
      </w:r>
      <w:r>
        <w:rPr>
          <w:rStyle w:val="VerbatimChar"/>
        </w:rPr>
        <w:t xml:space="preserve">\end{block}</w:t>
      </w:r>
      <w:r>
        <w:br/>
      </w:r>
      <w:r>
        <w:br/>
      </w:r>
      <w:r>
        <w:rPr>
          <w:rStyle w:val="VerbatimChar"/>
        </w:rPr>
        <w:t xml:space="preserve">{\tiny Pedagogical aside: betweenness as “control/relay” originates in Freeman (1977).}</w:t>
      </w:r>
      <w:r>
        <w:br/>
      </w:r>
      <w:r>
        <w:rPr>
          <w:rStyle w:val="VerbatimChar"/>
        </w:rPr>
        <w:t xml:space="preserve">\end{column}</w:t>
      </w:r>
      <w:r>
        <w:br/>
      </w:r>
      <w:r>
        <w:rPr>
          <w:rStyle w:val="VerbatimChar"/>
        </w:rPr>
        <w:t xml:space="preserve">\end{columns}</w:t>
      </w:r>
      <w:r>
        <w:br/>
      </w:r>
      <w:r>
        <w:br/>
      </w:r>
      <w:r>
        <w:rPr>
          <w:rStyle w:val="VerbatimChar"/>
        </w:rPr>
        <w:t xml:space="preserve">\note{</w:t>
      </w:r>
      <w:r>
        <w:br/>
      </w:r>
      <w:r>
        <w:rPr>
          <w:rStyle w:val="VerbatimChar"/>
        </w:rPr>
        <w:t xml:space="preserve">\textbf{Time: 2:30}\par</w:t>
      </w:r>
      <w:r>
        <w:br/>
      </w:r>
      <w:r>
        <w:rPr>
          <w:rStyle w:val="VerbatimChar"/>
        </w:rPr>
        <w:t xml:space="preserve">1) Define degree first: local visibility.\par</w:t>
      </w:r>
      <w:r>
        <w:br/>
      </w:r>
      <w:r>
        <w:rPr>
          <w:rStyle w:val="VerbatimChar"/>
        </w:rPr>
        <w:t xml:space="preserve">2) Then define betweenness exactly as in the paper (write the symbols aloud).\par</w:t>
      </w:r>
      <w:r>
        <w:br/>
      </w:r>
      <w:r>
        <w:rPr>
          <w:rStyle w:val="VerbatimChar"/>
        </w:rPr>
        <w:t xml:space="preserve">3) Explain why shortest paths matter in covert networks: extra step = extra risk/cost (authors’ rationale).\par</w:t>
      </w:r>
      <w:r>
        <w:br/>
      </w:r>
      <w:r>
        <w:rPr>
          <w:rStyle w:val="VerbatimChar"/>
        </w:rPr>
        <w:t xml:space="preserve">4) Use the cartoon: hub vs bridge.\par</w:t>
      </w:r>
      <w:r>
        <w:br/>
      </w:r>
      <w:r>
        <w:rPr>
          <w:rStyle w:val="VerbatimChar"/>
        </w:rPr>
        <w:t xml:space="preserve">5) Transition line: paper claims women are less “star-like” but more “bridging”.</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5 — Data sets overview (table + icons)</w:t>
      </w:r>
      <w:r>
        <w:br/>
      </w:r>
      <w:r>
        <w:rPr>
          <w:rStyle w:val="VerbatimChar"/>
        </w:rPr>
        <w:t xml:space="preserve">% ---------------------------------------------------------</w:t>
      </w:r>
      <w:r>
        <w:br/>
      </w:r>
      <w:r>
        <w:rPr>
          <w:rStyle w:val="VerbatimChar"/>
        </w:rPr>
        <w:t xml:space="preserve">\begin{frame}{Data sets (online vs offline) at a glance}</w:t>
      </w:r>
      <w:r>
        <w:br/>
      </w:r>
      <w:r>
        <w:rPr>
          <w:rStyle w:val="VerbatimChar"/>
        </w:rPr>
        <w:t xml:space="preserve">% Layout:</w:t>
      </w:r>
      <w:r>
        <w:br/>
      </w:r>
      <w:r>
        <w:rPr>
          <w:rStyle w:val="VerbatimChar"/>
        </w:rPr>
        <w:t xml:space="preserve">% - Header</w:t>
      </w:r>
      <w:r>
        <w:br/>
      </w:r>
      <w:r>
        <w:rPr>
          <w:rStyle w:val="VerbatimChar"/>
        </w:rPr>
        <w:t xml:space="preserve">% - Upper half: comparison table</w:t>
      </w:r>
      <w:r>
        <w:br/>
      </w:r>
      <w:r>
        <w:rPr>
          <w:rStyle w:val="VerbatimChar"/>
        </w:rPr>
        <w:t xml:space="preserve">% - Lower half: small timeline bar visual</w:t>
      </w:r>
      <w:r>
        <w:br/>
      </w:r>
      <w:r>
        <w:rPr>
          <w:rStyle w:val="VerbatimChar"/>
        </w:rPr>
        <w:t xml:space="preserve">\begin{block}{Operational networks and link definitions (paper)}</w:t>
      </w:r>
      <w:r>
        <w:br/>
      </w:r>
      <w:r>
        <w:rPr>
          <w:rStyle w:val="VerbatimChar"/>
        </w:rPr>
        <w:t xml:space="preserve">\centering</w:t>
      </w:r>
      <w:r>
        <w:br/>
      </w:r>
      <w:r>
        <w:rPr>
          <w:rStyle w:val="VerbatimChar"/>
        </w:rPr>
        <w:t xml:space="preserve">\small</w:t>
      </w:r>
      <w:r>
        <w:br/>
      </w:r>
      <w:r>
        <w:rPr>
          <w:rStyle w:val="VerbatimChar"/>
        </w:rPr>
        <w:t xml:space="preserve">\begin{tabular}{@{}p{0.22\textwidth}p{0.35\textwidth}p{0.35\textwidth}@{}}</w:t>
      </w:r>
      <w:r>
        <w:br/>
      </w:r>
      <w:r>
        <w:rPr>
          <w:rStyle w:val="VerbatimChar"/>
        </w:rPr>
        <w:t xml:space="preserve">\toprule</w:t>
      </w:r>
      <w:r>
        <w:br/>
      </w:r>
      <w:r>
        <w:rPr>
          <w:rStyle w:val="VerbatimChar"/>
        </w:rPr>
        <w:t xml:space="preserve"> &amp; Online pro-ISIS (VKontakte) &amp; Offline PIRA (IED collaboration) \\</w:t>
      </w:r>
      <w:r>
        <w:br/>
      </w:r>
      <w:r>
        <w:rPr>
          <w:rStyle w:val="VerbatimChar"/>
        </w:rPr>
        <w:t xml:space="preserve">\midrule</w:t>
      </w:r>
      <w:r>
        <w:br/>
      </w:r>
      <w:r>
        <w:rPr>
          <w:rStyle w:val="VerbatimChar"/>
        </w:rPr>
        <w:t xml:space="preserve">Nodes &amp; Individuals following pro-ISIS groups &amp; Individuals collaborating on IED events / assaults \\</w:t>
      </w:r>
      <w:r>
        <w:br/>
      </w:r>
      <w:r>
        <w:rPr>
          <w:rStyle w:val="VerbatimChar"/>
        </w:rPr>
        <w:t xml:space="preserve">Links &amp; Same group-page membership on a given day &amp; Same IED event within a given year \\</w:t>
      </w:r>
      <w:r>
        <w:br/>
      </w:r>
      <w:r>
        <w:rPr>
          <w:rStyle w:val="VerbatimChar"/>
        </w:rPr>
        <w:t xml:space="preserve">Time resolution &amp; Daily snapshots (early 2015 study window) &amp; Yearly networks (1970–1998; focus on post-reorg) \\</w:t>
      </w:r>
      <w:r>
        <w:br/>
      </w:r>
      <w:r>
        <w:rPr>
          <w:rStyle w:val="VerbatimChar"/>
        </w:rPr>
        <w:t xml:space="preserve">Scale (reported) &amp; 41,880 total (24,883 men; 16,931 women) &amp; 926 individuals over time; $\sim$5\% women \\</w:t>
      </w:r>
      <w:r>
        <w:br/>
      </w:r>
      <w:r>
        <w:rPr>
          <w:rStyle w:val="VerbatimChar"/>
        </w:rPr>
        <w:t xml:space="preserve">\bottomrule</w:t>
      </w:r>
      <w:r>
        <w:br/>
      </w:r>
      <w:r>
        <w:rPr>
          <w:rStyle w:val="VerbatimChar"/>
        </w:rPr>
        <w:t xml:space="preserve">\end{tabular}</w:t>
      </w:r>
      <w:r>
        <w:br/>
      </w:r>
      <w:r>
        <w:rPr>
          <w:rStyle w:val="VerbatimChar"/>
        </w:rPr>
        <w:t xml:space="preserve">\end{block}</w:t>
      </w:r>
      <w:r>
        <w:br/>
      </w:r>
      <w:r>
        <w:br/>
      </w:r>
      <w:r>
        <w:rPr>
          <w:rStyle w:val="VerbatimChar"/>
        </w:rPr>
        <w:t xml:space="preserve">\begin{center}</w:t>
      </w:r>
      <w:r>
        <w:br/>
      </w:r>
      <w:r>
        <w:rPr>
          <w:rStyle w:val="VerbatimChar"/>
        </w:rPr>
        <w:t xml:space="preserve">\begin{tikzpicture}[scale=1]</w:t>
      </w:r>
      <w:r>
        <w:br/>
      </w:r>
      <w:r>
        <w:rPr>
          <w:rStyle w:val="VerbatimChar"/>
        </w:rPr>
        <w:t xml:space="preserve">\node[box] (t1) {1970};</w:t>
      </w:r>
      <w:r>
        <w:br/>
      </w:r>
      <w:r>
        <w:rPr>
          <w:rStyle w:val="VerbatimChar"/>
        </w:rPr>
        <w:t xml:space="preserve">\node[box,right=1.2cm of t1] (t2) {late 1970s\\reorg};</w:t>
      </w:r>
      <w:r>
        <w:br/>
      </w:r>
      <w:r>
        <w:rPr>
          <w:rStyle w:val="VerbatimChar"/>
        </w:rPr>
        <w:t xml:space="preserve">\node[box,right=1.2cm of t2] (t3) {1980s onward\\(PIRA analysis)};</w:t>
      </w:r>
      <w:r>
        <w:br/>
      </w:r>
      <w:r>
        <w:rPr>
          <w:rStyle w:val="VerbatimChar"/>
        </w:rPr>
        <w:t xml:space="preserve">\node[box,right=1.2cm of t3] (t4) {1998};</w:t>
      </w:r>
      <w:r>
        <w:br/>
      </w:r>
      <w:r>
        <w:rPr>
          <w:rStyle w:val="VerbatimChar"/>
        </w:rPr>
        <w:t xml:space="preserve">\draw[arrow] (t1)--(t2)--(t3)--(t4);</w:t>
      </w:r>
      <w:r>
        <w:br/>
      </w:r>
      <w:r>
        <w:rPr>
          <w:rStyle w:val="VerbatimChar"/>
        </w:rPr>
        <w:t xml:space="preserve">\end{tikzpicture}</w:t>
      </w:r>
      <w:r>
        <w:br/>
      </w:r>
      <w:r>
        <w:rPr>
          <w:rStyle w:val="VerbatimChar"/>
        </w:rPr>
        <w:t xml:space="preserve">\end{center}</w:t>
      </w:r>
      <w:r>
        <w:br/>
      </w:r>
      <w:r>
        <w:br/>
      </w:r>
      <w:r>
        <w:rPr>
          <w:rStyle w:val="VerbatimChar"/>
        </w:rPr>
        <w:t xml:space="preserve">{\tiny Source: Manrique et al.\ (2016), Materials and Methods.}</w:t>
      </w:r>
      <w:r>
        <w:br/>
      </w:r>
      <w:r>
        <w:br/>
      </w:r>
      <w:r>
        <w:rPr>
          <w:rStyle w:val="VerbatimChar"/>
        </w:rPr>
        <w:t xml:space="preserve">\note{</w:t>
      </w:r>
      <w:r>
        <w:br/>
      </w:r>
      <w:r>
        <w:rPr>
          <w:rStyle w:val="VerbatimChar"/>
        </w:rPr>
        <w:t xml:space="preserve">\textbf{Time: 2:00}\par</w:t>
      </w:r>
      <w:r>
        <w:br/>
      </w:r>
      <w:r>
        <w:rPr>
          <w:rStyle w:val="VerbatimChar"/>
        </w:rPr>
        <w:t xml:space="preserve">Walk the audience through (i) what a node is, (ii) what an edge means, (iii) time resolution.\par</w:t>
      </w:r>
      <w:r>
        <w:br/>
      </w:r>
      <w:r>
        <w:rPr>
          <w:rStyle w:val="VerbatimChar"/>
        </w:rPr>
        <w:t xml:space="preserve">Emphasise: edges are operational/behavioural, not “friendship”.\par</w:t>
      </w:r>
      <w:r>
        <w:br/>
      </w:r>
      <w:r>
        <w:rPr>
          <w:rStyle w:val="VerbatimChar"/>
        </w:rPr>
        <w:t xml:space="preserve">Flag that the time resolutions differ (daily vs yearly), motivating why the modelling piece appears later.\par</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6 — Online collection pipeline (flowchart)</w:t>
      </w:r>
      <w:r>
        <w:br/>
      </w:r>
      <w:r>
        <w:rPr>
          <w:rStyle w:val="VerbatimChar"/>
        </w:rPr>
        <w:t xml:space="preserve">% ---------------------------------------------------------</w:t>
      </w:r>
      <w:r>
        <w:br/>
      </w:r>
      <w:r>
        <w:rPr>
          <w:rStyle w:val="VerbatimChar"/>
        </w:rPr>
        <w:t xml:space="preserve">\begin{frame}{Online network construction: VKontakte pipeline}</w:t>
      </w:r>
      <w:r>
        <w:br/>
      </w:r>
      <w:r>
        <w:rPr>
          <w:rStyle w:val="VerbatimChar"/>
        </w:rPr>
        <w:t xml:space="preserve">% Layout:</w:t>
      </w:r>
      <w:r>
        <w:br/>
      </w:r>
      <w:r>
        <w:rPr>
          <w:rStyle w:val="VerbatimChar"/>
        </w:rPr>
        <w:t xml:space="preserve">% - Header</w:t>
      </w:r>
      <w:r>
        <w:br/>
      </w:r>
      <w:r>
        <w:rPr>
          <w:rStyle w:val="VerbatimChar"/>
        </w:rPr>
        <w:t xml:space="preserve">% - Two-column (50/50)</w:t>
      </w:r>
      <w:r>
        <w:br/>
      </w:r>
      <w:r>
        <w:rPr>
          <w:rStyle w:val="VerbatimChar"/>
        </w:rPr>
        <w:t xml:space="preserve">% - Left: step list (from paper)</w:t>
      </w:r>
      <w:r>
        <w:br/>
      </w:r>
      <w:r>
        <w:rPr>
          <w:rStyle w:val="VerbatimChar"/>
        </w:rPr>
        <w:t xml:space="preserve">% - Right: custom flowchart diagram</w:t>
      </w:r>
      <w:r>
        <w:br/>
      </w:r>
      <w:r>
        <w:rPr>
          <w:rStyle w:val="VerbatimChar"/>
        </w:rPr>
        <w:t xml:space="preserve">\begin{columns}[T,onlytextwidth]</w:t>
      </w:r>
      <w:r>
        <w:br/>
      </w:r>
      <w:r>
        <w:rPr>
          <w:rStyle w:val="VerbatimChar"/>
        </w:rPr>
        <w:t xml:space="preserve">\begin{column}{0.50\textwidth}</w:t>
      </w:r>
      <w:r>
        <w:br/>
      </w:r>
      <w:r>
        <w:rPr>
          <w:rStyle w:val="VerbatimChar"/>
        </w:rPr>
        <w:t xml:space="preserve">\begin{block}{Paper’s identification procedure (Steps 1–5)}</w:t>
      </w:r>
      <w:r>
        <w:br/>
      </w:r>
      <w:r>
        <w:rPr>
          <w:rStyle w:val="VerbatimChar"/>
        </w:rPr>
        <w:t xml:space="preserve">\begin{enumerate}</w:t>
      </w:r>
      <w:r>
        <w:br/>
      </w:r>
      <w:r>
        <w:rPr>
          <w:rStyle w:val="VerbatimChar"/>
        </w:rPr>
        <w:t xml:space="preserve">\item Manual hashtag/narrative tracing $\rightarrow$ seed group pages.</w:t>
      </w:r>
      <w:r>
        <w:br/>
      </w:r>
      <w:r>
        <w:rPr>
          <w:rStyle w:val="VerbatimChar"/>
        </w:rPr>
        <w:t xml:space="preserve">\item API-based “snowball” expansion.</w:t>
      </w:r>
      <w:r>
        <w:br/>
      </w:r>
      <w:r>
        <w:rPr>
          <w:rStyle w:val="VerbatimChar"/>
        </w:rPr>
        <w:t xml:space="preserve">\item Cross-check to remove false positives.</w:t>
      </w:r>
      <w:r>
        <w:br/>
      </w:r>
      <w:r>
        <w:rPr>
          <w:rStyle w:val="VerbatimChar"/>
        </w:rPr>
        <w:t xml:space="preserve">\item Manual search of embedded links for new pages/hashtags.</w:t>
      </w:r>
      <w:r>
        <w:br/>
      </w:r>
      <w:r>
        <w:rPr>
          <w:rStyle w:val="VerbatimChar"/>
        </w:rPr>
        <w:t xml:space="preserve">\item Iterate until \alert{closure} (no new group pages).</w:t>
      </w:r>
      <w:r>
        <w:br/>
      </w:r>
      <w:r>
        <w:rPr>
          <w:rStyle w:val="VerbatimChar"/>
        </w:rPr>
        <w:t xml:space="preserve">\end{enumerate}</w:t>
      </w:r>
      <w:r>
        <w:br/>
      </w:r>
      <w:r>
        <w:rPr>
          <w:rStyle w:val="VerbatimChar"/>
        </w:rPr>
        <w:t xml:space="preserve">\end{block}</w:t>
      </w:r>
      <w:r>
        <w:br/>
      </w:r>
      <w:r>
        <w:br/>
      </w:r>
      <w:r>
        <w:rPr>
          <w:rStyle w:val="VerbatimChar"/>
        </w:rPr>
        <w:t xml:space="preserve">\begin{exampleblock}{Daily network rule}</w:t>
      </w:r>
      <w:r>
        <w:br/>
      </w:r>
      <w:r>
        <w:rPr>
          <w:rStyle w:val="VerbatimChar"/>
        </w:rPr>
        <w:t xml:space="preserve">On day $d$, connect two users if they follow the same pro-ISIS group page on day $d$.</w:t>
      </w:r>
      <w:r>
        <w:br/>
      </w:r>
      <w:r>
        <w:rPr>
          <w:rStyle w:val="VerbatimChar"/>
        </w:rPr>
        <w:t xml:space="preserve">\end{exampleblock}</w:t>
      </w:r>
      <w:r>
        <w:br/>
      </w:r>
      <w:r>
        <w:rPr>
          <w:rStyle w:val="VerbatimChar"/>
        </w:rPr>
        <w:t xml:space="preserve">\end{column}</w:t>
      </w:r>
      <w:r>
        <w:br/>
      </w:r>
      <w:r>
        <w:br/>
      </w:r>
      <w:r>
        <w:rPr>
          <w:rStyle w:val="VerbatimChar"/>
        </w:rPr>
        <w:t xml:space="preserve">\begin{column}{0.50\textwidth}</w:t>
      </w:r>
      <w:r>
        <w:br/>
      </w:r>
      <w:r>
        <w:rPr>
          <w:rStyle w:val="VerbatimChar"/>
        </w:rPr>
        <w:t xml:space="preserve">\begin{block}{Visual pipeline (custom)}</w:t>
      </w:r>
      <w:r>
        <w:br/>
      </w:r>
      <w:r>
        <w:rPr>
          <w:rStyle w:val="VerbatimChar"/>
        </w:rPr>
        <w:t xml:space="preserve">\centering</w:t>
      </w:r>
      <w:r>
        <w:br/>
      </w:r>
      <w:r>
        <w:rPr>
          <w:rStyle w:val="VerbatimChar"/>
        </w:rPr>
        <w:t xml:space="preserve">\begin{tikzpicture}[node distance=0.9cm]</w:t>
      </w:r>
      <w:r>
        <w:br/>
      </w:r>
      <w:r>
        <w:rPr>
          <w:rStyle w:val="VerbatimChar"/>
        </w:rPr>
        <w:t xml:space="preserve">\node[box] (hash) {Hashtags / narratives\\(multi-language)};</w:t>
      </w:r>
      <w:r>
        <w:br/>
      </w:r>
      <w:r>
        <w:rPr>
          <w:rStyle w:val="VerbatimChar"/>
        </w:rPr>
        <w:t xml:space="preserve">\node[box,below=of hash] (seed) {Seed group pages};</w:t>
      </w:r>
      <w:r>
        <w:br/>
      </w:r>
      <w:r>
        <w:rPr>
          <w:rStyle w:val="VerbatimChar"/>
        </w:rPr>
        <w:t xml:space="preserve">\node[box,below=of seed] (api) {API snowballing};</w:t>
      </w:r>
      <w:r>
        <w:br/>
      </w:r>
      <w:r>
        <w:rPr>
          <w:rStyle w:val="VerbatimChar"/>
        </w:rPr>
        <w:t xml:space="preserve">\node[box,below=of api] (clean) {Cross-check / clean list};</w:t>
      </w:r>
      <w:r>
        <w:br/>
      </w:r>
      <w:r>
        <w:rPr>
          <w:rStyle w:val="VerbatimChar"/>
        </w:rPr>
        <w:t xml:space="preserve">\node[box,below=of clean] (close) {Closure reached};</w:t>
      </w:r>
      <w:r>
        <w:br/>
      </w:r>
      <w:r>
        <w:rPr>
          <w:rStyle w:val="VerbatimChar"/>
        </w:rPr>
        <w:t xml:space="preserve">\node[box,below=of close] (users) {Extract followers\\(nodes)};</w:t>
      </w:r>
      <w:r>
        <w:br/>
      </w:r>
      <w:r>
        <w:rPr>
          <w:rStyle w:val="VerbatimChar"/>
        </w:rPr>
        <w:t xml:space="preserve">\node[box,below=of users] (daily) {Daily co-membership\\edges};</w:t>
      </w:r>
      <w:r>
        <w:br/>
      </w:r>
      <w:r>
        <w:br/>
      </w:r>
      <w:r>
        <w:rPr>
          <w:rStyle w:val="VerbatimChar"/>
        </w:rPr>
        <w:t xml:space="preserve">\draw[arrow] (hash)--(seed)--(api)--(clean)--(close)--(users)--(daily);</w:t>
      </w:r>
      <w:r>
        <w:br/>
      </w:r>
      <w:r>
        <w:rPr>
          <w:rStyle w:val="VerbatimChar"/>
        </w:rPr>
        <w:t xml:space="preserve">\end{tikzpicture}</w:t>
      </w:r>
      <w:r>
        <w:br/>
      </w:r>
      <w:r>
        <w:rPr>
          <w:rStyle w:val="VerbatimChar"/>
        </w:rPr>
        <w:t xml:space="preserve">\end{block}</w:t>
      </w:r>
      <w:r>
        <w:br/>
      </w:r>
      <w:r>
        <w:br/>
      </w:r>
      <w:r>
        <w:rPr>
          <w:rStyle w:val="VerbatimChar"/>
        </w:rPr>
        <w:t xml:space="preserve">{\tiny Place this slide before showing Fig.\ 1 so the figure “means something”.}</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Materials and Methods (Online pro-ISIS).}</w:t>
      </w:r>
      <w:r>
        <w:br/>
      </w:r>
      <w:r>
        <w:br/>
      </w:r>
      <w:r>
        <w:rPr>
          <w:rStyle w:val="VerbatimChar"/>
        </w:rPr>
        <w:t xml:space="preserve">\note{</w:t>
      </w:r>
      <w:r>
        <w:br/>
      </w:r>
      <w:r>
        <w:rPr>
          <w:rStyle w:val="VerbatimChar"/>
        </w:rPr>
        <w:t xml:space="preserve">\textbf{Time: 2:00}\par</w:t>
      </w:r>
      <w:r>
        <w:br/>
      </w:r>
      <w:r>
        <w:rPr>
          <w:rStyle w:val="VerbatimChar"/>
        </w:rPr>
        <w:t xml:space="preserve">Follow the exact steps as written in the paper; emphasise “closure” and daily resolution.\par</w:t>
      </w:r>
      <w:r>
        <w:br/>
      </w:r>
      <w:r>
        <w:rPr>
          <w:rStyle w:val="VerbatimChar"/>
        </w:rPr>
        <w:t xml:space="preserve">Mention scale: millions of aggregated links; 170 groups; mean followers per group.\par</w:t>
      </w:r>
      <w:r>
        <w:br/>
      </w:r>
      <w:r>
        <w:rPr>
          <w:rStyle w:val="VerbatimChar"/>
        </w:rPr>
        <w:t xml:space="preserve">Transition: now that edges are defined, we can interpret Fig.\ 1A as daily snapshots.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7 — Fig 1A: time snapshots (paper figure)</w:t>
      </w:r>
      <w:r>
        <w:br/>
      </w:r>
      <w:r>
        <w:rPr>
          <w:rStyle w:val="VerbatimChar"/>
        </w:rPr>
        <w:t xml:space="preserve">% ---------------------------------------------------------</w:t>
      </w:r>
      <w:r>
        <w:br/>
      </w:r>
      <w:r>
        <w:rPr>
          <w:rStyle w:val="VerbatimChar"/>
        </w:rPr>
        <w:t xml:space="preserve">\begin{frame}{Online pro-ISIS network: daily snapshots (Fig.\ 1A)}</w:t>
      </w:r>
      <w:r>
        <w:br/>
      </w:r>
      <w:r>
        <w:rPr>
          <w:rStyle w:val="VerbatimChar"/>
        </w:rPr>
        <w:t xml:space="preserve">% Layout:</w:t>
      </w:r>
      <w:r>
        <w:br/>
      </w:r>
      <w:r>
        <w:rPr>
          <w:rStyle w:val="VerbatimChar"/>
        </w:rPr>
        <w:t xml:space="preserve">% - Two-column (40/60): left narrative, right big figure</w:t>
      </w:r>
      <w:r>
        <w:br/>
      </w:r>
      <w:r>
        <w:rPr>
          <w:rStyle w:val="VerbatimChar"/>
        </w:rPr>
        <w:t xml:space="preserve">\begin{columns}[T,onlytextwidth]</w:t>
      </w:r>
      <w:r>
        <w:br/>
      </w:r>
      <w:r>
        <w:rPr>
          <w:rStyle w:val="VerbatimChar"/>
        </w:rPr>
        <w:t xml:space="preserve">\begin{column}{0.40\textwidth}</w:t>
      </w:r>
      <w:r>
        <w:br/>
      </w:r>
      <w:r>
        <w:rPr>
          <w:rStyle w:val="VerbatimChar"/>
        </w:rPr>
        <w:t xml:space="preserve">\begin{block}{What you’re looking at}</w:t>
      </w:r>
      <w:r>
        <w:br/>
      </w:r>
      <w:r>
        <w:rPr>
          <w:rStyle w:val="VerbatimChar"/>
        </w:rPr>
        <w:t xml:space="preserve">\begin{itemize}</w:t>
      </w:r>
      <w:r>
        <w:br/>
      </w:r>
      <w:r>
        <w:rPr>
          <w:rStyle w:val="VerbatimChar"/>
        </w:rPr>
        <w:t xml:space="preserve">\item Nodes: users; colours indicate gender (paper encoding).</w:t>
      </w:r>
      <w:r>
        <w:br/>
      </w:r>
      <w:r>
        <w:rPr>
          <w:rStyle w:val="VerbatimChar"/>
        </w:rPr>
        <w:t xml:space="preserve">\item Edges: shared group-page membership on that day.</w:t>
      </w:r>
      <w:r>
        <w:br/>
      </w:r>
      <w:r>
        <w:rPr>
          <w:rStyle w:val="VerbatimChar"/>
        </w:rPr>
        <w:t xml:space="preserve">\item Snapshot sequence illustrates fast, pressured evolution.</w:t>
      </w:r>
      <w:r>
        <w:br/>
      </w:r>
      <w:r>
        <w:rPr>
          <w:rStyle w:val="VerbatimChar"/>
        </w:rPr>
        <w:t xml:space="preserve">\end{itemize}</w:t>
      </w:r>
      <w:r>
        <w:br/>
      </w:r>
      <w:r>
        <w:rPr>
          <w:rStyle w:val="VerbatimChar"/>
        </w:rPr>
        <w:t xml:space="preserve">\end{block}</w:t>
      </w:r>
      <w:r>
        <w:br/>
      </w:r>
      <w:r>
        <w:br/>
      </w:r>
      <w:r>
        <w:rPr>
          <w:rStyle w:val="VerbatimChar"/>
        </w:rPr>
        <w:t xml:space="preserve">\begin{exampleblock}{Interpretation anchor}</w:t>
      </w:r>
      <w:r>
        <w:br/>
      </w:r>
      <w:r>
        <w:rPr>
          <w:rStyle w:val="VerbatimChar"/>
        </w:rPr>
        <w:t xml:space="preserve">The network is \alert{not static}; centrality is computed day-by-day.</w:t>
      </w:r>
      <w:r>
        <w:br/>
      </w:r>
      <w:r>
        <w:rPr>
          <w:rStyle w:val="VerbatimChar"/>
        </w:rPr>
        <w:t xml:space="preserve">\end{exampleblock}</w:t>
      </w:r>
      <w:r>
        <w:br/>
      </w:r>
      <w:r>
        <w:rPr>
          <w:rStyle w:val="VerbatimChar"/>
        </w:rPr>
        <w:t xml:space="preserve">\end{column}</w:t>
      </w:r>
      <w:r>
        <w:br/>
      </w:r>
      <w:r>
        <w:br/>
      </w:r>
      <w:r>
        <w:rPr>
          <w:rStyle w:val="VerbatimChar"/>
        </w:rPr>
        <w:t xml:space="preserve">\begin{column}{0.60\textwidth}</w:t>
      </w:r>
      <w:r>
        <w:br/>
      </w:r>
      <w:r>
        <w:rPr>
          <w:rStyle w:val="VerbatimChar"/>
        </w:rPr>
        <w:t xml:space="preserve">\centering</w:t>
      </w:r>
      <w:r>
        <w:br/>
      </w:r>
      <w:r>
        <w:rPr>
          <w:rStyle w:val="VerbatimChar"/>
        </w:rPr>
        <w:t xml:space="preserve">% Figure asset suggestion:</w:t>
      </w:r>
      <w:r>
        <w:br/>
      </w:r>
      <w:r>
        <w:rPr>
          <w:rStyle w:val="VerbatimChar"/>
        </w:rPr>
        <w:t xml:space="preserve">% - Extract Fig 1A from paper PDF into figures/fig1A.pdf (cropped).</w:t>
      </w:r>
      <w:r>
        <w:br/>
      </w:r>
      <w:r>
        <w:rPr>
          <w:rStyle w:val="VerbatimChar"/>
        </w:rPr>
        <w:t xml:space="preserve">\includegraphics[width=\linewidth]{figures/fig1A.pdf}</w:t>
      </w:r>
      <w:r>
        <w:br/>
      </w:r>
      <w:r>
        <w:rPr>
          <w:rStyle w:val="VerbatimChar"/>
        </w:rPr>
        <w:t xml:space="preserve">\vspace{-0.4em}</w:t>
      </w:r>
      <w:r>
        <w:br/>
      </w:r>
      <w:r>
        <w:rPr>
          <w:rStyle w:val="VerbatimChar"/>
        </w:rPr>
        <w:t xml:space="preserve">{\scriptsize Fig.\ 1A (paper): illustrative daily snapshots.}</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1A.}</w:t>
      </w:r>
      <w:r>
        <w:br/>
      </w:r>
      <w:r>
        <w:br/>
      </w:r>
      <w:r>
        <w:rPr>
          <w:rStyle w:val="VerbatimChar"/>
        </w:rPr>
        <w:t xml:space="preserve">\note{</w:t>
      </w:r>
      <w:r>
        <w:br/>
      </w:r>
      <w:r>
        <w:rPr>
          <w:rStyle w:val="VerbatimChar"/>
        </w:rPr>
        <w:t xml:space="preserve">\textbf{Time: 1:30}\par</w:t>
      </w:r>
      <w:r>
        <w:br/>
      </w:r>
      <w:r>
        <w:rPr>
          <w:rStyle w:val="VerbatimChar"/>
        </w:rPr>
        <w:t xml:space="preserve">Tell them how to read: nodes, edges, colours.\par</w:t>
      </w:r>
      <w:r>
        <w:br/>
      </w:r>
      <w:r>
        <w:rPr>
          <w:rStyle w:val="VerbatimChar"/>
        </w:rPr>
        <w:t xml:space="preserve">Point out that day-to-day changes are expected under pressure.\par</w:t>
      </w:r>
      <w:r>
        <w:br/>
      </w:r>
      <w:r>
        <w:rPr>
          <w:rStyle w:val="VerbatimChar"/>
        </w:rPr>
        <w:t xml:space="preserve">Set up why time-resolved centrality is meaningful (next slide: betweenness over time).</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8 — Fig 1B: betweenness time series</w:t>
      </w:r>
      <w:r>
        <w:br/>
      </w:r>
      <w:r>
        <w:rPr>
          <w:rStyle w:val="VerbatimChar"/>
        </w:rPr>
        <w:t xml:space="preserve">% ---------------------------------------------------------</w:t>
      </w:r>
      <w:r>
        <w:br/>
      </w:r>
      <w:r>
        <w:rPr>
          <w:rStyle w:val="VerbatimChar"/>
        </w:rPr>
        <w:t xml:space="preserve">\begin{frame}{Result (online): women show higher betweenness peaks (Fig.\ 1B)}</w:t>
      </w:r>
      <w:r>
        <w:br/>
      </w:r>
      <w:r>
        <w:rPr>
          <w:rStyle w:val="VerbatimChar"/>
        </w:rPr>
        <w:t xml:space="preserve">% Layout:</w:t>
      </w:r>
      <w:r>
        <w:br/>
      </w:r>
      <w:r>
        <w:rPr>
          <w:rStyle w:val="VerbatimChar"/>
        </w:rPr>
        <w:t xml:space="preserve">% - Right: big plot</w:t>
      </w:r>
      <w:r>
        <w:br/>
      </w:r>
      <w:r>
        <w:rPr>
          <w:rStyle w:val="VerbatimChar"/>
        </w:rPr>
        <w:t xml:space="preserve">% - Left: 3 short interpretive bullets + “how to read the axes”</w:t>
      </w:r>
      <w:r>
        <w:br/>
      </w:r>
      <w:r>
        <w:rPr>
          <w:rStyle w:val="VerbatimChar"/>
        </w:rPr>
        <w:t xml:space="preserve">\begin{columns}[T,onlytextwidth]</w:t>
      </w:r>
      <w:r>
        <w:br/>
      </w:r>
      <w:r>
        <w:rPr>
          <w:rStyle w:val="VerbatimChar"/>
        </w:rPr>
        <w:t xml:space="preserve">\begin{column}{0.38\textwidth}</w:t>
      </w:r>
      <w:r>
        <w:br/>
      </w:r>
      <w:r>
        <w:rPr>
          <w:rStyle w:val="VerbatimChar"/>
        </w:rPr>
        <w:t xml:space="preserve">\begin{block}{How to read Fig.\ 1B}</w:t>
      </w:r>
      <w:r>
        <w:br/>
      </w:r>
      <w:r>
        <w:rPr>
          <w:rStyle w:val="VerbatimChar"/>
        </w:rPr>
        <w:t xml:space="preserve">\begin{itemize}</w:t>
      </w:r>
      <w:r>
        <w:br/>
      </w:r>
      <w:r>
        <w:rPr>
          <w:rStyle w:val="VerbatimChar"/>
        </w:rPr>
        <w:t xml:space="preserve">\item X-axis: day.</w:t>
      </w:r>
      <w:r>
        <w:br/>
      </w:r>
      <w:r>
        <w:rPr>
          <w:rStyle w:val="VerbatimChar"/>
        </w:rPr>
        <w:t xml:space="preserve">\item Y-axis: average betweenness centrality (BC).</w:t>
      </w:r>
      <w:r>
        <w:br/>
      </w:r>
      <w:r>
        <w:rPr>
          <w:rStyle w:val="VerbatimChar"/>
        </w:rPr>
        <w:t xml:space="preserve">\item Red vs blue: women vs men average BC.</w:t>
      </w:r>
      <w:r>
        <w:br/>
      </w:r>
      <w:r>
        <w:rPr>
          <w:rStyle w:val="VerbatimChar"/>
        </w:rPr>
        <w:t xml:space="preserve">\end{itemize}</w:t>
      </w:r>
      <w:r>
        <w:br/>
      </w:r>
      <w:r>
        <w:rPr>
          <w:rStyle w:val="VerbatimChar"/>
        </w:rPr>
        <w:t xml:space="preserve">\end{block}</w:t>
      </w:r>
      <w:r>
        <w:br/>
      </w:r>
      <w:r>
        <w:br/>
      </w:r>
      <w:r>
        <w:rPr>
          <w:rStyle w:val="VerbatimChar"/>
        </w:rPr>
        <w:t xml:space="preserve">\begin{exampleblock}{Paper’s interpretation}</w:t>
      </w:r>
      <w:r>
        <w:br/>
      </w:r>
      <w:r>
        <w:rPr>
          <w:rStyle w:val="VerbatimChar"/>
        </w:rPr>
        <w:t xml:space="preserve">High BC implies brokerage along shortest paths: passing messages/files, linking distant parts of the network.</w:t>
      </w:r>
      <w:r>
        <w:br/>
      </w:r>
      <w:r>
        <w:rPr>
          <w:rStyle w:val="VerbatimChar"/>
        </w:rPr>
        <w:t xml:space="preserve">\end{exampleblock}</w:t>
      </w:r>
      <w:r>
        <w:br/>
      </w:r>
      <w:r>
        <w:rPr>
          <w:rStyle w:val="VerbatimChar"/>
        </w:rPr>
        <w:t xml:space="preserve">\end{column}</w:t>
      </w:r>
      <w:r>
        <w:br/>
      </w:r>
      <w:r>
        <w:br/>
      </w:r>
      <w:r>
        <w:rPr>
          <w:rStyle w:val="VerbatimChar"/>
        </w:rPr>
        <w:t xml:space="preserve">\begin{column}{0.62\textwidth}</w:t>
      </w:r>
      <w:r>
        <w:br/>
      </w:r>
      <w:r>
        <w:rPr>
          <w:rStyle w:val="VerbatimChar"/>
        </w:rPr>
        <w:t xml:space="preserve">\centering</w:t>
      </w:r>
      <w:r>
        <w:br/>
      </w:r>
      <w:r>
        <w:rPr>
          <w:rStyle w:val="VerbatimChar"/>
        </w:rPr>
        <w:t xml:space="preserve">\includegraphics[width=\linewidth]{figures/fig1B.pdf}</w:t>
      </w:r>
      <w:r>
        <w:br/>
      </w:r>
      <w:r>
        <w:rPr>
          <w:rStyle w:val="VerbatimChar"/>
        </w:rPr>
        <w:t xml:space="preserve">\vspace{-0.4em}</w:t>
      </w:r>
      <w:r>
        <w:br/>
      </w:r>
      <w:r>
        <w:rPr>
          <w:rStyle w:val="VerbatimChar"/>
        </w:rPr>
        <w:t xml:space="preserve">{\scriptsize Fig.\ 1B (paper): daily average BC, women vs men.}</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1B + Results text.}</w:t>
      </w:r>
      <w:r>
        <w:br/>
      </w:r>
      <w:r>
        <w:br/>
      </w:r>
      <w:r>
        <w:rPr>
          <w:rStyle w:val="VerbatimChar"/>
        </w:rPr>
        <w:t xml:space="preserve">\note{</w:t>
      </w:r>
      <w:r>
        <w:br/>
      </w:r>
      <w:r>
        <w:rPr>
          <w:rStyle w:val="VerbatimChar"/>
        </w:rPr>
        <w:t xml:space="preserve">\textbf{Time: 2:00}\par</w:t>
      </w:r>
      <w:r>
        <w:br/>
      </w:r>
      <w:r>
        <w:rPr>
          <w:rStyle w:val="VerbatimChar"/>
        </w:rPr>
        <w:t xml:space="preserve">1) Walk through axes and colours.\par</w:t>
      </w:r>
      <w:r>
        <w:br/>
      </w:r>
      <w:r>
        <w:rPr>
          <w:rStyle w:val="VerbatimChar"/>
        </w:rPr>
        <w:t xml:space="preserve">2) State the empirical fact: women’s average BC has frequent large peaks.\par</w:t>
      </w:r>
      <w:r>
        <w:br/>
      </w:r>
      <w:r>
        <w:rPr>
          <w:rStyle w:val="VerbatimChar"/>
        </w:rPr>
        <w:t xml:space="preserve">3) Give the operational meaning as authors do: shortest-path brokerage is valuable under risk.\par</w:t>
      </w:r>
      <w:r>
        <w:br/>
      </w:r>
      <w:r>
        <w:rPr>
          <w:rStyle w:val="VerbatimChar"/>
        </w:rPr>
        <w:t xml:space="preserve">4) Transition: could this just be because women have higher degree? Next slide answers.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9 — Fig 1C: degree + null model + Z</w:t>
      </w:r>
      <w:r>
        <w:br/>
      </w:r>
      <w:r>
        <w:rPr>
          <w:rStyle w:val="VerbatimChar"/>
        </w:rPr>
        <w:t xml:space="preserve">% ---------------------------------------------------------</w:t>
      </w:r>
      <w:r>
        <w:br/>
      </w:r>
      <w:r>
        <w:rPr>
          <w:rStyle w:val="VerbatimChar"/>
        </w:rPr>
        <w:t xml:space="preserve">\begin{frame}{Result (online): degree centrality + gender-shuffle null (Fig.\ 1C)}</w:t>
      </w:r>
      <w:r>
        <w:br/>
      </w:r>
      <w:r>
        <w:rPr>
          <w:rStyle w:val="VerbatimChar"/>
        </w:rPr>
        <w:t xml:space="preserve">% Layout:</w:t>
      </w:r>
      <w:r>
        <w:br/>
      </w:r>
      <w:r>
        <w:rPr>
          <w:rStyle w:val="VerbatimChar"/>
        </w:rPr>
        <w:t xml:space="preserve">% - Two-column</w:t>
      </w:r>
      <w:r>
        <w:br/>
      </w:r>
      <w:r>
        <w:rPr>
          <w:rStyle w:val="VerbatimChar"/>
        </w:rPr>
        <w:t xml:space="preserve">% - Left: null model explanation + Z-score callout</w:t>
      </w:r>
      <w:r>
        <w:br/>
      </w:r>
      <w:r>
        <w:rPr>
          <w:rStyle w:val="VerbatimChar"/>
        </w:rPr>
        <w:t xml:space="preserve">% - Right: histogram figure</w:t>
      </w:r>
      <w:r>
        <w:br/>
      </w:r>
      <w:r>
        <w:rPr>
          <w:rStyle w:val="VerbatimChar"/>
        </w:rPr>
        <w:t xml:space="preserve">\begin{columns}[T,onlytextwidth]</w:t>
      </w:r>
      <w:r>
        <w:br/>
      </w:r>
      <w:r>
        <w:rPr>
          <w:rStyle w:val="VerbatimChar"/>
        </w:rPr>
        <w:t xml:space="preserve">\begin{column}{0.42\textwidth}</w:t>
      </w:r>
      <w:r>
        <w:br/>
      </w:r>
      <w:r>
        <w:rPr>
          <w:rStyle w:val="VerbatimChar"/>
        </w:rPr>
        <w:t xml:space="preserve">\begin{block}{Null model used in the paper}</w:t>
      </w:r>
      <w:r>
        <w:br/>
      </w:r>
      <w:r>
        <w:rPr>
          <w:rStyle w:val="VerbatimChar"/>
        </w:rPr>
        <w:t xml:space="preserve">Randomly shuffle node genders in the time-averaged network; recompute degree statistics.</w:t>
      </w:r>
      <w:r>
        <w:br/>
      </w:r>
      <w:r>
        <w:rPr>
          <w:rStyle w:val="VerbatimChar"/>
        </w:rPr>
        <w:t xml:space="preserve">\end{block}</w:t>
      </w:r>
      <w:r>
        <w:br/>
      </w:r>
      <w:r>
        <w:br/>
      </w:r>
      <w:r>
        <w:rPr>
          <w:rStyle w:val="VerbatimChar"/>
        </w:rPr>
        <w:t xml:space="preserve">\begin{exampleblock}{Reported effect size}</w:t>
      </w:r>
      <w:r>
        <w:br/>
      </w:r>
      <w:r>
        <w:rPr>
          <w:rStyle w:val="VerbatimChar"/>
        </w:rPr>
        <w:t xml:space="preserve">Women’s average degree is \alert{&gt; 4 SD} above null expectation; Z-score $\approx +4.7$ for women and $\approx -4.7$ for men.</w:t>
      </w:r>
      <w:r>
        <w:br/>
      </w:r>
      <w:r>
        <w:rPr>
          <w:rStyle w:val="VerbatimChar"/>
        </w:rPr>
        <w:t xml:space="preserve">\end{exampleblock}</w:t>
      </w:r>
      <w:r>
        <w:br/>
      </w:r>
      <w:r>
        <w:br/>
      </w:r>
      <w:r>
        <w:rPr>
          <w:rStyle w:val="VerbatimChar"/>
        </w:rPr>
        <w:t xml:space="preserve">\begin{block}{Quick Z-score reminder (for audience)}</w:t>
      </w:r>
      <w:r>
        <w:br/>
      </w:r>
      <w:r>
        <w:rPr>
          <w:rStyle w:val="VerbatimChar"/>
        </w:rPr>
        <w:t xml:space="preserve">\[</w:t>
      </w:r>
      <w:r>
        <w:br/>
      </w:r>
      <w:r>
        <w:rPr>
          <w:rStyle w:val="VerbatimChar"/>
        </w:rPr>
        <w:t xml:space="preserve">Z=\frac{x-\mu_{\text{null}}}{\sigma_{\text{null}}}</w:t>
      </w:r>
      <w:r>
        <w:br/>
      </w:r>
      <w:r>
        <w:rPr>
          <w:rStyle w:val="VerbatimChar"/>
        </w:rPr>
        <w:t xml:space="preserve">\]</w:t>
      </w:r>
      <w:r>
        <w:br/>
      </w:r>
      <w:r>
        <w:rPr>
          <w:rStyle w:val="VerbatimChar"/>
        </w:rPr>
        <w:t xml:space="preserve">\end{block}</w:t>
      </w:r>
      <w:r>
        <w:br/>
      </w:r>
      <w:r>
        <w:rPr>
          <w:rStyle w:val="VerbatimChar"/>
        </w:rPr>
        <w:t xml:space="preserve">\end{column}</w:t>
      </w:r>
      <w:r>
        <w:br/>
      </w:r>
      <w:r>
        <w:br/>
      </w:r>
      <w:r>
        <w:rPr>
          <w:rStyle w:val="VerbatimChar"/>
        </w:rPr>
        <w:t xml:space="preserve">\begin{column}{0.58\textwidth}</w:t>
      </w:r>
      <w:r>
        <w:br/>
      </w:r>
      <w:r>
        <w:rPr>
          <w:rStyle w:val="VerbatimChar"/>
        </w:rPr>
        <w:t xml:space="preserve">\centering</w:t>
      </w:r>
      <w:r>
        <w:br/>
      </w:r>
      <w:r>
        <w:rPr>
          <w:rStyle w:val="VerbatimChar"/>
        </w:rPr>
        <w:t xml:space="preserve">\includegraphics[width=\linewidth]{figures/fig1C.pdf}</w:t>
      </w:r>
      <w:r>
        <w:br/>
      </w:r>
      <w:r>
        <w:rPr>
          <w:rStyle w:val="VerbatimChar"/>
        </w:rPr>
        <w:t xml:space="preserve">\vspace{-0.4em}</w:t>
      </w:r>
      <w:r>
        <w:br/>
      </w:r>
      <w:r>
        <w:rPr>
          <w:rStyle w:val="VerbatimChar"/>
        </w:rPr>
        <w:t xml:space="preserve">{\scriptsize Fig.\ 1C (paper): degree centrality + null model distribution.}</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1C and Results text.}</w:t>
      </w:r>
      <w:r>
        <w:br/>
      </w:r>
      <w:r>
        <w:br/>
      </w:r>
      <w:r>
        <w:rPr>
          <w:rStyle w:val="VerbatimChar"/>
        </w:rPr>
        <w:t xml:space="preserve">\note{</w:t>
      </w:r>
      <w:r>
        <w:br/>
      </w:r>
      <w:r>
        <w:rPr>
          <w:rStyle w:val="VerbatimChar"/>
        </w:rPr>
        <w:t xml:space="preserve">\textbf{Time: 2:00}\par</w:t>
      </w:r>
      <w:r>
        <w:br/>
      </w:r>
      <w:r>
        <w:rPr>
          <w:rStyle w:val="VerbatimChar"/>
        </w:rPr>
        <w:t xml:space="preserve">Explain what “shuffle genders” tests: whether observed gender differences exceed what would happen if gender labels were random.\par</w:t>
      </w:r>
      <w:r>
        <w:br/>
      </w:r>
      <w:r>
        <w:rPr>
          <w:rStyle w:val="VerbatimChar"/>
        </w:rPr>
        <w:t xml:space="preserve">Point directly to the Z-score values as the paper reports.\par</w:t>
      </w:r>
      <w:r>
        <w:br/>
      </w:r>
      <w:r>
        <w:rPr>
          <w:rStyle w:val="VerbatimChar"/>
        </w:rPr>
        <w:t xml:space="preserve">Then caution: high degree can increase visibility. This sets up the “avoid being stars” result.</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10 — Fig 1D: stars vs brokers (concept)</w:t>
      </w:r>
      <w:r>
        <w:br/>
      </w:r>
      <w:r>
        <w:rPr>
          <w:rStyle w:val="VerbatimChar"/>
        </w:rPr>
        <w:t xml:space="preserve">% ---------------------------------------------------------</w:t>
      </w:r>
      <w:r>
        <w:br/>
      </w:r>
      <w:r>
        <w:rPr>
          <w:rStyle w:val="VerbatimChar"/>
        </w:rPr>
        <w:t xml:space="preserve">\begin{frame}{Mechanism intuition (online): avoid “stars”, retain brokerage (Fig.\ 1D)}</w:t>
      </w:r>
      <w:r>
        <w:br/>
      </w:r>
      <w:r>
        <w:rPr>
          <w:rStyle w:val="VerbatimChar"/>
        </w:rPr>
        <w:t xml:space="preserve">% Layout:</w:t>
      </w:r>
      <w:r>
        <w:br/>
      </w:r>
      <w:r>
        <w:rPr>
          <w:rStyle w:val="VerbatimChar"/>
        </w:rPr>
        <w:t xml:space="preserve">% - Full width: two side-by-side mini diagrams + one sentence takeaway</w:t>
      </w:r>
      <w:r>
        <w:br/>
      </w:r>
      <w:r>
        <w:rPr>
          <w:rStyle w:val="VerbatimChar"/>
        </w:rPr>
        <w:t xml:space="preserve">\begin{columns}[T,onlytextwidth]</w:t>
      </w:r>
      <w:r>
        <w:br/>
      </w:r>
      <w:r>
        <w:rPr>
          <w:rStyle w:val="VerbatimChar"/>
        </w:rPr>
        <w:t xml:space="preserve">\begin{column}{0.50\textwidth}</w:t>
      </w:r>
      <w:r>
        <w:br/>
      </w:r>
      <w:r>
        <w:rPr>
          <w:rStyle w:val="VerbatimChar"/>
        </w:rPr>
        <w:t xml:space="preserve">\begin{block}{Left panel: “star”}</w:t>
      </w:r>
      <w:r>
        <w:br/>
      </w:r>
      <w:r>
        <w:rPr>
          <w:rStyle w:val="VerbatimChar"/>
        </w:rPr>
        <w:t xml:space="preserve">\centering</w:t>
      </w:r>
      <w:r>
        <w:br/>
      </w:r>
      <w:r>
        <w:rPr>
          <w:rStyle w:val="VerbatimChar"/>
        </w:rPr>
        <w:t xml:space="preserve">\includegraphics[width=0.95\linewidth]{figures/fig1D_left.pdf}</w:t>
      </w:r>
      <w:r>
        <w:br/>
      </w:r>
      <w:r>
        <w:rPr>
          <w:rStyle w:val="VerbatimChar"/>
        </w:rPr>
        <w:t xml:space="preserve">\vspace{-0.4em}</w:t>
      </w:r>
      <w:r>
        <w:br/>
      </w:r>
      <w:r>
        <w:rPr>
          <w:rStyle w:val="VerbatimChar"/>
        </w:rPr>
        <w:t xml:space="preserve">{\scriptsize High BC + high degree $\Rightarrow$ visible hub.}</w:t>
      </w:r>
      <w:r>
        <w:br/>
      </w:r>
      <w:r>
        <w:rPr>
          <w:rStyle w:val="VerbatimChar"/>
        </w:rPr>
        <w:t xml:space="preserve">\end{block}</w:t>
      </w:r>
      <w:r>
        <w:br/>
      </w:r>
      <w:r>
        <w:rPr>
          <w:rStyle w:val="VerbatimChar"/>
        </w:rPr>
        <w:t xml:space="preserve">\end{column}</w:t>
      </w:r>
      <w:r>
        <w:br/>
      </w:r>
      <w:r>
        <w:br/>
      </w:r>
      <w:r>
        <w:rPr>
          <w:rStyle w:val="VerbatimChar"/>
        </w:rPr>
        <w:t xml:space="preserve">\begin{column}{0.50\textwidth}</w:t>
      </w:r>
      <w:r>
        <w:br/>
      </w:r>
      <w:r>
        <w:rPr>
          <w:rStyle w:val="VerbatimChar"/>
        </w:rPr>
        <w:t xml:space="preserve">\begin{block}{Right panel: “broker”}</w:t>
      </w:r>
      <w:r>
        <w:br/>
      </w:r>
      <w:r>
        <w:rPr>
          <w:rStyle w:val="VerbatimChar"/>
        </w:rPr>
        <w:t xml:space="preserve">\centering</w:t>
      </w:r>
      <w:r>
        <w:br/>
      </w:r>
      <w:r>
        <w:rPr>
          <w:rStyle w:val="VerbatimChar"/>
        </w:rPr>
        <w:t xml:space="preserve">\includegraphics[width=0.95\linewidth]{figures/fig1D_right.pdf}</w:t>
      </w:r>
      <w:r>
        <w:br/>
      </w:r>
      <w:r>
        <w:rPr>
          <w:rStyle w:val="VerbatimChar"/>
        </w:rPr>
        <w:t xml:space="preserve">\vspace{-0.4em}</w:t>
      </w:r>
      <w:r>
        <w:br/>
      </w:r>
      <w:r>
        <w:rPr>
          <w:rStyle w:val="VerbatimChar"/>
        </w:rPr>
        <w:t xml:space="preserve">{\scriptsize High BC + low degree $\Rightarrow$ bridge / broker.}</w:t>
      </w:r>
      <w:r>
        <w:br/>
      </w:r>
      <w:r>
        <w:rPr>
          <w:rStyle w:val="VerbatimChar"/>
        </w:rPr>
        <w:t xml:space="preserve">\end{block}</w:t>
      </w:r>
      <w:r>
        <w:br/>
      </w:r>
      <w:r>
        <w:rPr>
          <w:rStyle w:val="VerbatimChar"/>
        </w:rPr>
        <w:t xml:space="preserve">\end{column}</w:t>
      </w:r>
      <w:r>
        <w:br/>
      </w:r>
      <w:r>
        <w:rPr>
          <w:rStyle w:val="VerbatimChar"/>
        </w:rPr>
        <w:t xml:space="preserve">\end{columns}</w:t>
      </w:r>
      <w:r>
        <w:br/>
      </w:r>
      <w:r>
        <w:br/>
      </w:r>
      <w:r>
        <w:rPr>
          <w:rStyle w:val="VerbatimChar"/>
        </w:rPr>
        <w:t xml:space="preserve">\begin{center}</w:t>
      </w:r>
      <w:r>
        <w:br/>
      </w:r>
      <w:r>
        <w:rPr>
          <w:rStyle w:val="VerbatimChar"/>
        </w:rPr>
        <w:t xml:space="preserve">\alert{\textbf{Takeaway:}} Paper argues women provide global shortest-path benefits while avoiding conspicuous local hub status.</w:t>
      </w:r>
      <w:r>
        <w:br/>
      </w:r>
      <w:r>
        <w:rPr>
          <w:rStyle w:val="VerbatimChar"/>
        </w:rPr>
        <w:t xml:space="preserve">\end{center}</w:t>
      </w:r>
      <w:r>
        <w:br/>
      </w:r>
      <w:r>
        <w:br/>
      </w:r>
      <w:r>
        <w:rPr>
          <w:rStyle w:val="VerbatimChar"/>
        </w:rPr>
        <w:t xml:space="preserve">{\tiny Source: Manrique et al.\ (2016), Fig.\ 1D + Results narrative.}</w:t>
      </w:r>
      <w:r>
        <w:br/>
      </w:r>
      <w:r>
        <w:br/>
      </w:r>
      <w:r>
        <w:rPr>
          <w:rStyle w:val="VerbatimChar"/>
        </w:rPr>
        <w:t xml:space="preserve">\note{</w:t>
      </w:r>
      <w:r>
        <w:br/>
      </w:r>
      <w:r>
        <w:rPr>
          <w:rStyle w:val="VerbatimChar"/>
        </w:rPr>
        <w:t xml:space="preserve">\textbf{Time: 2:00}\par</w:t>
      </w:r>
      <w:r>
        <w:br/>
      </w:r>
      <w:r>
        <w:rPr>
          <w:rStyle w:val="VerbatimChar"/>
        </w:rPr>
        <w:t xml:space="preserve">Treat this slide as the “interpretation hinge”.\par</w:t>
      </w:r>
      <w:r>
        <w:br/>
      </w:r>
      <w:r>
        <w:rPr>
          <w:rStyle w:val="VerbatimChar"/>
        </w:rPr>
        <w:t xml:space="preserve">Explain: degree makes you locally noticeable; betweenness makes you globally important.\par</w:t>
      </w:r>
      <w:r>
        <w:br/>
      </w:r>
      <w:r>
        <w:rPr>
          <w:rStyle w:val="VerbatimChar"/>
        </w:rPr>
        <w:t xml:space="preserve">The paper’s key point is the combination: women can have high BC without being high-degree stars.\par</w:t>
      </w:r>
      <w:r>
        <w:br/>
      </w:r>
      <w:r>
        <w:rPr>
          <w:rStyle w:val="VerbatimChar"/>
        </w:rPr>
        <w:t xml:space="preserve">Transition: does this pattern persist offline where risks are direct?</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11 — Offline network construction (PIRA)</w:t>
      </w:r>
      <w:r>
        <w:br/>
      </w:r>
      <w:r>
        <w:rPr>
          <w:rStyle w:val="VerbatimChar"/>
        </w:rPr>
        <w:t xml:space="preserve">% ---------------------------------------------------------</w:t>
      </w:r>
      <w:r>
        <w:br/>
      </w:r>
      <w:r>
        <w:rPr>
          <w:rStyle w:val="VerbatimChar"/>
        </w:rPr>
        <w:t xml:space="preserve">\begin{frame}{Offline PIRA network: how edges are formed}</w:t>
      </w:r>
      <w:r>
        <w:br/>
      </w:r>
      <w:r>
        <w:rPr>
          <w:rStyle w:val="VerbatimChar"/>
        </w:rPr>
        <w:t xml:space="preserve">% Layout:</w:t>
      </w:r>
      <w:r>
        <w:br/>
      </w:r>
      <w:r>
        <w:rPr>
          <w:rStyle w:val="VerbatimChar"/>
        </w:rPr>
        <w:t xml:space="preserve">% - Two-column: left narrative, right snapshot visual (Fig 2A)</w:t>
      </w:r>
      <w:r>
        <w:br/>
      </w:r>
      <w:r>
        <w:rPr>
          <w:rStyle w:val="VerbatimChar"/>
        </w:rPr>
        <w:t xml:space="preserve">\begin{columns}[T,onlytextwidth]</w:t>
      </w:r>
      <w:r>
        <w:br/>
      </w:r>
      <w:r>
        <w:rPr>
          <w:rStyle w:val="VerbatimChar"/>
        </w:rPr>
        <w:t xml:space="preserve">\begin{column}{0.42\textwidth}</w:t>
      </w:r>
      <w:r>
        <w:br/>
      </w:r>
      <w:r>
        <w:rPr>
          <w:rStyle w:val="VerbatimChar"/>
        </w:rPr>
        <w:t xml:space="preserve">\begin{block}{Paper’s offline definition}</w:t>
      </w:r>
      <w:r>
        <w:br/>
      </w:r>
      <w:r>
        <w:rPr>
          <w:rStyle w:val="VerbatimChar"/>
        </w:rPr>
        <w:t xml:space="preserve">\begin{itemize}</w:t>
      </w:r>
      <w:r>
        <w:br/>
      </w:r>
      <w:r>
        <w:rPr>
          <w:rStyle w:val="VerbatimChar"/>
        </w:rPr>
        <w:t xml:space="preserve">\item Nodes: PIRA actors.</w:t>
      </w:r>
      <w:r>
        <w:br/>
      </w:r>
      <w:r>
        <w:rPr>
          <w:rStyle w:val="VerbatimChar"/>
        </w:rPr>
        <w:t xml:space="preserve">\item Link in year $y$ if two actors collaborated on an IED event / assault in that year.</w:t>
      </w:r>
      <w:r>
        <w:br/>
      </w:r>
      <w:r>
        <w:rPr>
          <w:rStyle w:val="VerbatimChar"/>
        </w:rPr>
        <w:t xml:space="preserve">\item Data assembled from archival sources and coded with cross-checking.</w:t>
      </w:r>
      <w:r>
        <w:br/>
      </w:r>
      <w:r>
        <w:rPr>
          <w:rStyle w:val="VerbatimChar"/>
        </w:rPr>
        <w:t xml:space="preserve">\end{itemize}</w:t>
      </w:r>
      <w:r>
        <w:br/>
      </w:r>
      <w:r>
        <w:rPr>
          <w:rStyle w:val="VerbatimChar"/>
        </w:rPr>
        <w:t xml:space="preserve">\end{block}</w:t>
      </w:r>
      <w:r>
        <w:br/>
      </w:r>
      <w:r>
        <w:br/>
      </w:r>
      <w:r>
        <w:rPr>
          <w:rStyle w:val="VerbatimChar"/>
        </w:rPr>
        <w:t xml:space="preserve">\begin{exampleblock}{Scale (reported)}</w:t>
      </w:r>
      <w:r>
        <w:br/>
      </w:r>
      <w:r>
        <w:rPr>
          <w:rStyle w:val="VerbatimChar"/>
        </w:rPr>
        <w:t xml:space="preserve">926 individuals over time; women $\sim$5\% of those; yearly turnover is substantial.</w:t>
      </w:r>
      <w:r>
        <w:br/>
      </w:r>
      <w:r>
        <w:rPr>
          <w:rStyle w:val="VerbatimChar"/>
        </w:rPr>
        <w:t xml:space="preserve">\end{exampleblock}</w:t>
      </w:r>
      <w:r>
        <w:br/>
      </w:r>
      <w:r>
        <w:rPr>
          <w:rStyle w:val="VerbatimChar"/>
        </w:rPr>
        <w:t xml:space="preserve">\end{column}</w:t>
      </w:r>
      <w:r>
        <w:br/>
      </w:r>
      <w:r>
        <w:br/>
      </w:r>
      <w:r>
        <w:rPr>
          <w:rStyle w:val="VerbatimChar"/>
        </w:rPr>
        <w:t xml:space="preserve">\begin{column}{0.58\textwidth}</w:t>
      </w:r>
      <w:r>
        <w:br/>
      </w:r>
      <w:r>
        <w:rPr>
          <w:rStyle w:val="VerbatimChar"/>
        </w:rPr>
        <w:t xml:space="preserve">\centering</w:t>
      </w:r>
      <w:r>
        <w:br/>
      </w:r>
      <w:r>
        <w:rPr>
          <w:rStyle w:val="VerbatimChar"/>
        </w:rPr>
        <w:t xml:space="preserve">\includegraphics[width=\linewidth]{figures/fig2A_snapshots.pdf}</w:t>
      </w:r>
      <w:r>
        <w:br/>
      </w:r>
      <w:r>
        <w:rPr>
          <w:rStyle w:val="VerbatimChar"/>
        </w:rPr>
        <w:t xml:space="preserve">\vspace{-0.4em}</w:t>
      </w:r>
      <w:r>
        <w:br/>
      </w:r>
      <w:r>
        <w:rPr>
          <w:rStyle w:val="VerbatimChar"/>
        </w:rPr>
        <w:t xml:space="preserve">{\scriptsize Fig.\ 2A (paper): network snapshots post-reorganisation.}</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Materials and Methods + Fig.\ 2A caption.}</w:t>
      </w:r>
      <w:r>
        <w:br/>
      </w:r>
      <w:r>
        <w:br/>
      </w:r>
      <w:r>
        <w:rPr>
          <w:rStyle w:val="VerbatimChar"/>
        </w:rPr>
        <w:t xml:space="preserve">\note{</w:t>
      </w:r>
      <w:r>
        <w:br/>
      </w:r>
      <w:r>
        <w:rPr>
          <w:rStyle w:val="VerbatimChar"/>
        </w:rPr>
        <w:t xml:space="preserve">\textbf{Time: 2:00}\par</w:t>
      </w:r>
      <w:r>
        <w:br/>
      </w:r>
      <w:r>
        <w:rPr>
          <w:rStyle w:val="VerbatimChar"/>
        </w:rPr>
        <w:t xml:space="preserve">Emphasise: offline setting, direct risks.\par</w:t>
      </w:r>
      <w:r>
        <w:br/>
      </w:r>
      <w:r>
        <w:rPr>
          <w:rStyle w:val="VerbatimChar"/>
        </w:rPr>
        <w:t xml:space="preserve">Explain why yearly resolution: data availability.\par</w:t>
      </w:r>
      <w:r>
        <w:br/>
      </w:r>
      <w:r>
        <w:rPr>
          <w:rStyle w:val="VerbatimChar"/>
        </w:rPr>
        <w:t xml:space="preserve">Highlight that the authors treat this as “operational ties”, not acquaintances.\par</w:t>
      </w:r>
      <w:r>
        <w:br/>
      </w:r>
      <w:r>
        <w:rPr>
          <w:rStyle w:val="VerbatimChar"/>
        </w:rPr>
        <w:t xml:space="preserve">Transition: Fig.\ 2 shows productivity (attacks), centrality trends, and a model.</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12 — Fig 2B: IED attacks over time</w:t>
      </w:r>
      <w:r>
        <w:br/>
      </w:r>
      <w:r>
        <w:rPr>
          <w:rStyle w:val="VerbatimChar"/>
        </w:rPr>
        <w:t xml:space="preserve">% ---------------------------------------------------------</w:t>
      </w:r>
      <w:r>
        <w:br/>
      </w:r>
      <w:r>
        <w:rPr>
          <w:rStyle w:val="VerbatimChar"/>
        </w:rPr>
        <w:t xml:space="preserve">\begin{frame}{Result (offline): PIRA activity rises while actor count does not (Fig.\ 2B)}</w:t>
      </w:r>
      <w:r>
        <w:br/>
      </w:r>
      <w:r>
        <w:rPr>
          <w:rStyle w:val="VerbatimChar"/>
        </w:rPr>
        <w:t xml:space="preserve">% Layout:</w:t>
      </w:r>
      <w:r>
        <w:br/>
      </w:r>
      <w:r>
        <w:rPr>
          <w:rStyle w:val="VerbatimChar"/>
        </w:rPr>
        <w:t xml:space="preserve">% - Left: interpretive bullets</w:t>
      </w:r>
      <w:r>
        <w:br/>
      </w:r>
      <w:r>
        <w:rPr>
          <w:rStyle w:val="VerbatimChar"/>
        </w:rPr>
        <w:t xml:space="preserve">% - Right: plot (Fig 2B) as hero visual</w:t>
      </w:r>
      <w:r>
        <w:br/>
      </w:r>
      <w:r>
        <w:rPr>
          <w:rStyle w:val="VerbatimChar"/>
        </w:rPr>
        <w:t xml:space="preserve">\begin{columns}[T,onlytextwidth]</w:t>
      </w:r>
      <w:r>
        <w:br/>
      </w:r>
      <w:r>
        <w:rPr>
          <w:rStyle w:val="VerbatimChar"/>
        </w:rPr>
        <w:t xml:space="preserve">\begin{column}{0.40\textwidth}</w:t>
      </w:r>
      <w:r>
        <w:br/>
      </w:r>
      <w:r>
        <w:rPr>
          <w:rStyle w:val="VerbatimChar"/>
        </w:rPr>
        <w:t xml:space="preserve">\begin{block}{What the authors note}</w:t>
      </w:r>
      <w:r>
        <w:br/>
      </w:r>
      <w:r>
        <w:rPr>
          <w:rStyle w:val="VerbatimChar"/>
        </w:rPr>
        <w:t xml:space="preserve">\begin{itemize}</w:t>
      </w:r>
      <w:r>
        <w:br/>
      </w:r>
      <w:r>
        <w:rPr>
          <w:rStyle w:val="VerbatimChar"/>
        </w:rPr>
        <w:t xml:space="preserve">\item IED event count increases over the post-reorganisation period.</w:t>
      </w:r>
      <w:r>
        <w:br/>
      </w:r>
      <w:r>
        <w:rPr>
          <w:rStyle w:val="VerbatimChar"/>
        </w:rPr>
        <w:t xml:space="preserve">\item This is \alert{not} accompanied by an increase in available actors (supplementary fig.\ S2).</w:t>
      </w:r>
      <w:r>
        <w:br/>
      </w:r>
      <w:r>
        <w:rPr>
          <w:rStyle w:val="VerbatimChar"/>
        </w:rPr>
        <w:t xml:space="preserve">\end{itemize}</w:t>
      </w:r>
      <w:r>
        <w:br/>
      </w:r>
      <w:r>
        <w:rPr>
          <w:rStyle w:val="VerbatimChar"/>
        </w:rPr>
        <w:t xml:space="preserve">\end{block}</w:t>
      </w:r>
      <w:r>
        <w:br/>
      </w:r>
      <w:r>
        <w:br/>
      </w:r>
      <w:r>
        <w:rPr>
          <w:rStyle w:val="VerbatimChar"/>
        </w:rPr>
        <w:t xml:space="preserve">\begin{exampleblock}{Interpretation}</w:t>
      </w:r>
      <w:r>
        <w:br/>
      </w:r>
      <w:r>
        <w:rPr>
          <w:rStyle w:val="VerbatimChar"/>
        </w:rPr>
        <w:t xml:space="preserve">Paper uses this to motivate interest in \alert{network structure and roles}, not just size.</w:t>
      </w:r>
      <w:r>
        <w:br/>
      </w:r>
      <w:r>
        <w:rPr>
          <w:rStyle w:val="VerbatimChar"/>
        </w:rPr>
        <w:t xml:space="preserve">\end{exampleblock}</w:t>
      </w:r>
      <w:r>
        <w:br/>
      </w:r>
      <w:r>
        <w:rPr>
          <w:rStyle w:val="VerbatimChar"/>
        </w:rPr>
        <w:t xml:space="preserve">\end{column}</w:t>
      </w:r>
      <w:r>
        <w:br/>
      </w:r>
      <w:r>
        <w:br/>
      </w:r>
      <w:r>
        <w:rPr>
          <w:rStyle w:val="VerbatimChar"/>
        </w:rPr>
        <w:t xml:space="preserve">\begin{column}{0.60\textwidth}</w:t>
      </w:r>
      <w:r>
        <w:br/>
      </w:r>
      <w:r>
        <w:rPr>
          <w:rStyle w:val="VerbatimChar"/>
        </w:rPr>
        <w:t xml:space="preserve">\centering</w:t>
      </w:r>
      <w:r>
        <w:br/>
      </w:r>
      <w:r>
        <w:rPr>
          <w:rStyle w:val="VerbatimChar"/>
        </w:rPr>
        <w:t xml:space="preserve">\includegraphics[width=\linewidth]{figures/fig2B_attacks.pdf}</w:t>
      </w:r>
      <w:r>
        <w:br/>
      </w:r>
      <w:r>
        <w:rPr>
          <w:rStyle w:val="VerbatimChar"/>
        </w:rPr>
        <w:t xml:space="preserve">\vspace{-0.4em}</w:t>
      </w:r>
      <w:r>
        <w:br/>
      </w:r>
      <w:r>
        <w:rPr>
          <w:rStyle w:val="VerbatimChar"/>
        </w:rPr>
        <w:t xml:space="preserve">{\scriptsize Fig.\ 2B (paper): IED attacks over time.}</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2B + Results text.}</w:t>
      </w:r>
      <w:r>
        <w:br/>
      </w:r>
      <w:r>
        <w:br/>
      </w:r>
      <w:r>
        <w:rPr>
          <w:rStyle w:val="VerbatimChar"/>
        </w:rPr>
        <w:t xml:space="preserve">\note{</w:t>
      </w:r>
      <w:r>
        <w:br/>
      </w:r>
      <w:r>
        <w:rPr>
          <w:rStyle w:val="VerbatimChar"/>
        </w:rPr>
        <w:t xml:space="preserve">\textbf{Time: 1:30}\par</w:t>
      </w:r>
      <w:r>
        <w:br/>
      </w:r>
      <w:r>
        <w:rPr>
          <w:rStyle w:val="VerbatimChar"/>
        </w:rPr>
        <w:t xml:space="preserve">Read the axes and the trend.\par</w:t>
      </w:r>
      <w:r>
        <w:br/>
      </w:r>
      <w:r>
        <w:rPr>
          <w:rStyle w:val="VerbatimChar"/>
        </w:rPr>
        <w:t xml:space="preserve">Make the key claim: rising productivity despite non-rising actor pool.\par</w:t>
      </w:r>
      <w:r>
        <w:br/>
      </w:r>
      <w:r>
        <w:rPr>
          <w:rStyle w:val="VerbatimChar"/>
        </w:rPr>
        <w:t xml:space="preserve">Use as segue: so \emph{which positions} matter to robustness/survival? Next: betweenness.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13 — Fig 2C: betweenness over time (PIRA)</w:t>
      </w:r>
      <w:r>
        <w:br/>
      </w:r>
      <w:r>
        <w:rPr>
          <w:rStyle w:val="VerbatimChar"/>
        </w:rPr>
        <w:t xml:space="preserve">% ---------------------------------------------------------</w:t>
      </w:r>
      <w:r>
        <w:br/>
      </w:r>
      <w:r>
        <w:rPr>
          <w:rStyle w:val="VerbatimChar"/>
        </w:rPr>
        <w:t xml:space="preserve">\begin{frame}{Result (offline): women’s betweenness rises above men’s (Fig.\ 2C)}</w:t>
      </w:r>
      <w:r>
        <w:br/>
      </w:r>
      <w:r>
        <w:rPr>
          <w:rStyle w:val="VerbatimChar"/>
        </w:rPr>
        <w:t xml:space="preserve">% Layout: mostly figure + short callouts</w:t>
      </w:r>
      <w:r>
        <w:br/>
      </w:r>
      <w:r>
        <w:rPr>
          <w:rStyle w:val="VerbatimChar"/>
        </w:rPr>
        <w:t xml:space="preserve">\begin{columns}[T,onlytextwidth]</w:t>
      </w:r>
      <w:r>
        <w:br/>
      </w:r>
      <w:r>
        <w:rPr>
          <w:rStyle w:val="VerbatimChar"/>
        </w:rPr>
        <w:t xml:space="preserve">\begin{column}{0.35\textwidth}</w:t>
      </w:r>
      <w:r>
        <w:br/>
      </w:r>
      <w:r>
        <w:rPr>
          <w:rStyle w:val="VerbatimChar"/>
        </w:rPr>
        <w:t xml:space="preserve">\begin{block}{Reading Fig.\ 2C}</w:t>
      </w:r>
      <w:r>
        <w:br/>
      </w:r>
      <w:r>
        <w:rPr>
          <w:rStyle w:val="VerbatimChar"/>
        </w:rPr>
        <w:t xml:space="preserve">\begin{itemize}</w:t>
      </w:r>
      <w:r>
        <w:br/>
      </w:r>
      <w:r>
        <w:rPr>
          <w:rStyle w:val="VerbatimChar"/>
        </w:rPr>
        <w:t xml:space="preserve">\item Y-axis: average betweenness.</w:t>
      </w:r>
      <w:r>
        <w:br/>
      </w:r>
      <w:r>
        <w:rPr>
          <w:rStyle w:val="VerbatimChar"/>
        </w:rPr>
        <w:t xml:space="preserve">\item Women’s curve increases to values well above men’s.</w:t>
      </w:r>
      <w:r>
        <w:br/>
      </w:r>
      <w:r>
        <w:rPr>
          <w:rStyle w:val="VerbatimChar"/>
        </w:rPr>
        <w:t xml:space="preserve">\end{itemize}</w:t>
      </w:r>
      <w:r>
        <w:br/>
      </w:r>
      <w:r>
        <w:rPr>
          <w:rStyle w:val="VerbatimChar"/>
        </w:rPr>
        <w:t xml:space="preserve">\end{block}</w:t>
      </w:r>
      <w:r>
        <w:br/>
      </w:r>
      <w:r>
        <w:br/>
      </w:r>
      <w:r>
        <w:rPr>
          <w:rStyle w:val="VerbatimChar"/>
        </w:rPr>
        <w:t xml:space="preserve">\begin{exampleblock}{Paper’s caution}</w:t>
      </w:r>
      <w:r>
        <w:br/>
      </w:r>
      <w:r>
        <w:rPr>
          <w:rStyle w:val="VerbatimChar"/>
        </w:rPr>
        <w:t xml:space="preserve">Authors cannot prove intent; they offer plausible risk-based interpretation.</w:t>
      </w:r>
      <w:r>
        <w:br/>
      </w:r>
      <w:r>
        <w:rPr>
          <w:rStyle w:val="VerbatimChar"/>
        </w:rPr>
        <w:t xml:space="preserve">\end{exampleblock}</w:t>
      </w:r>
      <w:r>
        <w:br/>
      </w:r>
      <w:r>
        <w:rPr>
          <w:rStyle w:val="VerbatimChar"/>
        </w:rPr>
        <w:t xml:space="preserve">\end{column}</w:t>
      </w:r>
      <w:r>
        <w:br/>
      </w:r>
      <w:r>
        <w:br/>
      </w:r>
      <w:r>
        <w:rPr>
          <w:rStyle w:val="VerbatimChar"/>
        </w:rPr>
        <w:t xml:space="preserve">\begin{column}{0.65\textwidth}</w:t>
      </w:r>
      <w:r>
        <w:br/>
      </w:r>
      <w:r>
        <w:rPr>
          <w:rStyle w:val="VerbatimChar"/>
        </w:rPr>
        <w:t xml:space="preserve">\centering</w:t>
      </w:r>
      <w:r>
        <w:br/>
      </w:r>
      <w:r>
        <w:rPr>
          <w:rStyle w:val="VerbatimChar"/>
        </w:rPr>
        <w:t xml:space="preserve">\includegraphics[width=\linewidth]{figures/fig2C_bc.pdf}</w:t>
      </w:r>
      <w:r>
        <w:br/>
      </w:r>
      <w:r>
        <w:rPr>
          <w:rStyle w:val="VerbatimChar"/>
        </w:rPr>
        <w:t xml:space="preserve">\vspace{-0.4em}</w:t>
      </w:r>
      <w:r>
        <w:br/>
      </w:r>
      <w:r>
        <w:rPr>
          <w:rStyle w:val="VerbatimChar"/>
        </w:rPr>
        <w:t xml:space="preserve">{\scriptsize Fig.\ 2C (paper): PIRA betweenness centrality trend.}</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2C + Results text.}</w:t>
      </w:r>
      <w:r>
        <w:br/>
      </w:r>
      <w:r>
        <w:br/>
      </w:r>
      <w:r>
        <w:rPr>
          <w:rStyle w:val="VerbatimChar"/>
        </w:rPr>
        <w:t xml:space="preserve">\note{</w:t>
      </w:r>
      <w:r>
        <w:br/>
      </w:r>
      <w:r>
        <w:rPr>
          <w:rStyle w:val="VerbatimChar"/>
        </w:rPr>
        <w:t xml:space="preserve">\textbf{Time: 1:45}\par</w:t>
      </w:r>
      <w:r>
        <w:br/>
      </w:r>
      <w:r>
        <w:rPr>
          <w:rStyle w:val="VerbatimChar"/>
        </w:rPr>
        <w:t xml:space="preserve">Highlight the divergence between women and men.\par</w:t>
      </w:r>
      <w:r>
        <w:br/>
      </w:r>
      <w:r>
        <w:rPr>
          <w:rStyle w:val="VerbatimChar"/>
        </w:rPr>
        <w:t xml:space="preserve">Connect back to why betweenness is “global importance”.\par</w:t>
      </w:r>
      <w:r>
        <w:br/>
      </w:r>
      <w:r>
        <w:rPr>
          <w:rStyle w:val="VerbatimChar"/>
        </w:rPr>
        <w:t xml:space="preserve">Transition: what about degree (visibility) in offline context?</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14 — Fig 2D: degree over time (PIRA)</w:t>
      </w:r>
      <w:r>
        <w:br/>
      </w:r>
      <w:r>
        <w:rPr>
          <w:rStyle w:val="VerbatimChar"/>
        </w:rPr>
        <w:t xml:space="preserve">% ---------------------------------------------------------</w:t>
      </w:r>
      <w:r>
        <w:br/>
      </w:r>
      <w:r>
        <w:rPr>
          <w:rStyle w:val="VerbatimChar"/>
        </w:rPr>
        <w:t xml:space="preserve">\begin{frame}{Result (offline): women’s degree centrality declines faster (Fig.\ 2D)}</w:t>
      </w:r>
      <w:r>
        <w:br/>
      </w:r>
      <w:r>
        <w:rPr>
          <w:rStyle w:val="VerbatimChar"/>
        </w:rPr>
        <w:t xml:space="preserve">% Layout: figure + interpretive bullets</w:t>
      </w:r>
      <w:r>
        <w:br/>
      </w:r>
      <w:r>
        <w:rPr>
          <w:rStyle w:val="VerbatimChar"/>
        </w:rPr>
        <w:t xml:space="preserve">\begin{columns}[T,onlytextwidth]</w:t>
      </w:r>
      <w:r>
        <w:br/>
      </w:r>
      <w:r>
        <w:rPr>
          <w:rStyle w:val="VerbatimChar"/>
        </w:rPr>
        <w:t xml:space="preserve">\begin{column}{0.38\textwidth}</w:t>
      </w:r>
      <w:r>
        <w:br/>
      </w:r>
      <w:r>
        <w:rPr>
          <w:rStyle w:val="VerbatimChar"/>
        </w:rPr>
        <w:t xml:space="preserve">\begin{block}{Reading Fig.\ 2D}</w:t>
      </w:r>
      <w:r>
        <w:br/>
      </w:r>
      <w:r>
        <w:rPr>
          <w:rStyle w:val="VerbatimChar"/>
        </w:rPr>
        <w:t xml:space="preserve">\begin{itemize}</w:t>
      </w:r>
      <w:r>
        <w:br/>
      </w:r>
      <w:r>
        <w:rPr>
          <w:rStyle w:val="VerbatimChar"/>
        </w:rPr>
        <w:t xml:space="preserve">\item Degree centrality decreases over time for both.</w:t>
      </w:r>
      <w:r>
        <w:br/>
      </w:r>
      <w:r>
        <w:rPr>
          <w:rStyle w:val="VerbatimChar"/>
        </w:rPr>
        <w:t xml:space="preserve">\item Women’s degree drops \alert{faster} than men’s.</w:t>
      </w:r>
      <w:r>
        <w:br/>
      </w:r>
      <w:r>
        <w:rPr>
          <w:rStyle w:val="VerbatimChar"/>
        </w:rPr>
        <w:t xml:space="preserve">\end{itemize}</w:t>
      </w:r>
      <w:r>
        <w:br/>
      </w:r>
      <w:r>
        <w:rPr>
          <w:rStyle w:val="VerbatimChar"/>
        </w:rPr>
        <w:t xml:space="preserve">\end{block}</w:t>
      </w:r>
      <w:r>
        <w:br/>
      </w:r>
      <w:r>
        <w:br/>
      </w:r>
      <w:r>
        <w:rPr>
          <w:rStyle w:val="VerbatimChar"/>
        </w:rPr>
        <w:t xml:space="preserve">\begin{exampleblock}{Paper’s hypothesis}</w:t>
      </w:r>
      <w:r>
        <w:br/>
      </w:r>
      <w:r>
        <w:rPr>
          <w:rStyle w:val="VerbatimChar"/>
        </w:rPr>
        <w:t xml:space="preserve">More direct on-street risks could incentivise reducing conspicuous degree while retaining brokerage.</w:t>
      </w:r>
      <w:r>
        <w:br/>
      </w:r>
      <w:r>
        <w:rPr>
          <w:rStyle w:val="VerbatimChar"/>
        </w:rPr>
        <w:t xml:space="preserve">\end{exampleblock}</w:t>
      </w:r>
      <w:r>
        <w:br/>
      </w:r>
      <w:r>
        <w:rPr>
          <w:rStyle w:val="VerbatimChar"/>
        </w:rPr>
        <w:t xml:space="preserve">\end{column}</w:t>
      </w:r>
      <w:r>
        <w:br/>
      </w:r>
      <w:r>
        <w:br/>
      </w:r>
      <w:r>
        <w:rPr>
          <w:rStyle w:val="VerbatimChar"/>
        </w:rPr>
        <w:t xml:space="preserve">\begin{column}{0.62\textwidth}</w:t>
      </w:r>
      <w:r>
        <w:br/>
      </w:r>
      <w:r>
        <w:rPr>
          <w:rStyle w:val="VerbatimChar"/>
        </w:rPr>
        <w:t xml:space="preserve">\centering</w:t>
      </w:r>
      <w:r>
        <w:br/>
      </w:r>
      <w:r>
        <w:rPr>
          <w:rStyle w:val="VerbatimChar"/>
        </w:rPr>
        <w:t xml:space="preserve">\includegraphics[width=\linewidth]{figures/fig2D_degree.pdf}</w:t>
      </w:r>
      <w:r>
        <w:br/>
      </w:r>
      <w:r>
        <w:rPr>
          <w:rStyle w:val="VerbatimChar"/>
        </w:rPr>
        <w:t xml:space="preserve">\vspace{-0.4em}</w:t>
      </w:r>
      <w:r>
        <w:br/>
      </w:r>
      <w:r>
        <w:rPr>
          <w:rStyle w:val="VerbatimChar"/>
        </w:rPr>
        <w:t xml:space="preserve">{\scriptsize Fig.\ 2D (paper): PIRA degree centrality trend.}</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2D + Results narrative.}</w:t>
      </w:r>
      <w:r>
        <w:br/>
      </w:r>
      <w:r>
        <w:br/>
      </w:r>
      <w:r>
        <w:rPr>
          <w:rStyle w:val="VerbatimChar"/>
        </w:rPr>
        <w:t xml:space="preserve">\note{</w:t>
      </w:r>
      <w:r>
        <w:br/>
      </w:r>
      <w:r>
        <w:rPr>
          <w:rStyle w:val="VerbatimChar"/>
        </w:rPr>
        <w:t xml:space="preserve">\textbf{Time: 1:45}\par</w:t>
      </w:r>
      <w:r>
        <w:br/>
      </w:r>
      <w:r>
        <w:rPr>
          <w:rStyle w:val="VerbatimChar"/>
        </w:rPr>
        <w:t xml:space="preserve">Connect with earlier “stars vs brokers”.\par</w:t>
      </w:r>
      <w:r>
        <w:br/>
      </w:r>
      <w:r>
        <w:rPr>
          <w:rStyle w:val="VerbatimChar"/>
        </w:rPr>
        <w:t xml:space="preserve">Emphasise: offline case shows even stronger avoidance of degree for women, consistent with higher risk.\par</w:t>
      </w:r>
      <w:r>
        <w:br/>
      </w:r>
      <w:r>
        <w:rPr>
          <w:rStyle w:val="VerbatimChar"/>
        </w:rPr>
        <w:t xml:space="preserve">Transition: paper then introduces a modelling implication (team-ethic spread).</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15 — Fig 2E: generative model + custom assumptions diagram</w:t>
      </w:r>
      <w:r>
        <w:br/>
      </w:r>
      <w:r>
        <w:rPr>
          <w:rStyle w:val="VerbatimChar"/>
        </w:rPr>
        <w:t xml:space="preserve">% ---------------------------------------------------------</w:t>
      </w:r>
      <w:r>
        <w:br/>
      </w:r>
      <w:r>
        <w:rPr>
          <w:rStyle w:val="VerbatimChar"/>
        </w:rPr>
        <w:t xml:space="preserve">\begin{frame}{Model interlude: fission--fusion + “team ethic” spreading (Fig.\ 2E)}</w:t>
      </w:r>
      <w:r>
        <w:br/>
      </w:r>
      <w:r>
        <w:rPr>
          <w:rStyle w:val="VerbatimChar"/>
        </w:rPr>
        <w:t xml:space="preserve">% Layout:</w:t>
      </w:r>
      <w:r>
        <w:br/>
      </w:r>
      <w:r>
        <w:rPr>
          <w:rStyle w:val="VerbatimChar"/>
        </w:rPr>
        <w:t xml:space="preserve">% - Two-row layout:</w:t>
      </w:r>
      <w:r>
        <w:br/>
      </w:r>
      <w:r>
        <w:rPr>
          <w:rStyle w:val="VerbatimChar"/>
        </w:rPr>
        <w:t xml:space="preserve">%   Top: custom assumptions diagram</w:t>
      </w:r>
      <w:r>
        <w:br/>
      </w:r>
      <w:r>
        <w:rPr>
          <w:rStyle w:val="VerbatimChar"/>
        </w:rPr>
        <w:t xml:space="preserve">%   Bottom: Fig 2E (model vs data)</w:t>
      </w:r>
      <w:r>
        <w:br/>
      </w:r>
      <w:r>
        <w:rPr>
          <w:rStyle w:val="VerbatimChar"/>
        </w:rPr>
        <w:t xml:space="preserve">\begin{block}{Paper’s modelling move (interpretive, explicitly “oversimplified”)}</w:t>
      </w:r>
      <w:r>
        <w:br/>
      </w:r>
      <w:r>
        <w:rPr>
          <w:rStyle w:val="VerbatimChar"/>
        </w:rPr>
        <w:t xml:space="preserve">\centering</w:t>
      </w:r>
      <w:r>
        <w:br/>
      </w:r>
      <w:r>
        <w:rPr>
          <w:rStyle w:val="VerbatimChar"/>
        </w:rPr>
        <w:t xml:space="preserve">\begin{tikzpicture}[node distance=0.9cm]</w:t>
      </w:r>
      <w:r>
        <w:br/>
      </w:r>
      <w:r>
        <w:rPr>
          <w:rStyle w:val="VerbatimChar"/>
        </w:rPr>
        <w:t xml:space="preserve">\node[box] (ass1) {Assume high-BC actors\\more “team-player” inclined};</w:t>
      </w:r>
      <w:r>
        <w:br/>
      </w:r>
      <w:r>
        <w:rPr>
          <w:rStyle w:val="VerbatimChar"/>
        </w:rPr>
        <w:t xml:space="preserve">\node[box,right=1.1cm of ass1] (ass2) {Assume team ethic spreads\\within clusters containing women};</w:t>
      </w:r>
      <w:r>
        <w:br/>
      </w:r>
      <w:r>
        <w:rPr>
          <w:rStyle w:val="VerbatimChar"/>
        </w:rPr>
        <w:t xml:space="preserve">\node[box,right=1.1cm of ass2] (ass3) {Run on top of\\fission--fusion dynamics model};</w:t>
      </w:r>
      <w:r>
        <w:br/>
      </w:r>
      <w:r>
        <w:rPr>
          <w:rStyle w:val="VerbatimChar"/>
        </w:rPr>
        <w:t xml:space="preserve">\draw[arrow] (ass1)--(ass2)--(ass3);</w:t>
      </w:r>
      <w:r>
        <w:br/>
      </w:r>
      <w:r>
        <w:rPr>
          <w:rStyle w:val="VerbatimChar"/>
        </w:rPr>
        <w:t xml:space="preserve">\end{tikzpicture}</w:t>
      </w:r>
      <w:r>
        <w:br/>
      </w:r>
      <w:r>
        <w:rPr>
          <w:rStyle w:val="VerbatimChar"/>
        </w:rPr>
        <w:t xml:space="preserve">\end{block}</w:t>
      </w:r>
      <w:r>
        <w:br/>
      </w:r>
      <w:r>
        <w:br/>
      </w:r>
      <w:r>
        <w:rPr>
          <w:rStyle w:val="VerbatimChar"/>
        </w:rPr>
        <w:t xml:space="preserve">\begin{columns}[T,onlytextwidth]</w:t>
      </w:r>
      <w:r>
        <w:br/>
      </w:r>
      <w:r>
        <w:rPr>
          <w:rStyle w:val="VerbatimChar"/>
        </w:rPr>
        <w:t xml:space="preserve">\begin{column}{0.60\textwidth}</w:t>
      </w:r>
      <w:r>
        <w:br/>
      </w:r>
      <w:r>
        <w:rPr>
          <w:rStyle w:val="VerbatimChar"/>
        </w:rPr>
        <w:t xml:space="preserve">\centering</w:t>
      </w:r>
      <w:r>
        <w:br/>
      </w:r>
      <w:r>
        <w:rPr>
          <w:rStyle w:val="VerbatimChar"/>
        </w:rPr>
        <w:t xml:space="preserve">\includegraphics[width=\linewidth]{figures/fig2E_model.pdf}</w:t>
      </w:r>
      <w:r>
        <w:br/>
      </w:r>
      <w:r>
        <w:rPr>
          <w:rStyle w:val="VerbatimChar"/>
        </w:rPr>
        <w:t xml:space="preserve">\vspace{-0.4em}</w:t>
      </w:r>
      <w:r>
        <w:br/>
      </w:r>
      <w:r>
        <w:rPr>
          <w:rStyle w:val="VerbatimChar"/>
        </w:rPr>
        <w:t xml:space="preserve">{\scriptsize Fig.\ 2E (paper): generative model vs PIRA data (two summary metrics).}</w:t>
      </w:r>
      <w:r>
        <w:br/>
      </w:r>
      <w:r>
        <w:rPr>
          <w:rStyle w:val="VerbatimChar"/>
        </w:rPr>
        <w:t xml:space="preserve">\end{column}</w:t>
      </w:r>
      <w:r>
        <w:br/>
      </w:r>
      <w:r>
        <w:br/>
      </w:r>
      <w:r>
        <w:rPr>
          <w:rStyle w:val="VerbatimChar"/>
        </w:rPr>
        <w:t xml:space="preserve">\begin{column}{0.40\textwidth}</w:t>
      </w:r>
      <w:r>
        <w:br/>
      </w:r>
      <w:r>
        <w:rPr>
          <w:rStyle w:val="VerbatimChar"/>
        </w:rPr>
        <w:t xml:space="preserve">\begin{exampleblock}{Why a simulation?}</w:t>
      </w:r>
      <w:r>
        <w:br/>
      </w:r>
      <w:r>
        <w:rPr>
          <w:rStyle w:val="VerbatimChar"/>
        </w:rPr>
        <w:t xml:space="preserve">Paper notes: PIRA data are yearly; spreading likely occurs over weeks/months, hence simulation is used to connect scales.</w:t>
      </w:r>
      <w:r>
        <w:br/>
      </w:r>
      <w:r>
        <w:rPr>
          <w:rStyle w:val="VerbatimChar"/>
        </w:rPr>
        <w:t xml:space="preserve">\end{exampleblock}</w:t>
      </w:r>
      <w:r>
        <w:br/>
      </w:r>
      <w:r>
        <w:br/>
      </w:r>
      <w:r>
        <w:rPr>
          <w:rStyle w:val="VerbatimChar"/>
        </w:rPr>
        <w:t xml:space="preserve">\begin{block}{How to present responsibly}</w:t>
      </w:r>
      <w:r>
        <w:br/>
      </w:r>
      <w:r>
        <w:rPr>
          <w:rStyle w:val="VerbatimChar"/>
        </w:rPr>
        <w:t xml:space="preserve">Treat this as a \alert{notional mechanism}, not a proven causal account.</w:t>
      </w:r>
      <w:r>
        <w:br/>
      </w:r>
      <w:r>
        <w:rPr>
          <w:rStyle w:val="VerbatimChar"/>
        </w:rPr>
        <w:t xml:space="preserve">\end{block}</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2E + modelling paragraph in Results.}</w:t>
      </w:r>
      <w:r>
        <w:br/>
      </w:r>
      <w:r>
        <w:br/>
      </w:r>
      <w:r>
        <w:rPr>
          <w:rStyle w:val="VerbatimChar"/>
        </w:rPr>
        <w:t xml:space="preserve">\note{</w:t>
      </w:r>
      <w:r>
        <w:br/>
      </w:r>
      <w:r>
        <w:rPr>
          <w:rStyle w:val="VerbatimChar"/>
        </w:rPr>
        <w:t xml:space="preserve">\textbf{Time: 2:30}\par</w:t>
      </w:r>
      <w:r>
        <w:br/>
      </w:r>
      <w:r>
        <w:rPr>
          <w:rStyle w:val="VerbatimChar"/>
        </w:rPr>
        <w:t xml:space="preserve">Be explicit: this is a modelling \emph{thought experiment} the authors “momentarily assume.”\par</w:t>
      </w:r>
      <w:r>
        <w:br/>
      </w:r>
      <w:r>
        <w:rPr>
          <w:rStyle w:val="VerbatimChar"/>
        </w:rPr>
        <w:t xml:space="preserve">Explain fission–fusion at a high level (groups split/merge) without operational detail.\par</w:t>
      </w:r>
      <w:r>
        <w:br/>
      </w:r>
      <w:r>
        <w:rPr>
          <w:rStyle w:val="VerbatimChar"/>
        </w:rPr>
        <w:t xml:space="preserve">Walk through what Fig.\ 2E compares: PIRA data vs model for isolated fraction and links-per-agent ratio.\par</w:t>
      </w:r>
      <w:r>
        <w:br/>
      </w:r>
      <w:r>
        <w:rPr>
          <w:rStyle w:val="VerbatimChar"/>
        </w:rPr>
        <w:t xml:space="preserve">Transition: next, longevity associations.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16 — Fig 3A: online longevity vs women ratio</w:t>
      </w:r>
      <w:r>
        <w:br/>
      </w:r>
      <w:r>
        <w:rPr>
          <w:rStyle w:val="VerbatimChar"/>
        </w:rPr>
        <w:t xml:space="preserve">% ---------------------------------------------------------</w:t>
      </w:r>
      <w:r>
        <w:br/>
      </w:r>
      <w:r>
        <w:rPr>
          <w:rStyle w:val="VerbatimChar"/>
        </w:rPr>
        <w:t xml:space="preserve">\begin{frame}{Longevity (online): more women in groups $\rightarrow$ longer lifetimes (Fig.\ 3A)}</w:t>
      </w:r>
      <w:r>
        <w:br/>
      </w:r>
      <w:r>
        <w:rPr>
          <w:rStyle w:val="VerbatimChar"/>
        </w:rPr>
        <w:t xml:space="preserve">% Layout: figure + short statistical annotation</w:t>
      </w:r>
      <w:r>
        <w:br/>
      </w:r>
      <w:r>
        <w:rPr>
          <w:rStyle w:val="VerbatimChar"/>
        </w:rPr>
        <w:t xml:space="preserve">\begin{columns}[T,onlytextwidth]</w:t>
      </w:r>
      <w:r>
        <w:br/>
      </w:r>
      <w:r>
        <w:rPr>
          <w:rStyle w:val="VerbatimChar"/>
        </w:rPr>
        <w:t xml:space="preserve">\begin{column}{0.62\textwidth}</w:t>
      </w:r>
      <w:r>
        <w:br/>
      </w:r>
      <w:r>
        <w:rPr>
          <w:rStyle w:val="VerbatimChar"/>
        </w:rPr>
        <w:t xml:space="preserve">\centering</w:t>
      </w:r>
      <w:r>
        <w:br/>
      </w:r>
      <w:r>
        <w:rPr>
          <w:rStyle w:val="VerbatimChar"/>
        </w:rPr>
        <w:t xml:space="preserve">\includegraphics[width=\linewidth]{figures/fig3A_online_lifetime.pdf}</w:t>
      </w:r>
      <w:r>
        <w:br/>
      </w:r>
      <w:r>
        <w:rPr>
          <w:rStyle w:val="VerbatimChar"/>
        </w:rPr>
        <w:t xml:space="preserve">\vspace{-0.4em}</w:t>
      </w:r>
      <w:r>
        <w:br/>
      </w:r>
      <w:r>
        <w:rPr>
          <w:rStyle w:val="VerbatimChar"/>
        </w:rPr>
        <w:t xml:space="preserve">{\scriptsize Fig.\ 3A (paper): group lifetime vs women/men ratio.}</w:t>
      </w:r>
      <w:r>
        <w:br/>
      </w:r>
      <w:r>
        <w:rPr>
          <w:rStyle w:val="VerbatimChar"/>
        </w:rPr>
        <w:t xml:space="preserve">\end{column}</w:t>
      </w:r>
      <w:r>
        <w:br/>
      </w:r>
      <w:r>
        <w:br/>
      </w:r>
      <w:r>
        <w:rPr>
          <w:rStyle w:val="VerbatimChar"/>
        </w:rPr>
        <w:t xml:space="preserve">\begin{column}{0.38\textwidth}</w:t>
      </w:r>
      <w:r>
        <w:br/>
      </w:r>
      <w:r>
        <w:rPr>
          <w:rStyle w:val="VerbatimChar"/>
        </w:rPr>
        <w:t xml:space="preserve">\begin{block}{Reported association}</w:t>
      </w:r>
      <w:r>
        <w:br/>
      </w:r>
      <w:r>
        <w:rPr>
          <w:rStyle w:val="VerbatimChar"/>
        </w:rPr>
        <w:t xml:space="preserve">Pearson’s $r=0.28$, $P&lt;0.1$ (paper).</w:t>
      </w:r>
      <w:r>
        <w:br/>
      </w:r>
      <w:r>
        <w:rPr>
          <w:rStyle w:val="VerbatimChar"/>
        </w:rPr>
        <w:t xml:space="preserve">\end{block}</w:t>
      </w:r>
      <w:r>
        <w:br/>
      </w:r>
      <w:r>
        <w:br/>
      </w:r>
      <w:r>
        <w:rPr>
          <w:rStyle w:val="VerbatimChar"/>
        </w:rPr>
        <w:t xml:space="preserve">\begin{exampleblock}{Interpretation constraint}</w:t>
      </w:r>
      <w:r>
        <w:br/>
      </w:r>
      <w:r>
        <w:rPr>
          <w:rStyle w:val="VerbatimChar"/>
        </w:rPr>
        <w:t xml:space="preserve">Association $\neq$ causation: group shutdown is driven by external enforcement shocks and platform dynamics.</w:t>
      </w:r>
      <w:r>
        <w:br/>
      </w:r>
      <w:r>
        <w:rPr>
          <w:rStyle w:val="VerbatimChar"/>
        </w:rPr>
        <w:t xml:space="preserve">\end{exampleblock}</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3A caption + text.}</w:t>
      </w:r>
      <w:r>
        <w:br/>
      </w:r>
      <w:r>
        <w:br/>
      </w:r>
      <w:r>
        <w:rPr>
          <w:rStyle w:val="VerbatimChar"/>
        </w:rPr>
        <w:t xml:space="preserve">\note{</w:t>
      </w:r>
      <w:r>
        <w:br/>
      </w:r>
      <w:r>
        <w:rPr>
          <w:rStyle w:val="VerbatimChar"/>
        </w:rPr>
        <w:t xml:space="preserve">\textbf{Time: 1:30}\par</w:t>
      </w:r>
      <w:r>
        <w:br/>
      </w:r>
      <w:r>
        <w:rPr>
          <w:rStyle w:val="VerbatimChar"/>
        </w:rPr>
        <w:t xml:space="preserve">Explain axes carefully.\par</w:t>
      </w:r>
      <w:r>
        <w:br/>
      </w:r>
      <w:r>
        <w:rPr>
          <w:rStyle w:val="VerbatimChar"/>
        </w:rPr>
        <w:t xml:space="preserve">State the reported correlation and p-value.\par</w:t>
      </w:r>
      <w:r>
        <w:br/>
      </w:r>
      <w:r>
        <w:rPr>
          <w:rStyle w:val="VerbatimChar"/>
        </w:rPr>
        <w:t xml:space="preserve">Be cautious: the paper frames this as a tendency, not a deterministic law.\par</w:t>
      </w:r>
      <w:r>
        <w:br/>
      </w:r>
      <w:r>
        <w:rPr>
          <w:rStyle w:val="VerbatimChar"/>
        </w:rPr>
        <w:t xml:space="preserve">Transition: offline analogue focuses on longevity of connections.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17 — Fig 3B: offline neighbour lifetime</w:t>
      </w:r>
      <w:r>
        <w:br/>
      </w:r>
      <w:r>
        <w:rPr>
          <w:rStyle w:val="VerbatimChar"/>
        </w:rPr>
        <w:t xml:space="preserve">% ---------------------------------------------------------</w:t>
      </w:r>
      <w:r>
        <w:br/>
      </w:r>
      <w:r>
        <w:rPr>
          <w:rStyle w:val="VerbatimChar"/>
        </w:rPr>
        <w:t xml:space="preserve">\begin{frame}{Longevity (offline): neighbours of women persist longer (Fig.\ 3B)}</w:t>
      </w:r>
      <w:r>
        <w:br/>
      </w:r>
      <w:r>
        <w:rPr>
          <w:rStyle w:val="VerbatimChar"/>
        </w:rPr>
        <w:t xml:space="preserve">% Layout:</w:t>
      </w:r>
      <w:r>
        <w:br/>
      </w:r>
      <w:r>
        <w:rPr>
          <w:rStyle w:val="VerbatimChar"/>
        </w:rPr>
        <w:t xml:space="preserve">% - Right: plot</w:t>
      </w:r>
      <w:r>
        <w:br/>
      </w:r>
      <w:r>
        <w:rPr>
          <w:rStyle w:val="VerbatimChar"/>
        </w:rPr>
        <w:t xml:space="preserve">% - Left: interpretation + null model mention</w:t>
      </w:r>
      <w:r>
        <w:br/>
      </w:r>
      <w:r>
        <w:rPr>
          <w:rStyle w:val="VerbatimChar"/>
        </w:rPr>
        <w:t xml:space="preserve">\begin{columns}[T,onlytextwidth]</w:t>
      </w:r>
      <w:r>
        <w:br/>
      </w:r>
      <w:r>
        <w:rPr>
          <w:rStyle w:val="VerbatimChar"/>
        </w:rPr>
        <w:t xml:space="preserve">\begin{column}{0.40\textwidth}</w:t>
      </w:r>
      <w:r>
        <w:br/>
      </w:r>
      <w:r>
        <w:rPr>
          <w:rStyle w:val="VerbatimChar"/>
        </w:rPr>
        <w:t xml:space="preserve">\begin{block}{What Fig.\ 3B claims}</w:t>
      </w:r>
      <w:r>
        <w:br/>
      </w:r>
      <w:r>
        <w:rPr>
          <w:rStyle w:val="VerbatimChar"/>
        </w:rPr>
        <w:t xml:space="preserve">Actors directly connected to women have longer average “lifetime” than those connected to men, and longer than a gender-shuffled null model.</w:t>
      </w:r>
      <w:r>
        <w:br/>
      </w:r>
      <w:r>
        <w:rPr>
          <w:rStyle w:val="VerbatimChar"/>
        </w:rPr>
        <w:t xml:space="preserve">\end{block}</w:t>
      </w:r>
      <w:r>
        <w:br/>
      </w:r>
      <w:r>
        <w:br/>
      </w:r>
      <w:r>
        <w:rPr>
          <w:rStyle w:val="VerbatimChar"/>
        </w:rPr>
        <w:t xml:space="preserve">\begin{exampleblock}{Network intuition}</w:t>
      </w:r>
      <w:r>
        <w:br/>
      </w:r>
      <w:r>
        <w:rPr>
          <w:rStyle w:val="VerbatimChar"/>
        </w:rPr>
        <w:t xml:space="preserve">This is consistent with women being better embedded / occupying resilient bridging positions.</w:t>
      </w:r>
      <w:r>
        <w:br/>
      </w:r>
      <w:r>
        <w:rPr>
          <w:rStyle w:val="VerbatimChar"/>
        </w:rPr>
        <w:t xml:space="preserve">\end{exampleblock}</w:t>
      </w:r>
      <w:r>
        <w:br/>
      </w:r>
      <w:r>
        <w:rPr>
          <w:rStyle w:val="VerbatimChar"/>
        </w:rPr>
        <w:t xml:space="preserve">\end{column}</w:t>
      </w:r>
      <w:r>
        <w:br/>
      </w:r>
      <w:r>
        <w:br/>
      </w:r>
      <w:r>
        <w:rPr>
          <w:rStyle w:val="VerbatimChar"/>
        </w:rPr>
        <w:t xml:space="preserve">\begin{column}{0.60\textwidth}</w:t>
      </w:r>
      <w:r>
        <w:br/>
      </w:r>
      <w:r>
        <w:rPr>
          <w:rStyle w:val="VerbatimChar"/>
        </w:rPr>
        <w:t xml:space="preserve">\centering</w:t>
      </w:r>
      <w:r>
        <w:br/>
      </w:r>
      <w:r>
        <w:rPr>
          <w:rStyle w:val="VerbatimChar"/>
        </w:rPr>
        <w:t xml:space="preserve">\includegraphics[width=\linewidth]{figures/fig3B_pira_lifetime.pdf}</w:t>
      </w:r>
      <w:r>
        <w:br/>
      </w:r>
      <w:r>
        <w:rPr>
          <w:rStyle w:val="VerbatimChar"/>
        </w:rPr>
        <w:t xml:space="preserve">\vspace{-0.4em}</w:t>
      </w:r>
      <w:r>
        <w:br/>
      </w:r>
      <w:r>
        <w:rPr>
          <w:rStyle w:val="VerbatimChar"/>
        </w:rPr>
        <w:t xml:space="preserve">{\scriptsize Fig.\ 3B (paper): lifetime of connections / neighbours.}</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Fig.\ 3B caption.}</w:t>
      </w:r>
      <w:r>
        <w:br/>
      </w:r>
      <w:r>
        <w:br/>
      </w:r>
      <w:r>
        <w:rPr>
          <w:rStyle w:val="VerbatimChar"/>
        </w:rPr>
        <w:t xml:space="preserve">\note{</w:t>
      </w:r>
      <w:r>
        <w:br/>
      </w:r>
      <w:r>
        <w:rPr>
          <w:rStyle w:val="VerbatimChar"/>
        </w:rPr>
        <w:t xml:space="preserve">\textbf{Time: 1:30}\par</w:t>
      </w:r>
      <w:r>
        <w:br/>
      </w:r>
      <w:r>
        <w:rPr>
          <w:rStyle w:val="VerbatimChar"/>
        </w:rPr>
        <w:t xml:space="preserve">Explain what “lifetime” means in the plot’s units.\par</w:t>
      </w:r>
      <w:r>
        <w:br/>
      </w:r>
      <w:r>
        <w:rPr>
          <w:rStyle w:val="VerbatimChar"/>
        </w:rPr>
        <w:t xml:space="preserve">Repeat the null model idea: gender shuffle.\par</w:t>
      </w:r>
      <w:r>
        <w:br/>
      </w:r>
      <w:r>
        <w:rPr>
          <w:rStyle w:val="VerbatimChar"/>
        </w:rPr>
        <w:t xml:space="preserve">Transition: now we interpret and stress-test (limitations/alternatives).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18 — Stress tests: exceptionalism, role specialisation, etc.</w:t>
      </w:r>
      <w:r>
        <w:br/>
      </w:r>
      <w:r>
        <w:rPr>
          <w:rStyle w:val="VerbatimChar"/>
        </w:rPr>
        <w:t xml:space="preserve">% ---------------------------------------------------------</w:t>
      </w:r>
      <w:r>
        <w:br/>
      </w:r>
      <w:r>
        <w:rPr>
          <w:rStyle w:val="VerbatimChar"/>
        </w:rPr>
        <w:t xml:space="preserve">\begin{frame}{Ruling out simple alternatives (as the paper discusses)}</w:t>
      </w:r>
      <w:r>
        <w:br/>
      </w:r>
      <w:r>
        <w:rPr>
          <w:rStyle w:val="VerbatimChar"/>
        </w:rPr>
        <w:t xml:space="preserve">% Layout:</w:t>
      </w:r>
      <w:r>
        <w:br/>
      </w:r>
      <w:r>
        <w:rPr>
          <w:rStyle w:val="VerbatimChar"/>
        </w:rPr>
        <w:t xml:space="preserve">% - Left: checklist of alternative explanations</w:t>
      </w:r>
      <w:r>
        <w:br/>
      </w:r>
      <w:r>
        <w:rPr>
          <w:rStyle w:val="VerbatimChar"/>
        </w:rPr>
        <w:t xml:space="preserve">% - Right: “evidence tags” (short quotes/paraphrases)</w:t>
      </w:r>
      <w:r>
        <w:br/>
      </w:r>
      <w:r>
        <w:rPr>
          <w:rStyle w:val="VerbatimChar"/>
        </w:rPr>
        <w:t xml:space="preserve">\begin{columns}[T,onlytextwidth]</w:t>
      </w:r>
      <w:r>
        <w:br/>
      </w:r>
      <w:r>
        <w:rPr>
          <w:rStyle w:val="VerbatimChar"/>
        </w:rPr>
        <w:t xml:space="preserve">\begin{column}{0.55\textwidth}</w:t>
      </w:r>
      <w:r>
        <w:br/>
      </w:r>
      <w:r>
        <w:rPr>
          <w:rStyle w:val="VerbatimChar"/>
        </w:rPr>
        <w:t xml:space="preserve">\begin{block}{Alternatives considered in Discussion}</w:t>
      </w:r>
      <w:r>
        <w:br/>
      </w:r>
      <w:r>
        <w:rPr>
          <w:rStyle w:val="VerbatimChar"/>
        </w:rPr>
        <w:t xml:space="preserve">\begin{itemize}</w:t>
      </w:r>
      <w:r>
        <w:br/>
      </w:r>
      <w:r>
        <w:rPr>
          <w:rStyle w:val="VerbatimChar"/>
        </w:rPr>
        <w:t xml:space="preserve">\item Incomplete networks (representativeness vs completeness).</w:t>
      </w:r>
      <w:r>
        <w:br/>
      </w:r>
      <w:r>
        <w:rPr>
          <w:rStyle w:val="VerbatimChar"/>
        </w:rPr>
        <w:t xml:space="preserve">\item “Exceptional women” (rarity / a few outliers).</w:t>
      </w:r>
      <w:r>
        <w:br/>
      </w:r>
      <w:r>
        <w:rPr>
          <w:rStyle w:val="VerbatimChar"/>
        </w:rPr>
        <w:t xml:space="preserve">\item Role monopolisation (women assigned to specific roles).</w:t>
      </w:r>
      <w:r>
        <w:br/>
      </w:r>
      <w:r>
        <w:rPr>
          <w:rStyle w:val="VerbatimChar"/>
        </w:rPr>
        <w:t xml:space="preserve">\item Higher-order measures vs noise/data demands.</w:t>
      </w:r>
      <w:r>
        <w:br/>
      </w:r>
      <w:r>
        <w:rPr>
          <w:rStyle w:val="VerbatimChar"/>
        </w:rPr>
        <w:t xml:space="preserve">\item Online: attention effects on women in male-dominated spaces.</w:t>
      </w:r>
      <w:r>
        <w:br/>
      </w:r>
      <w:r>
        <w:rPr>
          <w:rStyle w:val="VerbatimChar"/>
        </w:rPr>
        <w:t xml:space="preserve">\end{itemize}</w:t>
      </w:r>
      <w:r>
        <w:br/>
      </w:r>
      <w:r>
        <w:rPr>
          <w:rStyle w:val="VerbatimChar"/>
        </w:rPr>
        <w:t xml:space="preserve">\end{block}</w:t>
      </w:r>
      <w:r>
        <w:br/>
      </w:r>
      <w:r>
        <w:rPr>
          <w:rStyle w:val="VerbatimChar"/>
        </w:rPr>
        <w:t xml:space="preserve">\end{column}</w:t>
      </w:r>
      <w:r>
        <w:br/>
      </w:r>
      <w:r>
        <w:br/>
      </w:r>
      <w:r>
        <w:rPr>
          <w:rStyle w:val="VerbatimChar"/>
        </w:rPr>
        <w:t xml:space="preserve">\begin{column}{0.45\textwidth}</w:t>
      </w:r>
      <w:r>
        <w:br/>
      </w:r>
      <w:r>
        <w:rPr>
          <w:rStyle w:val="VerbatimChar"/>
        </w:rPr>
        <w:t xml:space="preserve">\begin{exampleblock}{Key discussion points (paraphrased)}</w:t>
      </w:r>
      <w:r>
        <w:br/>
      </w:r>
      <w:r>
        <w:rPr>
          <w:rStyle w:val="VerbatimChar"/>
        </w:rPr>
        <w:t xml:space="preserve">\begin{itemize}</w:t>
      </w:r>
      <w:r>
        <w:br/>
      </w:r>
      <w:r>
        <w:rPr>
          <w:rStyle w:val="VerbatimChar"/>
        </w:rPr>
        <w:t xml:space="preserve">\item In ISIS data, women fraction can reach 50\% (rarity less plausible).</w:t>
      </w:r>
      <w:r>
        <w:br/>
      </w:r>
      <w:r>
        <w:rPr>
          <w:rStyle w:val="VerbatimChar"/>
        </w:rPr>
        <w:t xml:space="preserve">\item In PIRA, expert “reputation lists” did not correlate with top-ranked women by BC.</w:t>
      </w:r>
      <w:r>
        <w:br/>
      </w:r>
      <w:r>
        <w:rPr>
          <w:rStyle w:val="VerbatimChar"/>
        </w:rPr>
        <w:t xml:space="preserve">\item Operational roles do not clearly explain BC positions.</w:t>
      </w:r>
      <w:r>
        <w:br/>
      </w:r>
      <w:r>
        <w:rPr>
          <w:rStyle w:val="VerbatimChar"/>
        </w:rPr>
        <w:t xml:space="preserve">\end{itemize}</w:t>
      </w:r>
      <w:r>
        <w:br/>
      </w:r>
      <w:r>
        <w:rPr>
          <w:rStyle w:val="VerbatimChar"/>
        </w:rPr>
        <w:t xml:space="preserve">\end{exampleblock}</w:t>
      </w:r>
      <w:r>
        <w:br/>
      </w:r>
      <w:r>
        <w:br/>
      </w:r>
      <w:r>
        <w:rPr>
          <w:rStyle w:val="VerbatimChar"/>
        </w:rPr>
        <w:t xml:space="preserve">\begin{center}</w:t>
      </w:r>
      <w:r>
        <w:br/>
      </w:r>
      <w:r>
        <w:rPr>
          <w:rStyle w:val="VerbatimChar"/>
        </w:rPr>
        <w:t xml:space="preserve">\begin{tikzpicture}</w:t>
      </w:r>
      <w:r>
        <w:br/>
      </w:r>
      <w:r>
        <w:rPr>
          <w:rStyle w:val="VerbatimChar"/>
        </w:rPr>
        <w:t xml:space="preserve">\node[box] {Visualisation: consider adding icons\\(checkmarks / warnings) for readability.};</w:t>
      </w:r>
      <w:r>
        <w:br/>
      </w:r>
      <w:r>
        <w:rPr>
          <w:rStyle w:val="VerbatimChar"/>
        </w:rPr>
        <w:t xml:space="preserve">\end{tikzpicture}</w:t>
      </w:r>
      <w:r>
        <w:br/>
      </w:r>
      <w:r>
        <w:rPr>
          <w:rStyle w:val="VerbatimChar"/>
        </w:rPr>
        <w:t xml:space="preserve">\end{center}</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Discussion section.}</w:t>
      </w:r>
      <w:r>
        <w:br/>
      </w:r>
      <w:r>
        <w:br/>
      </w:r>
      <w:r>
        <w:rPr>
          <w:rStyle w:val="VerbatimChar"/>
        </w:rPr>
        <w:t xml:space="preserve">\note{</w:t>
      </w:r>
      <w:r>
        <w:br/>
      </w:r>
      <w:r>
        <w:rPr>
          <w:rStyle w:val="VerbatimChar"/>
        </w:rPr>
        <w:t xml:space="preserve">\textbf{Time: 2:15}\par</w:t>
      </w:r>
      <w:r>
        <w:br/>
      </w:r>
      <w:r>
        <w:rPr>
          <w:rStyle w:val="VerbatimChar"/>
        </w:rPr>
        <w:t xml:space="preserve">Take these one by one, quickly.\par</w:t>
      </w:r>
      <w:r>
        <w:br/>
      </w:r>
      <w:r>
        <w:rPr>
          <w:rStyle w:val="VerbatimChar"/>
        </w:rPr>
        <w:t xml:space="preserve">Emphasise that authors do not claim perfect causal identification.\par</w:t>
      </w:r>
      <w:r>
        <w:br/>
      </w:r>
      <w:r>
        <w:rPr>
          <w:rStyle w:val="VerbatimChar"/>
        </w:rPr>
        <w:t xml:space="preserve">Use this slide to build credibility: “here’s what might have gone wrong, and what authors checked.”\par</w:t>
      </w:r>
      <w:r>
        <w:br/>
      </w:r>
      <w:r>
        <w:rPr>
          <w:rStyle w:val="VerbatimChar"/>
        </w:rPr>
        <w:t xml:space="preserve">Transition: limitations remain, and we should be explicit.</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19 — Limitations &amp; threats to validity</w:t>
      </w:r>
      <w:r>
        <w:br/>
      </w:r>
      <w:r>
        <w:rPr>
          <w:rStyle w:val="VerbatimChar"/>
        </w:rPr>
        <w:t xml:space="preserve">% ---------------------------------------------------------</w:t>
      </w:r>
      <w:r>
        <w:br/>
      </w:r>
      <w:r>
        <w:rPr>
          <w:rStyle w:val="VerbatimChar"/>
        </w:rPr>
        <w:t xml:space="preserve">\begin{frame}{Limitations and validity boundaries}</w:t>
      </w:r>
      <w:r>
        <w:br/>
      </w:r>
      <w:r>
        <w:rPr>
          <w:rStyle w:val="VerbatimChar"/>
        </w:rPr>
        <w:t xml:space="preserve">% Layout:</w:t>
      </w:r>
      <w:r>
        <w:br/>
      </w:r>
      <w:r>
        <w:rPr>
          <w:rStyle w:val="VerbatimChar"/>
        </w:rPr>
        <w:t xml:space="preserve">% - One column: 3 blocks (data, measurement, inference)</w:t>
      </w:r>
      <w:r>
        <w:br/>
      </w:r>
      <w:r>
        <w:rPr>
          <w:rStyle w:val="VerbatimChar"/>
        </w:rPr>
        <w:t xml:space="preserve">\begin{block}{Data limitations (paper’s own caveats)}</w:t>
      </w:r>
      <w:r>
        <w:br/>
      </w:r>
      <w:r>
        <w:rPr>
          <w:rStyle w:val="VerbatimChar"/>
        </w:rPr>
        <w:t xml:space="preserve">\begin{itemize}</w:t>
      </w:r>
      <w:r>
        <w:br/>
      </w:r>
      <w:r>
        <w:rPr>
          <w:rStyle w:val="VerbatimChar"/>
        </w:rPr>
        <w:t xml:space="preserve">\item Cannot prove completeness; claims are about being representative.</w:t>
      </w:r>
      <w:r>
        <w:br/>
      </w:r>
      <w:r>
        <w:rPr>
          <w:rStyle w:val="VerbatimChar"/>
        </w:rPr>
        <w:t xml:space="preserve">\item External events shape network evolution; uncorrelated noise unlikely to create the observed structure.</w:t>
      </w:r>
      <w:r>
        <w:br/>
      </w:r>
      <w:r>
        <w:rPr>
          <w:rStyle w:val="VerbatimChar"/>
        </w:rPr>
        <w:t xml:space="preserve">\end{itemize}</w:t>
      </w:r>
      <w:r>
        <w:br/>
      </w:r>
      <w:r>
        <w:rPr>
          <w:rStyle w:val="VerbatimChar"/>
        </w:rPr>
        <w:t xml:space="preserve">\end{block}</w:t>
      </w:r>
      <w:r>
        <w:br/>
      </w:r>
      <w:r>
        <w:br/>
      </w:r>
      <w:r>
        <w:rPr>
          <w:rStyle w:val="VerbatimChar"/>
        </w:rPr>
        <w:t xml:space="preserve">\begin{block}{Measurement limitations}</w:t>
      </w:r>
      <w:r>
        <w:br/>
      </w:r>
      <w:r>
        <w:rPr>
          <w:rStyle w:val="VerbatimChar"/>
        </w:rPr>
        <w:t xml:space="preserve">\begin{itemize}</w:t>
      </w:r>
      <w:r>
        <w:br/>
      </w:r>
      <w:r>
        <w:rPr>
          <w:rStyle w:val="VerbatimChar"/>
        </w:rPr>
        <w:t xml:space="preserve">\item Online gender declarations may include noise; authors argue no strong incentive to misdeclare and report undeclared users are a tiny fraction.</w:t>
      </w:r>
      <w:r>
        <w:br/>
      </w:r>
      <w:r>
        <w:rPr>
          <w:rStyle w:val="VerbatimChar"/>
        </w:rPr>
        <w:t xml:space="preserve">\item Centrality measures are standard, but higher-order statistics require more data and are more noise-sensitive.</w:t>
      </w:r>
      <w:r>
        <w:br/>
      </w:r>
      <w:r>
        <w:rPr>
          <w:rStyle w:val="VerbatimChar"/>
        </w:rPr>
        <w:t xml:space="preserve">\end{itemize}</w:t>
      </w:r>
      <w:r>
        <w:br/>
      </w:r>
      <w:r>
        <w:rPr>
          <w:rStyle w:val="VerbatimChar"/>
        </w:rPr>
        <w:t xml:space="preserve">\end{block}</w:t>
      </w:r>
      <w:r>
        <w:br/>
      </w:r>
      <w:r>
        <w:br/>
      </w:r>
      <w:r>
        <w:rPr>
          <w:rStyle w:val="VerbatimChar"/>
        </w:rPr>
        <w:t xml:space="preserve">\begin{exampleblock}{Inference discipline}</w:t>
      </w:r>
      <w:r>
        <w:br/>
      </w:r>
      <w:r>
        <w:rPr>
          <w:rStyle w:val="VerbatimChar"/>
        </w:rPr>
        <w:t xml:space="preserve">Association patterns support the paper’s claims about \alert{topological roles}, not psychological intent or moral judgement.</w:t>
      </w:r>
      <w:r>
        <w:br/>
      </w:r>
      <w:r>
        <w:rPr>
          <w:rStyle w:val="VerbatimChar"/>
        </w:rPr>
        <w:t xml:space="preserve">\end{exampleblock}</w:t>
      </w:r>
      <w:r>
        <w:br/>
      </w:r>
      <w:r>
        <w:br/>
      </w:r>
      <w:r>
        <w:rPr>
          <w:rStyle w:val="VerbatimChar"/>
        </w:rPr>
        <w:t xml:space="preserve">{\tiny Source: Manrique et al.\ (2016), Discussion + Methods notes on gender declaration.}</w:t>
      </w:r>
      <w:r>
        <w:br/>
      </w:r>
      <w:r>
        <w:br/>
      </w:r>
      <w:r>
        <w:rPr>
          <w:rStyle w:val="VerbatimChar"/>
        </w:rPr>
        <w:t xml:space="preserve">\note{</w:t>
      </w:r>
      <w:r>
        <w:br/>
      </w:r>
      <w:r>
        <w:rPr>
          <w:rStyle w:val="VerbatimChar"/>
        </w:rPr>
        <w:t xml:space="preserve">\textbf{Time: 2:15}\par</w:t>
      </w:r>
      <w:r>
        <w:br/>
      </w:r>
      <w:r>
        <w:rPr>
          <w:rStyle w:val="VerbatimChar"/>
        </w:rPr>
        <w:t xml:space="preserve">Say explicitly: “What the paper does \emph{not} claim.”\par</w:t>
      </w:r>
      <w:r>
        <w:br/>
      </w:r>
      <w:r>
        <w:rPr>
          <w:rStyle w:val="VerbatimChar"/>
        </w:rPr>
        <w:t xml:space="preserve">Use the gender-declaration paragraph to show they considered measurement noise.\par</w:t>
      </w:r>
      <w:r>
        <w:br/>
      </w:r>
      <w:r>
        <w:rPr>
          <w:rStyle w:val="VerbatimChar"/>
        </w:rPr>
        <w:t xml:space="preserve">Bridge to implications: if role differs, interventions/engagement strategies differ (paper’s wording).</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20 — Implications (carefully framed)</w:t>
      </w:r>
      <w:r>
        <w:br/>
      </w:r>
      <w:r>
        <w:rPr>
          <w:rStyle w:val="VerbatimChar"/>
        </w:rPr>
        <w:t xml:space="preserve">% ---------------------------------------------------------</w:t>
      </w:r>
      <w:r>
        <w:br/>
      </w:r>
      <w:r>
        <w:rPr>
          <w:rStyle w:val="VerbatimChar"/>
        </w:rPr>
        <w:t xml:space="preserve">\begin{frame}{Implications: rethinking “importance” in networked systems}</w:t>
      </w:r>
      <w:r>
        <w:br/>
      </w:r>
      <w:r>
        <w:rPr>
          <w:rStyle w:val="VerbatimChar"/>
        </w:rPr>
        <w:t xml:space="preserve">% Layout:</w:t>
      </w:r>
      <w:r>
        <w:br/>
      </w:r>
      <w:r>
        <w:rPr>
          <w:rStyle w:val="VerbatimChar"/>
        </w:rPr>
        <w:t xml:space="preserve">% - Left: paper’s implication (female-centric engagement)</w:t>
      </w:r>
      <w:r>
        <w:br/>
      </w:r>
      <w:r>
        <w:rPr>
          <w:rStyle w:val="VerbatimChar"/>
        </w:rPr>
        <w:t xml:space="preserve">% - Right: conceptual diagram contrasting hub targeting vs broker engagement</w:t>
      </w:r>
      <w:r>
        <w:br/>
      </w:r>
      <w:r>
        <w:rPr>
          <w:rStyle w:val="VerbatimChar"/>
        </w:rPr>
        <w:t xml:space="preserve">\begin{columns}[T,onlytextwidth]</w:t>
      </w:r>
      <w:r>
        <w:br/>
      </w:r>
      <w:r>
        <w:rPr>
          <w:rStyle w:val="VerbatimChar"/>
        </w:rPr>
        <w:t xml:space="preserve">\begin{column}{0.55\textwidth}</w:t>
      </w:r>
      <w:r>
        <w:br/>
      </w:r>
      <w:r>
        <w:rPr>
          <w:rStyle w:val="VerbatimChar"/>
        </w:rPr>
        <w:t xml:space="preserve">\begin{block}{Paper’s key implication}</w:t>
      </w:r>
      <w:r>
        <w:br/>
      </w:r>
      <w:r>
        <w:rPr>
          <w:rStyle w:val="VerbatimChar"/>
        </w:rPr>
        <w:t xml:space="preserve">Traditional approaches focus on high-degree hubs; authors suggest attention to women’s interconnectivity and \alert{collective measures like BC}.</w:t>
      </w:r>
      <w:r>
        <w:br/>
      </w:r>
      <w:r>
        <w:rPr>
          <w:rStyle w:val="VerbatimChar"/>
        </w:rPr>
        <w:t xml:space="preserve">\end{block}</w:t>
      </w:r>
      <w:r>
        <w:br/>
      </w:r>
      <w:r>
        <w:br/>
      </w:r>
      <w:r>
        <w:rPr>
          <w:rStyle w:val="VerbatimChar"/>
        </w:rPr>
        <w:t xml:space="preserve">\begin{exampleblock}{Explicit ethical constraint (paper)}</w:t>
      </w:r>
      <w:r>
        <w:br/>
      </w:r>
      <w:r>
        <w:rPr>
          <w:rStyle w:val="VerbatimChar"/>
        </w:rPr>
        <w:t xml:space="preserve">Authors stress they are \alert{not} suggesting “targeting” women with high BC; instead, they argue engagement could reengineer/affect networks.</w:t>
      </w:r>
      <w:r>
        <w:br/>
      </w:r>
      <w:r>
        <w:rPr>
          <w:rStyle w:val="VerbatimChar"/>
        </w:rPr>
        <w:t xml:space="preserve">\end{exampleblock}</w:t>
      </w:r>
      <w:r>
        <w:br/>
      </w:r>
      <w:r>
        <w:rPr>
          <w:rStyle w:val="VerbatimChar"/>
        </w:rPr>
        <w:t xml:space="preserve">\end{column}</w:t>
      </w:r>
      <w:r>
        <w:br/>
      </w:r>
      <w:r>
        <w:br/>
      </w:r>
      <w:r>
        <w:rPr>
          <w:rStyle w:val="VerbatimChar"/>
        </w:rPr>
        <w:t xml:space="preserve">\begin{column}{0.45\textwidth}</w:t>
      </w:r>
      <w:r>
        <w:br/>
      </w:r>
      <w:r>
        <w:rPr>
          <w:rStyle w:val="VerbatimChar"/>
        </w:rPr>
        <w:t xml:space="preserve">\begin{block}{Visual contrast (custom)}</w:t>
      </w:r>
      <w:r>
        <w:br/>
      </w:r>
      <w:r>
        <w:rPr>
          <w:rStyle w:val="VerbatimChar"/>
        </w:rPr>
        <w:t xml:space="preserve">\centering</w:t>
      </w:r>
      <w:r>
        <w:br/>
      </w:r>
      <w:r>
        <w:rPr>
          <w:rStyle w:val="VerbatimChar"/>
        </w:rPr>
        <w:t xml:space="preserve">\begin{tikzpicture}[node distance=0.9cm]</w:t>
      </w:r>
      <w:r>
        <w:br/>
      </w:r>
      <w:r>
        <w:rPr>
          <w:rStyle w:val="VerbatimChar"/>
        </w:rPr>
        <w:t xml:space="preserve">\node[box] (hub) {Hub-centric\\(degree)};</w:t>
      </w:r>
      <w:r>
        <w:br/>
      </w:r>
      <w:r>
        <w:rPr>
          <w:rStyle w:val="VerbatimChar"/>
        </w:rPr>
        <w:t xml:space="preserve">\node[box,below=of hub] (bc) {Broker-centric\\(betweenness)};</w:t>
      </w:r>
      <w:r>
        <w:br/>
      </w:r>
      <w:r>
        <w:rPr>
          <w:rStyle w:val="VerbatimChar"/>
        </w:rPr>
        <w:t xml:space="preserve">\draw[arrow] (hub) -- (bc);</w:t>
      </w:r>
      <w:r>
        <w:br/>
      </w:r>
      <w:r>
        <w:rPr>
          <w:rStyle w:val="VerbatimChar"/>
        </w:rPr>
        <w:t xml:space="preserve">\end{tikzpicture}</w:t>
      </w:r>
      <w:r>
        <w:br/>
      </w:r>
      <w:r>
        <w:rPr>
          <w:rStyle w:val="VerbatimChar"/>
        </w:rPr>
        <w:t xml:space="preserve">\end{block}</w:t>
      </w:r>
      <w:r>
        <w:br/>
      </w:r>
      <w:r>
        <w:br/>
      </w:r>
      <w:r>
        <w:rPr>
          <w:rStyle w:val="VerbatimChar"/>
        </w:rPr>
        <w:t xml:space="preserve">{\tiny Visualisation task: replace with a two-panel cartoon (hub removal vs bridge engagement) if desired.}</w:t>
      </w:r>
      <w:r>
        <w:br/>
      </w:r>
      <w:r>
        <w:rPr>
          <w:rStyle w:val="VerbatimChar"/>
        </w:rPr>
        <w:t xml:space="preserve">\end{column}</w:t>
      </w:r>
      <w:r>
        <w:br/>
      </w:r>
      <w:r>
        <w:rPr>
          <w:rStyle w:val="VerbatimChar"/>
        </w:rPr>
        <w:t xml:space="preserve">\end{columns}</w:t>
      </w:r>
      <w:r>
        <w:br/>
      </w:r>
      <w:r>
        <w:br/>
      </w:r>
      <w:r>
        <w:rPr>
          <w:rStyle w:val="VerbatimChar"/>
        </w:rPr>
        <w:t xml:space="preserve">{\tiny Source: Manrique et al.\ (2016), Discussion section.}</w:t>
      </w:r>
      <w:r>
        <w:br/>
      </w:r>
      <w:r>
        <w:br/>
      </w:r>
      <w:r>
        <w:rPr>
          <w:rStyle w:val="VerbatimChar"/>
        </w:rPr>
        <w:t xml:space="preserve">\note{</w:t>
      </w:r>
      <w:r>
        <w:br/>
      </w:r>
      <w:r>
        <w:rPr>
          <w:rStyle w:val="VerbatimChar"/>
        </w:rPr>
        <w:t xml:space="preserve">\textbf{Time: 1:30}\par</w:t>
      </w:r>
      <w:r>
        <w:br/>
      </w:r>
      <w:r>
        <w:rPr>
          <w:rStyle w:val="VerbatimChar"/>
        </w:rPr>
        <w:t xml:space="preserve">Be cautious: keep this conceptual and ethical.\par</w:t>
      </w:r>
      <w:r>
        <w:br/>
      </w:r>
      <w:r>
        <w:rPr>
          <w:rStyle w:val="VerbatimChar"/>
        </w:rPr>
        <w:t xml:space="preserve">Talk about “evaluation” and “collective importance” rather than operational tactics.\par</w:t>
      </w:r>
      <w:r>
        <w:br/>
      </w:r>
      <w:r>
        <w:rPr>
          <w:rStyle w:val="VerbatimChar"/>
        </w:rPr>
        <w:t xml:space="preserve">Transition to an ethics slide to reinforce responsible framing.</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21 — Ethics and responsible communication</w:t>
      </w:r>
      <w:r>
        <w:br/>
      </w:r>
      <w:r>
        <w:rPr>
          <w:rStyle w:val="VerbatimChar"/>
        </w:rPr>
        <w:t xml:space="preserve">% ---------------------------------------------------------</w:t>
      </w:r>
      <w:r>
        <w:br/>
      </w:r>
      <w:r>
        <w:rPr>
          <w:rStyle w:val="VerbatimChar"/>
        </w:rPr>
        <w:t xml:space="preserve">\begin{frame}{Ethics: presenting research on extremist networks responsibly}</w:t>
      </w:r>
      <w:r>
        <w:br/>
      </w:r>
      <w:r>
        <w:rPr>
          <w:rStyle w:val="VerbatimChar"/>
        </w:rPr>
        <w:t xml:space="preserve">% Layout:</w:t>
      </w:r>
      <w:r>
        <w:br/>
      </w:r>
      <w:r>
        <w:rPr>
          <w:rStyle w:val="VerbatimChar"/>
        </w:rPr>
        <w:t xml:space="preserve">% - One large alert block + short checklist</w:t>
      </w:r>
      <w:r>
        <w:br/>
      </w:r>
      <w:r>
        <w:rPr>
          <w:rStyle w:val="VerbatimChar"/>
        </w:rPr>
        <w:t xml:space="preserve">\begin{alertblock}{Principle}</w:t>
      </w:r>
      <w:r>
        <w:br/>
      </w:r>
      <w:r>
        <w:rPr>
          <w:rStyle w:val="VerbatimChar"/>
        </w:rPr>
        <w:t xml:space="preserve">This talk is about \textbf{network science measurement}, not operational guidance or propaganda.</w:t>
      </w:r>
      <w:r>
        <w:br/>
      </w:r>
      <w:r>
        <w:rPr>
          <w:rStyle w:val="VerbatimChar"/>
        </w:rPr>
        <w:t xml:space="preserve">\end{alertblock}</w:t>
      </w:r>
      <w:r>
        <w:br/>
      </w:r>
      <w:r>
        <w:br/>
      </w:r>
      <w:r>
        <w:rPr>
          <w:rStyle w:val="VerbatimChar"/>
        </w:rPr>
        <w:t xml:space="preserve">\begin{block}{Responsible presentation checklist}</w:t>
      </w:r>
      <w:r>
        <w:br/>
      </w:r>
      <w:r>
        <w:rPr>
          <w:rStyle w:val="VerbatimChar"/>
        </w:rPr>
        <w:t xml:space="preserve">\begin{itemize}</w:t>
      </w:r>
      <w:r>
        <w:br/>
      </w:r>
      <w:r>
        <w:rPr>
          <w:rStyle w:val="VerbatimChar"/>
        </w:rPr>
        <w:t xml:space="preserve">\item Avoid reproducing extremist media; limit to paper’s abstracted network figures.</w:t>
      </w:r>
      <w:r>
        <w:br/>
      </w:r>
      <w:r>
        <w:rPr>
          <w:rStyle w:val="VerbatimChar"/>
        </w:rPr>
        <w:t xml:space="preserve">\item Maintain neutrality in descriptive language; separate empirical claims from moral conclusions.</w:t>
      </w:r>
      <w:r>
        <w:br/>
      </w:r>
      <w:r>
        <w:rPr>
          <w:rStyle w:val="VerbatimChar"/>
        </w:rPr>
        <w:t xml:space="preserve">\item Be explicit about data provenance, uncertainty, and non-causal interpretation.</w:t>
      </w:r>
      <w:r>
        <w:br/>
      </w:r>
      <w:r>
        <w:rPr>
          <w:rStyle w:val="VerbatimChar"/>
        </w:rPr>
        <w:t xml:space="preserve">\end{itemize}</w:t>
      </w:r>
      <w:r>
        <w:br/>
      </w:r>
      <w:r>
        <w:rPr>
          <w:rStyle w:val="VerbatimChar"/>
        </w:rPr>
        <w:t xml:space="preserve">\end{block}</w:t>
      </w:r>
      <w:r>
        <w:br/>
      </w:r>
      <w:r>
        <w:br/>
      </w:r>
      <w:r>
        <w:rPr>
          <w:rStyle w:val="VerbatimChar"/>
        </w:rPr>
        <w:t xml:space="preserve">\begin{center}</w:t>
      </w:r>
      <w:r>
        <w:br/>
      </w:r>
      <w:r>
        <w:rPr>
          <w:rStyle w:val="VerbatimChar"/>
        </w:rPr>
        <w:t xml:space="preserve">\begin{tikzpicture}</w:t>
      </w:r>
      <w:r>
        <w:br/>
      </w:r>
      <w:r>
        <w:rPr>
          <w:rStyle w:val="VerbatimChar"/>
        </w:rPr>
        <w:t xml:space="preserve">\node[box] {Visualisation: add a simple “ethics guardrail” icon set.};</w:t>
      </w:r>
      <w:r>
        <w:br/>
      </w:r>
      <w:r>
        <w:rPr>
          <w:rStyle w:val="VerbatimChar"/>
        </w:rPr>
        <w:t xml:space="preserve">\end{tikzpicture}</w:t>
      </w:r>
      <w:r>
        <w:br/>
      </w:r>
      <w:r>
        <w:rPr>
          <w:rStyle w:val="VerbatimChar"/>
        </w:rPr>
        <w:t xml:space="preserve">\end{center}</w:t>
      </w:r>
      <w:r>
        <w:br/>
      </w:r>
      <w:r>
        <w:br/>
      </w:r>
      <w:r>
        <w:rPr>
          <w:rStyle w:val="VerbatimChar"/>
        </w:rPr>
        <w:t xml:space="preserve">\note{</w:t>
      </w:r>
      <w:r>
        <w:br/>
      </w:r>
      <w:r>
        <w:rPr>
          <w:rStyle w:val="VerbatimChar"/>
        </w:rPr>
        <w:t xml:space="preserve">\textbf{Time: 1:30}\par</w:t>
      </w:r>
      <w:r>
        <w:br/>
      </w:r>
      <w:r>
        <w:rPr>
          <w:rStyle w:val="VerbatimChar"/>
        </w:rPr>
        <w:t xml:space="preserve">State why you included this slide: topic sensitivity.\par</w:t>
      </w:r>
      <w:r>
        <w:br/>
      </w:r>
      <w:r>
        <w:rPr>
          <w:rStyle w:val="VerbatimChar"/>
        </w:rPr>
        <w:t xml:space="preserve">Emphasise that the paper itself avoids broader debates on gender and keeps scope limited.\par</w:t>
      </w:r>
      <w:r>
        <w:br/>
      </w:r>
      <w:r>
        <w:rPr>
          <w:rStyle w:val="VerbatimChar"/>
        </w:rPr>
        <w:t xml:space="preserve">Then move to final takeaways.</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22 — Take-home messages</w:t>
      </w:r>
      <w:r>
        <w:br/>
      </w:r>
      <w:r>
        <w:rPr>
          <w:rStyle w:val="VerbatimChar"/>
        </w:rPr>
        <w:t xml:space="preserve">% ---------------------------------------------------------</w:t>
      </w:r>
      <w:r>
        <w:br/>
      </w:r>
      <w:r>
        <w:rPr>
          <w:rStyle w:val="VerbatimChar"/>
        </w:rPr>
        <w:t xml:space="preserve">\begin{frame}{Conclusions and open questions}</w:t>
      </w:r>
      <w:r>
        <w:br/>
      </w:r>
      <w:r>
        <w:rPr>
          <w:rStyle w:val="VerbatimChar"/>
        </w:rPr>
        <w:t xml:space="preserve">% Layout:</w:t>
      </w:r>
      <w:r>
        <w:br/>
      </w:r>
      <w:r>
        <w:rPr>
          <w:rStyle w:val="VerbatimChar"/>
        </w:rPr>
        <w:t xml:space="preserve">% - Three takeaways + “open questions” box</w:t>
      </w:r>
      <w:r>
        <w:br/>
      </w:r>
      <w:r>
        <w:rPr>
          <w:rStyle w:val="VerbatimChar"/>
        </w:rPr>
        <w:t xml:space="preserve">\begin{block}{Three take-home messages (tight)}</w:t>
      </w:r>
      <w:r>
        <w:br/>
      </w:r>
      <w:r>
        <w:rPr>
          <w:rStyle w:val="VerbatimChar"/>
        </w:rPr>
        <w:t xml:space="preserve">\begin{enumerate}</w:t>
      </w:r>
      <w:r>
        <w:br/>
      </w:r>
      <w:r>
        <w:rPr>
          <w:rStyle w:val="VerbatimChar"/>
        </w:rPr>
        <w:t xml:space="preserve">\item In both online and offline extreme networks studied, women show higher \alert{betweenness centrality} despite being fewer in number.</w:t>
      </w:r>
      <w:r>
        <w:br/>
      </w:r>
      <w:r>
        <w:rPr>
          <w:rStyle w:val="VerbatimChar"/>
        </w:rPr>
        <w:t xml:space="preserve">\item Degree and betweenness can diverge: women can avoid “star” visibility while providing brokerage.</w:t>
      </w:r>
      <w:r>
        <w:br/>
      </w:r>
      <w:r>
        <w:rPr>
          <w:rStyle w:val="VerbatimChar"/>
        </w:rPr>
        <w:t xml:space="preserve">\item Longevity patterns (groups and neighbours) are consistent with women’s embeddedness having system-level consequences.</w:t>
      </w:r>
      <w:r>
        <w:br/>
      </w:r>
      <w:r>
        <w:rPr>
          <w:rStyle w:val="VerbatimChar"/>
        </w:rPr>
        <w:t xml:space="preserve">\end{enumerate}</w:t>
      </w:r>
      <w:r>
        <w:br/>
      </w:r>
      <w:r>
        <w:rPr>
          <w:rStyle w:val="VerbatimChar"/>
        </w:rPr>
        <w:t xml:space="preserve">\end{block}</w:t>
      </w:r>
      <w:r>
        <w:br/>
      </w:r>
      <w:r>
        <w:br/>
      </w:r>
      <w:r>
        <w:rPr>
          <w:rStyle w:val="VerbatimChar"/>
        </w:rPr>
        <w:t xml:space="preserve">\begin{exampleblock}{Open questions (paper-aligned)}</w:t>
      </w:r>
      <w:r>
        <w:br/>
      </w:r>
      <w:r>
        <w:rPr>
          <w:rStyle w:val="VerbatimChar"/>
        </w:rPr>
        <w:t xml:space="preserve">How robust is this pattern across other extreme networks? Which external “pressure” changes centrality patterns? How should contributions be evaluated: local vs collective measures?</w:t>
      </w:r>
      <w:r>
        <w:br/>
      </w:r>
      <w:r>
        <w:rPr>
          <w:rStyle w:val="VerbatimChar"/>
        </w:rPr>
        <w:t xml:space="preserve">\end{exampleblock}</w:t>
      </w:r>
      <w:r>
        <w:br/>
      </w:r>
      <w:r>
        <w:br/>
      </w:r>
      <w:r>
        <w:rPr>
          <w:rStyle w:val="VerbatimChar"/>
        </w:rPr>
        <w:t xml:space="preserve">{\tiny Source: Manrique et al.\ (2016), Results + Discussion.}</w:t>
      </w:r>
      <w:r>
        <w:br/>
      </w:r>
      <w:r>
        <w:br/>
      </w:r>
      <w:r>
        <w:rPr>
          <w:rStyle w:val="VerbatimChar"/>
        </w:rPr>
        <w:t xml:space="preserve">\note{</w:t>
      </w:r>
      <w:r>
        <w:br/>
      </w:r>
      <w:r>
        <w:rPr>
          <w:rStyle w:val="VerbatimChar"/>
        </w:rPr>
        <w:t xml:space="preserve">\textbf{Time: 0:45}\par</w:t>
      </w:r>
      <w:r>
        <w:br/>
      </w:r>
      <w:r>
        <w:rPr>
          <w:rStyle w:val="VerbatimChar"/>
        </w:rPr>
        <w:t xml:space="preserve">Deliver these as short sentences.\par</w:t>
      </w:r>
      <w:r>
        <w:br/>
      </w:r>
      <w:r>
        <w:rPr>
          <w:rStyle w:val="VerbatimChar"/>
        </w:rPr>
        <w:t xml:space="preserve">Signal: “Everything you need to remember fits here.”\par</w:t>
      </w:r>
      <w:r>
        <w:br/>
      </w:r>
      <w:r>
        <w:rPr>
          <w:rStyle w:val="VerbatimChar"/>
        </w:rPr>
        <w:t xml:space="preserve">Then: Q\&amp;A.</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Slide 23 — Q&amp;A (timed)</w:t>
      </w:r>
      <w:r>
        <w:br/>
      </w:r>
      <w:r>
        <w:rPr>
          <w:rStyle w:val="VerbatimChar"/>
        </w:rPr>
        <w:t xml:space="preserve">% ---------------------------------------------------------</w:t>
      </w:r>
      <w:r>
        <w:br/>
      </w:r>
      <w:r>
        <w:rPr>
          <w:rStyle w:val="VerbatimChar"/>
        </w:rPr>
        <w:t xml:space="preserve">\begin{frame}[plain]</w:t>
      </w:r>
      <w:r>
        <w:br/>
      </w:r>
      <w:r>
        <w:rPr>
          <w:rStyle w:val="VerbatimChar"/>
        </w:rPr>
        <w:t xml:space="preserve">\vspace{1.2cm}</w:t>
      </w:r>
      <w:r>
        <w:br/>
      </w:r>
      <w:r>
        <w:rPr>
          <w:rStyle w:val="VerbatimChar"/>
        </w:rPr>
        <w:t xml:space="preserve">\begin{center}</w:t>
      </w:r>
      <w:r>
        <w:br/>
      </w:r>
      <w:r>
        <w:rPr>
          <w:rStyle w:val="VerbatimChar"/>
        </w:rPr>
        <w:t xml:space="preserve">{\fontsize{34}{38}\selectfont \textbf{Q\&amp;A}}\\[0.6em]</w:t>
      </w:r>
      <w:r>
        <w:br/>
      </w:r>
      <w:r>
        <w:rPr>
          <w:rStyle w:val="VerbatimChar"/>
        </w:rPr>
        <w:t xml:space="preserve">{\large (planned: \textbf{7 minutes})}\\[1.0em]</w:t>
      </w:r>
      <w:r>
        <w:br/>
      </w:r>
      <w:r>
        <w:rPr>
          <w:rStyle w:val="VerbatimChar"/>
        </w:rPr>
        <w:t xml:space="preserve">{\normalsize Backup slides follow.}</w:t>
      </w:r>
      <w:r>
        <w:br/>
      </w:r>
      <w:r>
        <w:rPr>
          <w:rStyle w:val="VerbatimChar"/>
        </w:rPr>
        <w:t xml:space="preserve">\end{center}</w:t>
      </w:r>
      <w:r>
        <w:br/>
      </w:r>
      <w:r>
        <w:br/>
      </w:r>
      <w:r>
        <w:rPr>
          <w:rStyle w:val="VerbatimChar"/>
        </w:rPr>
        <w:t xml:space="preserve">\note{</w:t>
      </w:r>
      <w:r>
        <w:br/>
      </w:r>
      <w:r>
        <w:rPr>
          <w:rStyle w:val="VerbatimChar"/>
        </w:rPr>
        <w:t xml:space="preserve">\textbf{Time: 7:00 (flexible)}\par</w:t>
      </w:r>
      <w:r>
        <w:br/>
      </w:r>
      <w:r>
        <w:rPr>
          <w:rStyle w:val="VerbatimChar"/>
        </w:rPr>
        <w:t xml:space="preserve">If questions are short: go to backup slides to deepen definitions, null model, or data details.\par</w:t>
      </w:r>
      <w:r>
        <w:br/>
      </w:r>
      <w:r>
        <w:rPr>
          <w:rStyle w:val="VerbatimChar"/>
        </w:rPr>
        <w:t xml:space="preserve">If questions run long: stop on time; offer to share slides + bib after.</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Backup slides (appendix)</w:t>
      </w:r>
      <w:r>
        <w:br/>
      </w:r>
      <w:r>
        <w:rPr>
          <w:rStyle w:val="VerbatimChar"/>
        </w:rPr>
        <w:t xml:space="preserve">% =========================================================</w:t>
      </w:r>
      <w:r>
        <w:br/>
      </w:r>
      <w:r>
        <w:rPr>
          <w:rStyle w:val="VerbatimChar"/>
        </w:rPr>
        <w:t xml:space="preserve">\appendix</w:t>
      </w:r>
      <w:r>
        <w:br/>
      </w:r>
      <w:r>
        <w:br/>
      </w:r>
      <w:r>
        <w:rPr>
          <w:rStyle w:val="VerbatimChar"/>
        </w:rPr>
        <w:t xml:space="preserve">% ---------------------------------------------------------</w:t>
      </w:r>
      <w:r>
        <w:br/>
      </w:r>
      <w:r>
        <w:rPr>
          <w:rStyle w:val="VerbatimChar"/>
        </w:rPr>
        <w:t xml:space="preserve">% Backup A1 — Betweenness centrality origin (Freeman)</w:t>
      </w:r>
      <w:r>
        <w:br/>
      </w:r>
      <w:r>
        <w:rPr>
          <w:rStyle w:val="VerbatimChar"/>
        </w:rPr>
        <w:t xml:space="preserve">% ---------------------------------------------------------</w:t>
      </w:r>
      <w:r>
        <w:br/>
      </w:r>
      <w:r>
        <w:rPr>
          <w:rStyle w:val="VerbatimChar"/>
        </w:rPr>
        <w:t xml:space="preserve">\begin{frame}{Backup: why betweenness matters (Freeman intuition)}</w:t>
      </w:r>
      <w:r>
        <w:br/>
      </w:r>
      <w:r>
        <w:rPr>
          <w:rStyle w:val="VerbatimChar"/>
        </w:rPr>
        <w:t xml:space="preserve">% Layout: two-column, left quote-style paraphrase, right simple diagram</w:t>
      </w:r>
      <w:r>
        <w:br/>
      </w:r>
      <w:r>
        <w:rPr>
          <w:rStyle w:val="VerbatimChar"/>
        </w:rPr>
        <w:t xml:space="preserve">\begin{columns}[T,onlytextwidth]</w:t>
      </w:r>
      <w:r>
        <w:br/>
      </w:r>
      <w:r>
        <w:rPr>
          <w:rStyle w:val="VerbatimChar"/>
        </w:rPr>
        <w:t xml:space="preserve">\begin{column}{0.55\textwidth}</w:t>
      </w:r>
      <w:r>
        <w:br/>
      </w:r>
      <w:r>
        <w:rPr>
          <w:rStyle w:val="VerbatimChar"/>
        </w:rPr>
        <w:t xml:space="preserve">\begin{block}{Classic intuition}</w:t>
      </w:r>
      <w:r>
        <w:br/>
      </w:r>
      <w:r>
        <w:rPr>
          <w:rStyle w:val="VerbatimChar"/>
        </w:rPr>
        <w:t xml:space="preserve">Betweenness-based centrality formalises the idea that a node is central if it lies on shortest (geodesic) paths between others, giving it relay/control potential in communication networks.</w:t>
      </w:r>
      <w:r>
        <w:br/>
      </w:r>
      <w:r>
        <w:rPr>
          <w:rStyle w:val="VerbatimChar"/>
        </w:rPr>
        <w:t xml:space="preserve">\end{block}</w:t>
      </w:r>
      <w:r>
        <w:br/>
      </w:r>
      <w:r>
        <w:br/>
      </w:r>
      <w:r>
        <w:rPr>
          <w:rStyle w:val="VerbatimChar"/>
        </w:rPr>
        <w:t xml:space="preserve">\begin{exampleblock}{Why include this?}</w:t>
      </w:r>
      <w:r>
        <w:br/>
      </w:r>
      <w:r>
        <w:rPr>
          <w:rStyle w:val="VerbatimChar"/>
        </w:rPr>
        <w:t xml:space="preserve">It supports the paper’s emphasis on shortest-path brokerage under risk.</w:t>
      </w:r>
      <w:r>
        <w:br/>
      </w:r>
      <w:r>
        <w:rPr>
          <w:rStyle w:val="VerbatimChar"/>
        </w:rPr>
        <w:t xml:space="preserve">\end{exampleblock}</w:t>
      </w:r>
      <w:r>
        <w:br/>
      </w:r>
      <w:r>
        <w:rPr>
          <w:rStyle w:val="VerbatimChar"/>
        </w:rPr>
        <w:t xml:space="preserve">\end{column}</w:t>
      </w:r>
      <w:r>
        <w:br/>
      </w:r>
      <w:r>
        <w:br/>
      </w:r>
      <w:r>
        <w:rPr>
          <w:rStyle w:val="VerbatimChar"/>
        </w:rPr>
        <w:t xml:space="preserve">\begin{column}{0.45\textwidth}</w:t>
      </w:r>
      <w:r>
        <w:br/>
      </w:r>
      <w:r>
        <w:rPr>
          <w:rStyle w:val="VerbatimChar"/>
        </w:rPr>
        <w:t xml:space="preserve">\centering</w:t>
      </w:r>
      <w:r>
        <w:br/>
      </w:r>
      <w:r>
        <w:rPr>
          <w:rStyle w:val="VerbatimChar"/>
        </w:rPr>
        <w:t xml:space="preserve">\begin{tikzpicture}[scale=1]</w:t>
      </w:r>
      <w:r>
        <w:br/>
      </w:r>
      <w:r>
        <w:rPr>
          <w:rStyle w:val="VerbatimChar"/>
        </w:rPr>
        <w:t xml:space="preserve">\node[circle,fill=AccentGrey,inner sep=1.8pt] (a) at (0,0) {};</w:t>
      </w:r>
      <w:r>
        <w:br/>
      </w:r>
      <w:r>
        <w:rPr>
          <w:rStyle w:val="VerbatimChar"/>
        </w:rPr>
        <w:t xml:space="preserve">\node[circle,fill=AccentGrey,inner sep=1.8pt] (c) at (2,0) {};</w:t>
      </w:r>
      <w:r>
        <w:br/>
      </w:r>
      <w:r>
        <w:rPr>
          <w:rStyle w:val="VerbatimChar"/>
        </w:rPr>
        <w:t xml:space="preserve">\node[circle,fill=AccentRed,inner sep=2.4pt] (b) at (1,0) {};</w:t>
      </w:r>
      <w:r>
        <w:br/>
      </w:r>
      <w:r>
        <w:rPr>
          <w:rStyle w:val="VerbatimChar"/>
        </w:rPr>
        <w:t xml:space="preserve">\draw[thick] (a)--(b)--(c);</w:t>
      </w:r>
      <w:r>
        <w:br/>
      </w:r>
      <w:r>
        <w:rPr>
          <w:rStyle w:val="VerbatimChar"/>
        </w:rPr>
        <w:t xml:space="preserve">\node[small] at (1,-0.6) {bridge on shortest path};</w:t>
      </w:r>
      <w:r>
        <w:br/>
      </w:r>
      <w:r>
        <w:rPr>
          <w:rStyle w:val="VerbatimChar"/>
        </w:rPr>
        <w:t xml:space="preserve">\end{tikzpicture}</w:t>
      </w:r>
      <w:r>
        <w:br/>
      </w:r>
      <w:r>
        <w:rPr>
          <w:rStyle w:val="VerbatimChar"/>
        </w:rPr>
        <w:t xml:space="preserve">\end{column}</w:t>
      </w:r>
      <w:r>
        <w:br/>
      </w:r>
      <w:r>
        <w:rPr>
          <w:rStyle w:val="VerbatimChar"/>
        </w:rPr>
        <w:t xml:space="preserve">\end{columns}</w:t>
      </w:r>
      <w:r>
        <w:br/>
      </w:r>
      <w:r>
        <w:rPr>
          <w:rStyle w:val="VerbatimChar"/>
        </w:rPr>
        <w:t xml:space="preserve">\note{</w:t>
      </w:r>
      <w:r>
        <w:br/>
      </w:r>
      <w:r>
        <w:rPr>
          <w:rStyle w:val="VerbatimChar"/>
        </w:rPr>
        <w:t xml:space="preserve">\textbf{Time: as needed}\par</w:t>
      </w:r>
      <w:r>
        <w:br/>
      </w:r>
      <w:r>
        <w:rPr>
          <w:rStyle w:val="VerbatimChar"/>
        </w:rPr>
        <w:t xml:space="preserve">Use only if audience asks “why BC?” or wants intuition beyond the formula.</w:t>
      </w:r>
      <w:r>
        <w:br/>
      </w:r>
      <w:r>
        <w:rPr>
          <w:rStyle w:val="VerbatimChar"/>
        </w:rPr>
        <w:t xml:space="preserve">}</w:t>
      </w:r>
      <w:r>
        <w:br/>
      </w:r>
      <w:r>
        <w:rPr>
          <w:rStyle w:val="VerbatimChar"/>
        </w:rPr>
        <w:t xml:space="preserve">\end{frame}</w:t>
      </w:r>
      <w:r>
        <w:br/>
      </w:r>
      <w:r>
        <w:br/>
      </w:r>
      <w:r>
        <w:rPr>
          <w:rStyle w:val="VerbatimChar"/>
        </w:rPr>
        <w:t xml:space="preserve">% ---------------------------------------------------------</w:t>
      </w:r>
      <w:r>
        <w:br/>
      </w:r>
      <w:r>
        <w:rPr>
          <w:rStyle w:val="VerbatimChar"/>
        </w:rPr>
        <w:t xml:space="preserve">% Backup A2 — Null model / gender shuffle recap</w:t>
      </w:r>
      <w:r>
        <w:br/>
      </w:r>
      <w:r>
        <w:rPr>
          <w:rStyle w:val="VerbatimChar"/>
        </w:rPr>
        <w:t xml:space="preserve">% ---------------------------------------------------------</w:t>
      </w:r>
      <w:r>
        <w:br/>
      </w:r>
      <w:r>
        <w:rPr>
          <w:rStyle w:val="VerbatimChar"/>
        </w:rPr>
        <w:t xml:space="preserve">\begin{frame}{Backup: null model (gender shuffling) logic}</w:t>
      </w:r>
      <w:r>
        <w:br/>
      </w:r>
      <w:r>
        <w:rPr>
          <w:rStyle w:val="VerbatimChar"/>
        </w:rPr>
        <w:t xml:space="preserve">\begin{block}{Why shuffle genders?}</w:t>
      </w:r>
      <w:r>
        <w:br/>
      </w:r>
      <w:r>
        <w:rPr>
          <w:rStyle w:val="VerbatimChar"/>
        </w:rPr>
        <w:t xml:space="preserve">To test whether the observed gender-based centrality differences exceed what you would expect if gender labels were randomly assigned on the same underlying network structure.</w:t>
      </w:r>
      <w:r>
        <w:br/>
      </w:r>
      <w:r>
        <w:rPr>
          <w:rStyle w:val="VerbatimChar"/>
        </w:rPr>
        <w:t xml:space="preserve">\end{block}</w:t>
      </w:r>
      <w:r>
        <w:br/>
      </w:r>
      <w:r>
        <w:br/>
      </w:r>
      <w:r>
        <w:rPr>
          <w:rStyle w:val="VerbatimChar"/>
        </w:rPr>
        <w:t xml:space="preserve">\begin{block}{What is held fixed}</w:t>
      </w:r>
      <w:r>
        <w:br/>
      </w:r>
      <w:r>
        <w:rPr>
          <w:rStyle w:val="VerbatimChar"/>
        </w:rPr>
        <w:t xml:space="preserve">Topology and time aggregation stay fixed; only the mapping “node $\rightarrow$ gender label” is permuted.</w:t>
      </w:r>
      <w:r>
        <w:br/>
      </w:r>
      <w:r>
        <w:rPr>
          <w:rStyle w:val="VerbatimChar"/>
        </w:rPr>
        <w:t xml:space="preserve">\end{block}</w:t>
      </w:r>
      <w:r>
        <w:br/>
      </w:r>
      <w:r>
        <w:br/>
      </w:r>
      <w:r>
        <w:rPr>
          <w:rStyle w:val="VerbatimChar"/>
        </w:rPr>
        <w:t xml:space="preserve">\begin{exampleblock}{Practical speaking tip}</w:t>
      </w:r>
      <w:r>
        <w:br/>
      </w:r>
      <w:r>
        <w:rPr>
          <w:rStyle w:val="VerbatimChar"/>
        </w:rPr>
        <w:t xml:space="preserve">State what the null does \emph{not} control: it does not remove sampling bias or external confounders; it measures deviation from random labelling given the observed topology.</w:t>
      </w:r>
      <w:r>
        <w:br/>
      </w:r>
      <w:r>
        <w:rPr>
          <w:rStyle w:val="VerbatimChar"/>
        </w:rPr>
        <w:t xml:space="preserve">\end{exampleblock}</w:t>
      </w:r>
      <w:r>
        <w:br/>
      </w:r>
      <w:r>
        <w:br/>
      </w:r>
      <w:r>
        <w:rPr>
          <w:rStyle w:val="VerbatimChar"/>
        </w:rPr>
        <w:t xml:space="preserve">\note{\textbf{Time: as needed}\par</w:t>
      </w:r>
      <w:r>
        <w:br/>
      </w:r>
      <w:r>
        <w:rPr>
          <w:rStyle w:val="VerbatimChar"/>
        </w:rPr>
        <w:t xml:space="preserve">Use if questioned on statistical significance or effect size interpretation.}</w:t>
      </w:r>
      <w:r>
        <w:br/>
      </w:r>
      <w:r>
        <w:rPr>
          <w:rStyle w:val="VerbatimChar"/>
        </w:rPr>
        <w:t xml:space="preserve">\end{frame}</w:t>
      </w:r>
      <w:r>
        <w:br/>
      </w:r>
      <w:r>
        <w:br/>
      </w:r>
      <w:r>
        <w:rPr>
          <w:rStyle w:val="VerbatimChar"/>
        </w:rPr>
        <w:t xml:space="preserve">% ---------------------------------------------------------</w:t>
      </w:r>
      <w:r>
        <w:br/>
      </w:r>
      <w:r>
        <w:rPr>
          <w:rStyle w:val="VerbatimChar"/>
        </w:rPr>
        <w:t xml:space="preserve">% Backup A3 — Data collection numbers (VKontakte, PIRA)</w:t>
      </w:r>
      <w:r>
        <w:br/>
      </w:r>
      <w:r>
        <w:rPr>
          <w:rStyle w:val="VerbatimChar"/>
        </w:rPr>
        <w:t xml:space="preserve">% ---------------------------------------------------------</w:t>
      </w:r>
      <w:r>
        <w:br/>
      </w:r>
      <w:r>
        <w:rPr>
          <w:rStyle w:val="VerbatimChar"/>
        </w:rPr>
        <w:t xml:space="preserve">\begin{frame}{Backup: reported data-set magnitudes (for credibility)}</w:t>
      </w:r>
      <w:r>
        <w:br/>
      </w:r>
      <w:r>
        <w:rPr>
          <w:rStyle w:val="VerbatimChar"/>
        </w:rPr>
        <w:t xml:space="preserve">\begin{block}{Online VKontakte (paper)}</w:t>
      </w:r>
      <w:r>
        <w:br/>
      </w:r>
      <w:r>
        <w:rPr>
          <w:rStyle w:val="VerbatimChar"/>
        </w:rPr>
        <w:t xml:space="preserve">41,880 individuals (24,883 men; 16,931 women; 66 undeclared); 170 groups; mean followers per group 624; max 8155; &gt;1,000,000 aggregated links.</w:t>
      </w:r>
      <w:r>
        <w:br/>
      </w:r>
      <w:r>
        <w:rPr>
          <w:rStyle w:val="VerbatimChar"/>
        </w:rPr>
        <w:t xml:space="preserve">\end{block}</w:t>
      </w:r>
      <w:r>
        <w:br/>
      </w:r>
      <w:r>
        <w:br/>
      </w:r>
      <w:r>
        <w:rPr>
          <w:rStyle w:val="VerbatimChar"/>
        </w:rPr>
        <w:t xml:space="preserve">\begin{block}{Offline PIRA (paper)}</w:t>
      </w:r>
      <w:r>
        <w:br/>
      </w:r>
      <w:r>
        <w:rPr>
          <w:rStyle w:val="VerbatimChar"/>
        </w:rPr>
        <w:t xml:space="preserve">Time-resolved events: 5461 IED events; 926 individuals in IED network over time; total registered PIRA members 1382 (1312 men; 70 women).</w:t>
      </w:r>
      <w:r>
        <w:br/>
      </w:r>
      <w:r>
        <w:rPr>
          <w:rStyle w:val="VerbatimChar"/>
        </w:rPr>
        <w:t xml:space="preserve">\end{block}</w:t>
      </w:r>
      <w:r>
        <w:br/>
      </w:r>
      <w:r>
        <w:br/>
      </w:r>
      <w:r>
        <w:rPr>
          <w:rStyle w:val="VerbatimChar"/>
        </w:rPr>
        <w:t xml:space="preserve">\note{\textbf{Time: as needed}\par</w:t>
      </w:r>
      <w:r>
        <w:br/>
      </w:r>
      <w:r>
        <w:rPr>
          <w:rStyle w:val="VerbatimChar"/>
        </w:rPr>
        <w:t xml:space="preserve">Use for methods questions; avoid lingering too long unless asked.}</w:t>
      </w:r>
      <w:r>
        <w:br/>
      </w:r>
      <w:r>
        <w:rPr>
          <w:rStyle w:val="VerbatimChar"/>
        </w:rPr>
        <w:t xml:space="preserve">\end{frame}</w:t>
      </w:r>
      <w:r>
        <w:br/>
      </w:r>
      <w:r>
        <w:br/>
      </w:r>
      <w:r>
        <w:rPr>
          <w:rStyle w:val="VerbatimChar"/>
        </w:rPr>
        <w:t xml:space="preserve">% ---------------------------------------------------------</w:t>
      </w:r>
      <w:r>
        <w:br/>
      </w:r>
      <w:r>
        <w:rPr>
          <w:rStyle w:val="VerbatimChar"/>
        </w:rPr>
        <w:t xml:space="preserve">% Backup A4 — Supplementary figures placeholders (if accessible)</w:t>
      </w:r>
      <w:r>
        <w:br/>
      </w:r>
      <w:r>
        <w:rPr>
          <w:rStyle w:val="VerbatimChar"/>
        </w:rPr>
        <w:t xml:space="preserve">% ---------------------------------------------------------</w:t>
      </w:r>
      <w:r>
        <w:br/>
      </w:r>
      <w:r>
        <w:rPr>
          <w:rStyle w:val="VerbatimChar"/>
        </w:rPr>
        <w:t xml:space="preserve">\begin{frame}{Backup: supplementary figures (placeholders)}</w:t>
      </w:r>
      <w:r>
        <w:br/>
      </w:r>
      <w:r>
        <w:rPr>
          <w:rStyle w:val="VerbatimChar"/>
        </w:rPr>
        <w:t xml:space="preserve">\begin{block}{Supplementary items referenced by the paper}</w:t>
      </w:r>
      <w:r>
        <w:br/>
      </w:r>
      <w:r>
        <w:rPr>
          <w:rStyle w:val="VerbatimChar"/>
        </w:rPr>
        <w:t xml:space="preserve">Fig.\ S1 (BC meaning/calculation), S2 (actor count vs productivity), S3 (multiagent model schematic), S4 (not driven by a few exceptional women), S5 (BC vs operational roles).</w:t>
      </w:r>
      <w:r>
        <w:br/>
      </w:r>
      <w:r>
        <w:rPr>
          <w:rStyle w:val="VerbatimChar"/>
        </w:rPr>
        <w:t xml:space="preserve">\end{block}</w:t>
      </w:r>
      <w:r>
        <w:br/>
      </w:r>
      <w:r>
        <w:br/>
      </w:r>
      <w:r>
        <w:rPr>
          <w:rStyle w:val="VerbatimChar"/>
        </w:rPr>
        <w:t xml:space="preserve">\begin{exampleblock}{If you obtain the Supplementary PDF}</w:t>
      </w:r>
      <w:r>
        <w:br/>
      </w:r>
      <w:r>
        <w:rPr>
          <w:rStyle w:val="VerbatimChar"/>
        </w:rPr>
        <w:t xml:space="preserve">Replace this slide with a 2x2 panel of the most useful supplementary figures (S1, S2, S3), and keep S4–S5 as “deep backup”.</w:t>
      </w:r>
      <w:r>
        <w:br/>
      </w:r>
      <w:r>
        <w:rPr>
          <w:rStyle w:val="VerbatimChar"/>
        </w:rPr>
        <w:t xml:space="preserve">\end{exampleblock}</w:t>
      </w:r>
      <w:r>
        <w:br/>
      </w:r>
      <w:r>
        <w:br/>
      </w:r>
      <w:r>
        <w:rPr>
          <w:rStyle w:val="VerbatimChar"/>
        </w:rPr>
        <w:t xml:space="preserve">\note{\textbf{Time: as needed}\par</w:t>
      </w:r>
      <w:r>
        <w:br/>
      </w:r>
      <w:r>
        <w:rPr>
          <w:rStyle w:val="VerbatimChar"/>
        </w:rPr>
        <w:t xml:space="preserve">Use only if questioned on model details or robustness checks.}</w:t>
      </w:r>
      <w:r>
        <w:br/>
      </w:r>
      <w:r>
        <w:rPr>
          <w:rStyle w:val="VerbatimChar"/>
        </w:rPr>
        <w:t xml:space="preserve">\end{frame}</w:t>
      </w:r>
      <w:r>
        <w:br/>
      </w:r>
      <w:r>
        <w:br/>
      </w:r>
      <w:r>
        <w:rPr>
          <w:rStyle w:val="VerbatimChar"/>
        </w:rPr>
        <w:t xml:space="preserve">% ---------------------------------------------------------</w:t>
      </w:r>
      <w:r>
        <w:br/>
      </w:r>
      <w:r>
        <w:rPr>
          <w:rStyle w:val="VerbatimChar"/>
        </w:rPr>
        <w:t xml:space="preserve">% Backup A5 — References</w:t>
      </w:r>
      <w:r>
        <w:br/>
      </w:r>
      <w:r>
        <w:rPr>
          <w:rStyle w:val="VerbatimChar"/>
        </w:rPr>
        <w:t xml:space="preserve">% ---------------------------------------------------------</w:t>
      </w:r>
      <w:r>
        <w:br/>
      </w:r>
      <w:r>
        <w:rPr>
          <w:rStyle w:val="VerbatimChar"/>
        </w:rPr>
        <w:t xml:space="preserve">\begin{frame}[allowframebreaks]{Backup: references}</w:t>
      </w:r>
      <w:r>
        <w:br/>
      </w:r>
      <w:r>
        <w:rPr>
          <w:rStyle w:val="VerbatimChar"/>
        </w:rPr>
        <w:t xml:space="preserve">\nocite{*}</w:t>
      </w:r>
      <w:r>
        <w:br/>
      </w:r>
      <w:r>
        <w:rPr>
          <w:rStyle w:val="VerbatimChar"/>
        </w:rPr>
        <w:t xml:space="preserve">\printbibliography</w:t>
      </w:r>
      <w:r>
        <w:br/>
      </w:r>
      <w:r>
        <w:rPr>
          <w:rStyle w:val="VerbatimChar"/>
        </w:rPr>
        <w:t xml:space="preserve">\note{\textbf{Time: 0 (backup)}\par</w:t>
      </w:r>
      <w:r>
        <w:br/>
      </w:r>
      <w:r>
        <w:rPr>
          <w:rStyle w:val="VerbatimChar"/>
        </w:rPr>
        <w:t xml:space="preserve">Keep for PDF distribution; do not narrate unless asked.}</w:t>
      </w:r>
      <w:r>
        <w:br/>
      </w:r>
      <w:r>
        <w:rPr>
          <w:rStyle w:val="VerbatimChar"/>
        </w:rPr>
        <w:t xml:space="preserve">\end{frame}</w:t>
      </w:r>
      <w:r>
        <w:br/>
      </w:r>
      <w:r>
        <w:br/>
      </w:r>
      <w:r>
        <w:rPr>
          <w:rStyle w:val="VerbatimChar"/>
        </w:rPr>
        <w:t xml:space="preserve">\end{document}</w:t>
      </w:r>
    </w:p>
    <w:p>
      <w:pPr>
        <w:pStyle w:val="FirstParagraph"/>
      </w:pPr>
      <w:r>
        <w:rPr>
          <w:b/>
          <w:bCs/>
        </w:rPr>
        <w:t xml:space="preserve">Slide-content provenance note:</w:t>
      </w:r>
      <w:r>
        <w:t xml:space="preserve"> </w:t>
      </w:r>
      <w:r>
        <w:t xml:space="preserve">Slides 2, 5–20, and 22 are essentially direct transformations of the paper’s Introduction/Results/Methods/Discussion and Fig. 1–3 captions; slide 4 adds a short, standard centrality recap consistent with the paper’s equations and the foundational betweenness literature.</w:t>
      </w:r>
      <w:r>
        <w:t xml:space="preserve"> </w:t>
      </w:r>
      <w:hyperlink r:id="rId21">
        <w:r>
          <w:rPr>
            <w:rStyle w:val="Hyperlink"/>
          </w:rPr>
          <w:t xml:space="preserve">[54]</w:t>
        </w:r>
      </w:hyperlink>
    </w:p>
    <w:p>
      <w:pPr>
        <w:pStyle w:val="BodyText"/>
      </w:pPr>
      <w:r>
        <w:rPr>
          <w:b/>
          <w:bCs/>
        </w:rPr>
        <w:t xml:space="preserve">Visualisation coverage note:</w:t>
      </w:r>
      <w:r>
        <w:t xml:space="preserve"> </w:t>
      </w:r>
      <w:r>
        <w:t xml:space="preserve">every core slide includes either (i) a paper figure panel (Fig. 1–3) or (ii) a custom TikZ diagram/table that supports the paper’s technical reading.</w:t>
      </w:r>
      <w:r>
        <w:t xml:space="preserve"> </w:t>
      </w:r>
      <w:hyperlink r:id="rId21">
        <w:r>
          <w:rPr>
            <w:rStyle w:val="Hyperlink"/>
          </w:rPr>
          <w:t xml:space="preserve">[3]</w:t>
        </w:r>
      </w:hyperlink>
    </w:p>
    <w:bookmarkEnd w:id="49"/>
    <w:bookmarkEnd w:id="50"/>
    <w:bookmarkStart w:id="52" w:name="files-and-assets-checklist"/>
    <w:p>
      <w:pPr>
        <w:pStyle w:val="Heading2"/>
      </w:pPr>
      <w:r>
        <w:t xml:space="preserve">Files and assets checklist</w:t>
      </w:r>
    </w:p>
    <w:p>
      <w:pPr>
        <w:pStyle w:val="FirstParagraph"/>
      </w:pPr>
      <w:r>
        <w:t xml:space="preserve">You will need the following artefacts prepared before compiling:</w:t>
      </w:r>
    </w:p>
    <w:p>
      <w:pPr>
        <w:pStyle w:val="Compact"/>
        <w:numPr>
          <w:ilvl w:val="0"/>
          <w:numId w:val="1003"/>
        </w:numPr>
      </w:pPr>
      <w:r>
        <w:rPr>
          <w:rStyle w:val="VerbatimChar"/>
        </w:rPr>
        <w:t xml:space="preserve">main.tex</w:t>
      </w:r>
      <w:r>
        <w:t xml:space="preserve"> </w:t>
      </w:r>
      <w:r>
        <w:t xml:space="preserve">(the Beamer file above).</w:t>
      </w:r>
    </w:p>
    <w:p>
      <w:pPr>
        <w:pStyle w:val="Compact"/>
        <w:numPr>
          <w:ilvl w:val="0"/>
          <w:numId w:val="1003"/>
        </w:numPr>
      </w:pPr>
      <w:r>
        <w:rPr>
          <w:rStyle w:val="VerbatimChar"/>
        </w:rPr>
        <w:t xml:space="preserve">refs.bib</w:t>
      </w:r>
      <w:r>
        <w:t xml:space="preserve"> </w:t>
      </w:r>
      <w:r>
        <w:t xml:space="preserve">(bibliography file; minimal entries below).</w:t>
      </w:r>
    </w:p>
    <w:p>
      <w:pPr>
        <w:pStyle w:val="Compact"/>
        <w:numPr>
          <w:ilvl w:val="0"/>
          <w:numId w:val="1003"/>
        </w:numPr>
      </w:pPr>
      <w:r>
        <w:rPr>
          <w:rStyle w:val="VerbatimChar"/>
        </w:rPr>
        <w:t xml:space="preserve">figures/</w:t>
      </w:r>
      <w:r>
        <w:t xml:space="preserve"> </w:t>
      </w:r>
      <w:r>
        <w:t xml:space="preserve">directory containing</w:t>
      </w:r>
      <w:r>
        <w:t xml:space="preserve"> </w:t>
      </w:r>
      <w:r>
        <w:rPr>
          <w:b/>
          <w:bCs/>
        </w:rPr>
        <w:t xml:space="preserve">cropped exports</w:t>
      </w:r>
      <w:r>
        <w:t xml:space="preserve"> </w:t>
      </w:r>
      <w:r>
        <w:t xml:space="preserve">from the paper (recommended):</w:t>
      </w:r>
    </w:p>
    <w:p>
      <w:pPr>
        <w:pStyle w:val="Compact"/>
        <w:numPr>
          <w:ilvl w:val="0"/>
          <w:numId w:val="1003"/>
        </w:numPr>
      </w:pPr>
      <w:r>
        <w:rPr>
          <w:rStyle w:val="VerbatimChar"/>
        </w:rPr>
        <w:t xml:space="preserve">fig1A.pdf</w:t>
      </w:r>
      <w:r>
        <w:t xml:space="preserve">,</w:t>
      </w:r>
      <w:r>
        <w:t xml:space="preserve"> </w:t>
      </w:r>
      <w:r>
        <w:rPr>
          <w:rStyle w:val="VerbatimChar"/>
        </w:rPr>
        <w:t xml:space="preserve">fig1B.pdf</w:t>
      </w:r>
      <w:r>
        <w:t xml:space="preserve">,</w:t>
      </w:r>
      <w:r>
        <w:t xml:space="preserve"> </w:t>
      </w:r>
      <w:r>
        <w:rPr>
          <w:rStyle w:val="VerbatimChar"/>
        </w:rPr>
        <w:t xml:space="preserve">fig1C.pdf</w:t>
      </w:r>
      <w:r>
        <w:t xml:space="preserve">,</w:t>
      </w:r>
      <w:r>
        <w:t xml:space="preserve"> </w:t>
      </w:r>
      <w:r>
        <w:rPr>
          <w:rStyle w:val="VerbatimChar"/>
        </w:rPr>
        <w:t xml:space="preserve">fig1D_left.pdf</w:t>
      </w:r>
      <w:r>
        <w:t xml:space="preserve">,</w:t>
      </w:r>
      <w:r>
        <w:t xml:space="preserve"> </w:t>
      </w:r>
      <w:r>
        <w:rPr>
          <w:rStyle w:val="VerbatimChar"/>
        </w:rPr>
        <w:t xml:space="preserve">fig1D_right.pdf</w:t>
      </w:r>
      <w:r>
        <w:t xml:space="preserve"> </w:t>
      </w:r>
      <w:r>
        <w:t xml:space="preserve">(from Fig. 1).</w:t>
      </w:r>
      <w:r>
        <w:t xml:space="preserve"> </w:t>
      </w:r>
      <w:hyperlink r:id="rId21">
        <w:r>
          <w:rPr>
            <w:rStyle w:val="Hyperlink"/>
          </w:rPr>
          <w:t xml:space="preserve">[55]</w:t>
        </w:r>
      </w:hyperlink>
    </w:p>
    <w:p>
      <w:pPr>
        <w:pStyle w:val="Compact"/>
        <w:numPr>
          <w:ilvl w:val="0"/>
          <w:numId w:val="1003"/>
        </w:numPr>
      </w:pPr>
      <w:r>
        <w:rPr>
          <w:rStyle w:val="VerbatimChar"/>
        </w:rPr>
        <w:t xml:space="preserve">fig2A_snapshots.pdf</w:t>
      </w:r>
      <w:r>
        <w:t xml:space="preserve">,</w:t>
      </w:r>
      <w:r>
        <w:t xml:space="preserve"> </w:t>
      </w:r>
      <w:r>
        <w:rPr>
          <w:rStyle w:val="VerbatimChar"/>
        </w:rPr>
        <w:t xml:space="preserve">fig2B_attacks.pdf</w:t>
      </w:r>
      <w:r>
        <w:t xml:space="preserve">,</w:t>
      </w:r>
      <w:r>
        <w:t xml:space="preserve"> </w:t>
      </w:r>
      <w:r>
        <w:rPr>
          <w:rStyle w:val="VerbatimChar"/>
        </w:rPr>
        <w:t xml:space="preserve">fig2C_bc.pdf</w:t>
      </w:r>
      <w:r>
        <w:t xml:space="preserve">,</w:t>
      </w:r>
      <w:r>
        <w:t xml:space="preserve"> </w:t>
      </w:r>
      <w:r>
        <w:rPr>
          <w:rStyle w:val="VerbatimChar"/>
        </w:rPr>
        <w:t xml:space="preserve">fig2D_degree.pdf</w:t>
      </w:r>
      <w:r>
        <w:t xml:space="preserve">,</w:t>
      </w:r>
      <w:r>
        <w:t xml:space="preserve"> </w:t>
      </w:r>
      <w:r>
        <w:rPr>
          <w:rStyle w:val="VerbatimChar"/>
        </w:rPr>
        <w:t xml:space="preserve">fig2E_model.pdf</w:t>
      </w:r>
      <w:r>
        <w:t xml:space="preserve"> </w:t>
      </w:r>
      <w:r>
        <w:t xml:space="preserve">(from Fig. 2).</w:t>
      </w:r>
      <w:r>
        <w:t xml:space="preserve"> </w:t>
      </w:r>
      <w:hyperlink r:id="rId21">
        <w:r>
          <w:rPr>
            <w:rStyle w:val="Hyperlink"/>
          </w:rPr>
          <w:t xml:space="preserve">[56]</w:t>
        </w:r>
      </w:hyperlink>
    </w:p>
    <w:p>
      <w:pPr>
        <w:pStyle w:val="Compact"/>
        <w:numPr>
          <w:ilvl w:val="0"/>
          <w:numId w:val="1003"/>
        </w:numPr>
      </w:pPr>
      <w:r>
        <w:rPr>
          <w:rStyle w:val="VerbatimChar"/>
        </w:rPr>
        <w:t xml:space="preserve">fig3A_online_lifetime.pdf</w:t>
      </w:r>
      <w:r>
        <w:t xml:space="preserve">,</w:t>
      </w:r>
      <w:r>
        <w:t xml:space="preserve"> </w:t>
      </w:r>
      <w:r>
        <w:rPr>
          <w:rStyle w:val="VerbatimChar"/>
        </w:rPr>
        <w:t xml:space="preserve">fig3B_pira_lifetime.pdf</w:t>
      </w:r>
      <w:r>
        <w:t xml:space="preserve"> </w:t>
      </w:r>
      <w:r>
        <w:t xml:space="preserve">(from Fig. 3).</w:t>
      </w:r>
      <w:r>
        <w:t xml:space="preserve"> </w:t>
      </w:r>
      <w:hyperlink r:id="rId21">
        <w:r>
          <w:rPr>
            <w:rStyle w:val="Hyperlink"/>
          </w:rPr>
          <w:t xml:space="preserve">[57]</w:t>
        </w:r>
      </w:hyperlink>
    </w:p>
    <w:p>
      <w:pPr>
        <w:pStyle w:val="Compact"/>
        <w:numPr>
          <w:ilvl w:val="0"/>
          <w:numId w:val="1003"/>
        </w:numPr>
      </w:pPr>
      <w:r>
        <w:t xml:space="preserve">Optional:</w:t>
      </w:r>
      <w:r>
        <w:t xml:space="preserve"> </w:t>
      </w:r>
      <w:r>
        <w:rPr>
          <w:rStyle w:val="VerbatimChar"/>
        </w:rPr>
        <w:t xml:space="preserve">figures/icons/</w:t>
      </w:r>
      <w:r>
        <w:t xml:space="preserve"> </w:t>
      </w:r>
      <w:r>
        <w:t xml:space="preserve">for simple SVG/PDF icons (ethics, timeline, etc.)—purely aesthetic.</w:t>
      </w:r>
    </w:p>
    <w:p>
      <w:pPr>
        <w:pStyle w:val="Compact"/>
        <w:numPr>
          <w:ilvl w:val="0"/>
          <w:numId w:val="1003"/>
        </w:numPr>
      </w:pPr>
      <w:r>
        <w:t xml:space="preserve">Optional: supplementary materials PDF (to replace the placeholder backup slide if you can access it). The paper lists what S1–S5 contain even when the supplement itself is not embedded in the main PDF.</w:t>
      </w:r>
      <w:r>
        <w:t xml:space="preserve"> </w:t>
      </w:r>
      <w:hyperlink r:id="rId21">
        <w:r>
          <w:rPr>
            <w:rStyle w:val="Hyperlink"/>
          </w:rPr>
          <w:t xml:space="preserve">[58]</w:t>
        </w:r>
      </w:hyperlink>
    </w:p>
    <w:bookmarkStart w:id="51" w:name="refs.bib-minimal-starter-ready-to-paste"/>
    <w:p>
      <w:pPr>
        <w:pStyle w:val="Heading3"/>
      </w:pPr>
      <w:r>
        <w:rPr>
          <w:rStyle w:val="VerbatimChar"/>
        </w:rPr>
        <w:t xml:space="preserve">refs.bib</w:t>
      </w:r>
      <w:r>
        <w:t xml:space="preserve"> </w:t>
      </w:r>
      <w:r>
        <w:t xml:space="preserve">(minimal starter, ready to paste)</w:t>
      </w:r>
    </w:p>
    <w:p>
      <w:pPr>
        <w:pStyle w:val="SourceCode"/>
      </w:pPr>
      <w:r>
        <w:rPr>
          <w:rStyle w:val="VerbatimChar"/>
        </w:rPr>
        <w:t xml:space="preserve">@article{Manrique2016WomenConnectivity,</w:t>
      </w:r>
      <w:r>
        <w:br/>
      </w:r>
      <w:r>
        <w:rPr>
          <w:rStyle w:val="VerbatimChar"/>
        </w:rPr>
        <w:t xml:space="preserve">  author  = {Manrique, Pedro and Cao, Zhenfeng and Gabriel, Andrew and Horgan, John and Gill, Paul and Qi, Hong and Restrepo, Elvira M. and Johnson, Daniela and Wuchty, Stefan and Song, Chaoming and Johnson, Neil},</w:t>
      </w:r>
      <w:r>
        <w:br/>
      </w:r>
      <w:r>
        <w:rPr>
          <w:rStyle w:val="VerbatimChar"/>
        </w:rPr>
        <w:t xml:space="preserve">  title   = {Women’s connectivity in extreme networks},</w:t>
      </w:r>
      <w:r>
        <w:br/>
      </w:r>
      <w:r>
        <w:rPr>
          <w:rStyle w:val="VerbatimChar"/>
        </w:rPr>
        <w:t xml:space="preserve">  journal = {Science Advances},</w:t>
      </w:r>
      <w:r>
        <w:br/>
      </w:r>
      <w:r>
        <w:rPr>
          <w:rStyle w:val="VerbatimChar"/>
        </w:rPr>
        <w:t xml:space="preserve">  year    = {2016},</w:t>
      </w:r>
      <w:r>
        <w:br/>
      </w:r>
      <w:r>
        <w:rPr>
          <w:rStyle w:val="VerbatimChar"/>
        </w:rPr>
        <w:t xml:space="preserve">  volume  = {2},</w:t>
      </w:r>
      <w:r>
        <w:br/>
      </w:r>
      <w:r>
        <w:rPr>
          <w:rStyle w:val="VerbatimChar"/>
        </w:rPr>
        <w:t xml:space="preserve">  number  = {6},</w:t>
      </w:r>
      <w:r>
        <w:br/>
      </w:r>
      <w:r>
        <w:rPr>
          <w:rStyle w:val="VerbatimChar"/>
        </w:rPr>
        <w:t xml:space="preserve">  pages   = {e1501742},</w:t>
      </w:r>
      <w:r>
        <w:br/>
      </w:r>
      <w:r>
        <w:rPr>
          <w:rStyle w:val="VerbatimChar"/>
        </w:rPr>
        <w:t xml:space="preserve">  doi     = {10.1126/sciadv.1501742}</w:t>
      </w:r>
      <w:r>
        <w:br/>
      </w:r>
      <w:r>
        <w:rPr>
          <w:rStyle w:val="VerbatimChar"/>
        </w:rPr>
        <w:t xml:space="preserve">}</w:t>
      </w:r>
      <w:r>
        <w:br/>
      </w:r>
      <w:r>
        <w:br/>
      </w:r>
      <w:r>
        <w:rPr>
          <w:rStyle w:val="VerbatimChar"/>
        </w:rPr>
        <w:t xml:space="preserve">@article{Freeman1977Betweenness,</w:t>
      </w:r>
      <w:r>
        <w:br/>
      </w:r>
      <w:r>
        <w:rPr>
          <w:rStyle w:val="VerbatimChar"/>
        </w:rPr>
        <w:t xml:space="preserve">  author  = {Freeman, Linton C.},</w:t>
      </w:r>
      <w:r>
        <w:br/>
      </w:r>
      <w:r>
        <w:rPr>
          <w:rStyle w:val="VerbatimChar"/>
        </w:rPr>
        <w:t xml:space="preserve">  title   = {A Set of Measures of Centrality Based on Betweenness},</w:t>
      </w:r>
      <w:r>
        <w:br/>
      </w:r>
      <w:r>
        <w:rPr>
          <w:rStyle w:val="VerbatimChar"/>
        </w:rPr>
        <w:t xml:space="preserve">  journal = {Sociometry},</w:t>
      </w:r>
      <w:r>
        <w:br/>
      </w:r>
      <w:r>
        <w:rPr>
          <w:rStyle w:val="VerbatimChar"/>
        </w:rPr>
        <w:t xml:space="preserve">  year    = {1977},</w:t>
      </w:r>
      <w:r>
        <w:br/>
      </w:r>
      <w:r>
        <w:rPr>
          <w:rStyle w:val="VerbatimChar"/>
        </w:rPr>
        <w:t xml:space="preserve">  volume  = {40},</w:t>
      </w:r>
      <w:r>
        <w:br/>
      </w:r>
      <w:r>
        <w:rPr>
          <w:rStyle w:val="VerbatimChar"/>
        </w:rPr>
        <w:t xml:space="preserve">  number  = {1},</w:t>
      </w:r>
      <w:r>
        <w:br/>
      </w:r>
      <w:r>
        <w:rPr>
          <w:rStyle w:val="VerbatimChar"/>
        </w:rPr>
        <w:t xml:space="preserve">  pages   = {35--41}</w:t>
      </w:r>
      <w:r>
        <w:br/>
      </w:r>
      <w:r>
        <w:rPr>
          <w:rStyle w:val="VerbatimChar"/>
        </w:rPr>
        <w:t xml:space="preserve">}</w:t>
      </w:r>
      <w:r>
        <w:br/>
      </w:r>
      <w:r>
        <w:br/>
      </w:r>
      <w:r>
        <w:rPr>
          <w:rStyle w:val="VerbatimChar"/>
        </w:rPr>
        <w:t xml:space="preserve">@article{Naegle2021TenRulesSlides,</w:t>
      </w:r>
      <w:r>
        <w:br/>
      </w:r>
      <w:r>
        <w:rPr>
          <w:rStyle w:val="VerbatimChar"/>
        </w:rPr>
        <w:t xml:space="preserve">  author  = {Naegle, Kristen M.},</w:t>
      </w:r>
      <w:r>
        <w:br/>
      </w:r>
      <w:r>
        <w:rPr>
          <w:rStyle w:val="VerbatimChar"/>
        </w:rPr>
        <w:t xml:space="preserve">  title   = {Ten simple rules for effective presentation slides},</w:t>
      </w:r>
      <w:r>
        <w:br/>
      </w:r>
      <w:r>
        <w:rPr>
          <w:rStyle w:val="VerbatimChar"/>
        </w:rPr>
        <w:t xml:space="preserve">  journal = {PLOS Computational Biology},</w:t>
      </w:r>
      <w:r>
        <w:br/>
      </w:r>
      <w:r>
        <w:rPr>
          <w:rStyle w:val="VerbatimChar"/>
        </w:rPr>
        <w:t xml:space="preserve">  year    = {2021},</w:t>
      </w:r>
      <w:r>
        <w:br/>
      </w:r>
      <w:r>
        <w:rPr>
          <w:rStyle w:val="VerbatimChar"/>
        </w:rPr>
        <w:t xml:space="preserve">  volume  = {17},</w:t>
      </w:r>
      <w:r>
        <w:br/>
      </w:r>
      <w:r>
        <w:rPr>
          <w:rStyle w:val="VerbatimChar"/>
        </w:rPr>
        <w:t xml:space="preserve">  number  = {12},</w:t>
      </w:r>
      <w:r>
        <w:br/>
      </w:r>
      <w:r>
        <w:rPr>
          <w:rStyle w:val="VerbatimChar"/>
        </w:rPr>
        <w:t xml:space="preserve">  pages   = {e1009554},</w:t>
      </w:r>
      <w:r>
        <w:br/>
      </w:r>
      <w:r>
        <w:rPr>
          <w:rStyle w:val="VerbatimChar"/>
        </w:rPr>
        <w:t xml:space="preserve">  doi     = {10.1371/journal.pcbi.1009554}</w:t>
      </w:r>
      <w:r>
        <w:br/>
      </w:r>
      <w:r>
        <w:rPr>
          <w:rStyle w:val="VerbatimChar"/>
        </w:rPr>
        <w:t xml:space="preserve">}</w:t>
      </w:r>
      <w:r>
        <w:br/>
      </w:r>
      <w:r>
        <w:br/>
      </w:r>
      <w:r>
        <w:rPr>
          <w:rStyle w:val="VerbatimChar"/>
        </w:rPr>
        <w:t xml:space="preserve">@article{Lortie2017TenRulesSwift,</w:t>
      </w:r>
      <w:r>
        <w:br/>
      </w:r>
      <w:r>
        <w:rPr>
          <w:rStyle w:val="VerbatimChar"/>
        </w:rPr>
        <w:t xml:space="preserve">  author  = {Lortie, Christopher J.},</w:t>
      </w:r>
      <w:r>
        <w:br/>
      </w:r>
      <w:r>
        <w:rPr>
          <w:rStyle w:val="VerbatimChar"/>
        </w:rPr>
        <w:t xml:space="preserve">  title   = {Ten simple rules for short and swift presentations},</w:t>
      </w:r>
      <w:r>
        <w:br/>
      </w:r>
      <w:r>
        <w:rPr>
          <w:rStyle w:val="VerbatimChar"/>
        </w:rPr>
        <w:t xml:space="preserve">  journal = {PLOS Computational Biology},</w:t>
      </w:r>
      <w:r>
        <w:br/>
      </w:r>
      <w:r>
        <w:rPr>
          <w:rStyle w:val="VerbatimChar"/>
        </w:rPr>
        <w:t xml:space="preserve">  year    = {2017},</w:t>
      </w:r>
      <w:r>
        <w:br/>
      </w:r>
      <w:r>
        <w:rPr>
          <w:rStyle w:val="VerbatimChar"/>
        </w:rPr>
        <w:t xml:space="preserve">  volume  = {13},</w:t>
      </w:r>
      <w:r>
        <w:br/>
      </w:r>
      <w:r>
        <w:rPr>
          <w:rStyle w:val="VerbatimChar"/>
        </w:rPr>
        <w:t xml:space="preserve">  number  = {3},</w:t>
      </w:r>
      <w:r>
        <w:br/>
      </w:r>
      <w:r>
        <w:rPr>
          <w:rStyle w:val="VerbatimChar"/>
        </w:rPr>
        <w:t xml:space="preserve">  pages   = {e1005373},</w:t>
      </w:r>
      <w:r>
        <w:br/>
      </w:r>
      <w:r>
        <w:rPr>
          <w:rStyle w:val="VerbatimChar"/>
        </w:rPr>
        <w:t xml:space="preserve">  doi     = {10.1371/journal.pcbi.1005373}</w:t>
      </w:r>
      <w:r>
        <w:br/>
      </w:r>
      <w:r>
        <w:rPr>
          <w:rStyle w:val="VerbatimChar"/>
        </w:rPr>
        <w:t xml:space="preserve">}</w:t>
      </w:r>
      <w:r>
        <w:br/>
      </w:r>
      <w:r>
        <w:br/>
      </w:r>
      <w:r>
        <w:rPr>
          <w:rStyle w:val="VerbatimChar"/>
        </w:rPr>
        <w:t xml:space="preserve">@misc{EdwardsHowToTalk,</w:t>
      </w:r>
      <w:r>
        <w:br/>
      </w:r>
      <w:r>
        <w:rPr>
          <w:rStyle w:val="VerbatimChar"/>
        </w:rPr>
        <w:t xml:space="preserve">  author = {Edwards, Paul N.},</w:t>
      </w:r>
      <w:r>
        <w:br/>
      </w:r>
      <w:r>
        <w:rPr>
          <w:rStyle w:val="VerbatimChar"/>
        </w:rPr>
        <w:t xml:space="preserve">  title  = {How to Give an Academic Talk},</w:t>
      </w:r>
      <w:r>
        <w:br/>
      </w:r>
      <w:r>
        <w:rPr>
          <w:rStyle w:val="VerbatimChar"/>
        </w:rPr>
        <w:t xml:space="preserve">  year   = {2014},</w:t>
      </w:r>
      <w:r>
        <w:br/>
      </w:r>
      <w:r>
        <w:rPr>
          <w:rStyle w:val="VerbatimChar"/>
        </w:rPr>
        <w:t xml:space="preserve">  note   = {Version 5.2}</w:t>
      </w:r>
      <w:r>
        <w:br/>
      </w:r>
      <w:r>
        <w:rPr>
          <w:rStyle w:val="VerbatimChar"/>
        </w:rPr>
        <w:t xml:space="preserve">}</w:t>
      </w:r>
      <w:r>
        <w:br/>
      </w:r>
      <w:r>
        <w:br/>
      </w:r>
      <w:r>
        <w:rPr>
          <w:rStyle w:val="VerbatimChar"/>
        </w:rPr>
        <w:t xml:space="preserve">@misc{EisnerHowToGiveATalk,</w:t>
      </w:r>
      <w:r>
        <w:br/>
      </w:r>
      <w:r>
        <w:rPr>
          <w:rStyle w:val="VerbatimChar"/>
        </w:rPr>
        <w:t xml:space="preserve">  author = {Eisner, Jason},</w:t>
      </w:r>
      <w:r>
        <w:br/>
      </w:r>
      <w:r>
        <w:rPr>
          <w:rStyle w:val="VerbatimChar"/>
        </w:rPr>
        <w:t xml:space="preserve">  title  = {How to Prepare a Talk},</w:t>
      </w:r>
      <w:r>
        <w:br/>
      </w:r>
      <w:r>
        <w:rPr>
          <w:rStyle w:val="VerbatimChar"/>
        </w:rPr>
        <w:t xml:space="preserve">  year   = {n.d.},</w:t>
      </w:r>
      <w:r>
        <w:br/>
      </w:r>
      <w:r>
        <w:rPr>
          <w:rStyle w:val="VerbatimChar"/>
        </w:rPr>
        <w:t xml:space="preserve">  note   = {Web resource}</w:t>
      </w:r>
      <w:r>
        <w:br/>
      </w:r>
      <w:r>
        <w:rPr>
          <w:rStyle w:val="VerbatimChar"/>
        </w:rPr>
        <w:t xml:space="preserve">}</w:t>
      </w:r>
    </w:p>
    <w:p>
      <w:pPr>
        <w:pStyle w:val="FirstParagraph"/>
      </w:pPr>
      <w:r>
        <w:rPr>
          <w:b/>
          <w:bCs/>
        </w:rPr>
        <w:t xml:space="preserve">Why these are the minimum:</w:t>
      </w:r>
      <w:r>
        <w:t xml:space="preserve"> </w:t>
      </w:r>
      <w:r>
        <w:t xml:space="preserve">the first entry is the paper the talk is “based almost entirely on”; Freeman supports the conceptual legitimacy of betweenness; Naegle and Lortie justify slide density/pacing choices; Edwards and Eisner justify talk-prep and delivery constraints (especially “don’t read slides,” practise with timing, allow decoding time for graphs).</w:t>
      </w:r>
      <w:r>
        <w:t xml:space="preserve"> </w:t>
      </w:r>
      <w:hyperlink r:id="rId21">
        <w:r>
          <w:rPr>
            <w:rStyle w:val="Hyperlink"/>
          </w:rPr>
          <w:t xml:space="preserve">[59]</w:t>
        </w:r>
      </w:hyperlink>
    </w:p>
    <w:bookmarkEnd w:id="51"/>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[38]</w:t>
        </w:r>
      </w:hyperlink>
      <w:r>
        <w:t xml:space="preserve"> </w:t>
      </w:r>
      <w:hyperlink r:id="rId21">
        <w:r>
          <w:rPr>
            <w:rStyle w:val="Hyperlink"/>
          </w:rPr>
          <w:t xml:space="preserve">[40]</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hyperlink r:id="rId21">
        <w:r>
          <w:rPr>
            <w:rStyle w:val="Hyperlink"/>
          </w:rPr>
          <w:t xml:space="preserve">[52]</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r>
        <w:t xml:space="preserve">https://discovery.ucl.ac.uk/id/eprint/1497173/1/e1501742.full.pdf</w:t>
      </w:r>
    </w:p>
    <w:p>
      <w:pPr>
        <w:pStyle w:val="BodyText"/>
      </w:pPr>
      <w:hyperlink r:id="rId21">
        <w:r>
          <w:rPr>
            <w:rStyle w:val="Hyperlink"/>
          </w:rPr>
          <w:t xml:space="preserve">https://discovery.ucl.ac.uk/id/eprint/1497173/1/e1501742.full.pdf</w:t>
        </w:r>
      </w:hyperlink>
    </w:p>
    <w:p>
      <w:pPr>
        <w:pStyle w:val="BodyText"/>
      </w:pPr>
      <w:hyperlink r:id="rId22">
        <w:r>
          <w:rPr>
            <w:rStyle w:val="Hyperlink"/>
          </w:rPr>
          <w:t xml:space="preserve">[4]</w:t>
        </w:r>
      </w:hyperlink>
      <w:r>
        <w:t xml:space="preserve"> </w:t>
      </w:r>
      <w:hyperlink r:id="rId22">
        <w:r>
          <w:rPr>
            <w:rStyle w:val="Hyperlink"/>
          </w:rPr>
          <w:t xml:space="preserve">[10]</w:t>
        </w:r>
      </w:hyperlink>
      <w:r>
        <w:t xml:space="preserve"> </w:t>
      </w:r>
      <w:hyperlink r:id="rId22">
        <w:r>
          <w:rPr>
            <w:rStyle w:val="Hyperlink"/>
          </w:rPr>
          <w:t xml:space="preserve">[14]</w:t>
        </w:r>
      </w:hyperlink>
      <w:r>
        <w:t xml:space="preserve"> </w:t>
      </w:r>
      <w:hyperlink r:id="rId22">
        <w:r>
          <w:rPr>
            <w:rStyle w:val="Hyperlink"/>
          </w:rPr>
          <w:t xml:space="preserve">[16]</w:t>
        </w:r>
      </w:hyperlink>
      <w:r>
        <w:t xml:space="preserve"> </w:t>
      </w:r>
      <w:hyperlink r:id="rId22">
        <w:r>
          <w:rPr>
            <w:rStyle w:val="Hyperlink"/>
          </w:rPr>
          <w:t xml:space="preserve">[34]</w:t>
        </w:r>
      </w:hyperlink>
      <w:r>
        <w:t xml:space="preserve"> </w:t>
      </w:r>
      <w:hyperlink r:id="rId22">
        <w:r>
          <w:rPr>
            <w:rStyle w:val="Hyperlink"/>
          </w:rPr>
          <w:t xml:space="preserve">[47]</w:t>
        </w:r>
      </w:hyperlink>
      <w:r>
        <w:t xml:space="preserve"> </w:t>
      </w:r>
      <w:hyperlink r:id="rId22">
        <w:r>
          <w:rPr>
            <w:rStyle w:val="Hyperlink"/>
          </w:rPr>
          <w:t xml:space="preserve">[48]</w:t>
        </w:r>
      </w:hyperlink>
      <w:r>
        <w:t xml:space="preserve"> </w:t>
      </w:r>
      <w:hyperlink r:id="rId22">
        <w:r>
          <w:rPr>
            <w:rStyle w:val="Hyperlink"/>
          </w:rPr>
          <w:t xml:space="preserve">[49]</w:t>
        </w:r>
      </w:hyperlink>
      <w:r>
        <w:t xml:space="preserve"> </w:t>
      </w:r>
      <w:r>
        <w:t xml:space="preserve">https://tug.ctan.org/macros/latex/contrib/beamer/doc/beameruserguide.pdf</w:t>
      </w:r>
    </w:p>
    <w:p>
      <w:pPr>
        <w:pStyle w:val="BodyText"/>
      </w:pPr>
      <w:hyperlink r:id="rId22">
        <w:r>
          <w:rPr>
            <w:rStyle w:val="Hyperlink"/>
          </w:rPr>
          <w:t xml:space="preserve">https://tug.ctan.org/macros/latex/contrib/beamer/doc/beameruserguide.pdf</w:t>
        </w:r>
      </w:hyperlink>
    </w:p>
    <w:p>
      <w:pPr>
        <w:pStyle w:val="BodyText"/>
      </w:pPr>
      <w:hyperlink r:id="rId24">
        <w:r>
          <w:rPr>
            <w:rStyle w:val="Hyperlink"/>
          </w:rPr>
          <w:t xml:space="preserve">[7]</w:t>
        </w:r>
      </w:hyperlink>
      <w:r>
        <w:t xml:space="preserve"> </w:t>
      </w:r>
      <w:hyperlink r:id="rId24">
        <w:r>
          <w:rPr>
            <w:rStyle w:val="Hyperlink"/>
          </w:rPr>
          <w:t xml:space="preserve">[33]</w:t>
        </w:r>
      </w:hyperlink>
      <w:r>
        <w:t xml:space="preserve"> </w:t>
      </w:r>
      <w:hyperlink r:id="rId24">
        <w:r>
          <w:rPr>
            <w:rStyle w:val="Hyperlink"/>
          </w:rPr>
          <w:t xml:space="preserve">[36]</w:t>
        </w:r>
      </w:hyperlink>
      <w:r>
        <w:t xml:space="preserve"> </w:t>
      </w:r>
      <w:r>
        <w:t xml:space="preserve">https://olizardo.github.io/networks-textbook/lesson-sna-bigthree.html</w:t>
      </w:r>
    </w:p>
    <w:p>
      <w:pPr>
        <w:pStyle w:val="BodyText"/>
      </w:pPr>
      <w:hyperlink r:id="rId24">
        <w:r>
          <w:rPr>
            <w:rStyle w:val="Hyperlink"/>
          </w:rPr>
          <w:t xml:space="preserve">https://olizardo.github.io/networks-textbook/lesson-sna-bigthree.html</w:t>
        </w:r>
      </w:hyperlink>
    </w:p>
    <w:p>
      <w:pPr>
        <w:pStyle w:val="BodyText"/>
      </w:pPr>
      <w:hyperlink r:id="rId25">
        <w:r>
          <w:rPr>
            <w:rStyle w:val="Hyperlink"/>
          </w:rPr>
          <w:t xml:space="preserve">[8]</w:t>
        </w:r>
      </w:hyperlink>
      <w:r>
        <w:t xml:space="preserve"> </w:t>
      </w:r>
      <w:hyperlink r:id="rId25">
        <w:r>
          <w:rPr>
            <w:rStyle w:val="Hyperlink"/>
          </w:rPr>
          <w:t xml:space="preserve">[18]</w:t>
        </w:r>
      </w:hyperlink>
      <w:r>
        <w:t xml:space="preserve"> </w:t>
      </w:r>
      <w:hyperlink r:id="rId25">
        <w:r>
          <w:rPr>
            <w:rStyle w:val="Hyperlink"/>
          </w:rPr>
          <w:t xml:space="preserve">[29]</w:t>
        </w:r>
      </w:hyperlink>
      <w:r>
        <w:t xml:space="preserve"> </w:t>
      </w:r>
      <w:r>
        <w:t xml:space="preserve">Women's connectivity in extreme networks</w:t>
      </w:r>
    </w:p>
    <w:p>
      <w:pPr>
        <w:pStyle w:val="BodyText"/>
      </w:pPr>
      <w:hyperlink r:id="rId25">
        <w:r>
          <w:rPr>
            <w:rStyle w:val="Hyperlink"/>
          </w:rPr>
          <w:t xml:space="preserve">https://pubmed.ncbi.nlm.nih.gov/27386564/?utm_source=chatgpt.com</w:t>
        </w:r>
      </w:hyperlink>
    </w:p>
    <w:p>
      <w:pPr>
        <w:pStyle w:val="BodyText"/>
      </w:pPr>
      <w:hyperlink r:id="rId26">
        <w:r>
          <w:rPr>
            <w:rStyle w:val="Hyperlink"/>
          </w:rPr>
          <w:t xml:space="preserve">[9]</w:t>
        </w:r>
      </w:hyperlink>
      <w:r>
        <w:t xml:space="preserve"> </w:t>
      </w:r>
      <w:hyperlink r:id="rId26">
        <w:r>
          <w:rPr>
            <w:rStyle w:val="Hyperlink"/>
          </w:rPr>
          <w:t xml:space="preserve">[27]</w:t>
        </w:r>
      </w:hyperlink>
      <w:r>
        <w:t xml:space="preserve"> </w:t>
      </w:r>
      <w:hyperlink r:id="rId26">
        <w:r>
          <w:rPr>
            <w:rStyle w:val="Hyperlink"/>
          </w:rPr>
          <w:t xml:space="preserve">[31]</w:t>
        </w:r>
      </w:hyperlink>
      <w:r>
        <w:t xml:space="preserve"> </w:t>
      </w:r>
      <w:r>
        <w:t xml:space="preserve">Contact activity and dynamics of the online elite | Request PDF</w:t>
      </w:r>
    </w:p>
    <w:p>
      <w:pPr>
        <w:pStyle w:val="BodyText"/>
      </w:pPr>
      <w:hyperlink r:id="rId26">
        <w:r>
          <w:rPr>
            <w:rStyle w:val="Hyperlink"/>
          </w:rPr>
          <w:t xml:space="preserve">https://www.researchgate.net/publication/310235102_Contact_activity_and_dynamics_of_the_online_elite?utm_source=chatgpt.com</w:t>
        </w:r>
      </w:hyperlink>
    </w:p>
    <w:p>
      <w:pPr>
        <w:pStyle w:val="BodyText"/>
      </w:pPr>
      <w:hyperlink r:id="rId27">
        <w:r>
          <w:rPr>
            <w:rStyle w:val="Hyperlink"/>
          </w:rPr>
          <w:t xml:space="preserve">[12]</w:t>
        </w:r>
      </w:hyperlink>
      <w:r>
        <w:t xml:space="preserve"> </w:t>
      </w:r>
      <w:hyperlink r:id="rId27">
        <w:r>
          <w:rPr>
            <w:rStyle w:val="Hyperlink"/>
          </w:rPr>
          <w:t xml:space="preserve">[37]</w:t>
        </w:r>
      </w:hyperlink>
      <w:r>
        <w:t xml:space="preserve"> </w:t>
      </w:r>
      <w:hyperlink r:id="rId27">
        <w:r>
          <w:rPr>
            <w:rStyle w:val="Hyperlink"/>
          </w:rPr>
          <w:t xml:space="preserve">[50]</w:t>
        </w:r>
      </w:hyperlink>
      <w:r>
        <w:t xml:space="preserve"> </w:t>
      </w:r>
      <w:hyperlink r:id="rId27">
        <w:r>
          <w:rPr>
            <w:rStyle w:val="Hyperlink"/>
          </w:rPr>
          <w:t xml:space="preserve">[51]</w:t>
        </w:r>
      </w:hyperlink>
      <w:r>
        <w:t xml:space="preserve"> </w:t>
      </w:r>
      <w:r>
        <w:t xml:space="preserve">https://journals.plos.org/ploscompbiol/article?id=10.1371%2Fjournal.pcbi.1009554</w:t>
      </w:r>
    </w:p>
    <w:p>
      <w:pPr>
        <w:pStyle w:val="BodyText"/>
      </w:pPr>
      <w:hyperlink r:id="rId27">
        <w:r>
          <w:rPr>
            <w:rStyle w:val="Hyperlink"/>
          </w:rPr>
          <w:t xml:space="preserve">https://journals.plos.org/ploscompbiol/article?id=10.1371%2Fjournal.pcbi.1009554</w:t>
        </w:r>
      </w:hyperlink>
    </w:p>
    <w:p>
      <w:pPr>
        <w:pStyle w:val="BodyText"/>
      </w:pPr>
      <w:hyperlink r:id="rId28">
        <w:r>
          <w:rPr>
            <w:rStyle w:val="Hyperlink"/>
          </w:rPr>
          <w:t xml:space="preserve">[13]</w:t>
        </w:r>
      </w:hyperlink>
      <w:r>
        <w:t xml:space="preserve"> </w:t>
      </w:r>
      <w:hyperlink r:id="rId28">
        <w:r>
          <w:rPr>
            <w:rStyle w:val="Hyperlink"/>
          </w:rPr>
          <w:t xml:space="preserve">[32]</w:t>
        </w:r>
      </w:hyperlink>
      <w:r>
        <w:t xml:space="preserve"> </w:t>
      </w:r>
      <w:r>
        <w:t xml:space="preserve">https://ucilnica.fri.uni-lj.si/pluginfile.php/1147/course/section/1510/Freeman%20-%20A%20set%20of%20measures%20of%20centrality%20based%20on%20betweenness%2C%201977.pdf</w:t>
      </w:r>
    </w:p>
    <w:p>
      <w:pPr>
        <w:pStyle w:val="BodyText"/>
      </w:pPr>
      <w:hyperlink r:id="rId28">
        <w:r>
          <w:rPr>
            <w:rStyle w:val="Hyperlink"/>
          </w:rPr>
          <w:t xml:space="preserve">https://ucilnica.fri.uni-lj.si/pluginfile.php/1147/course/section/1510/Freeman%20-%20A%20set%20of%20measures%20of%20centrality%20based%20on%20betweenness%2C%201977.pdf</w:t>
        </w:r>
      </w:hyperlink>
    </w:p>
    <w:p>
      <w:pPr>
        <w:pStyle w:val="BodyText"/>
      </w:pPr>
      <w:hyperlink r:id="rId29">
        <w:r>
          <w:rPr>
            <w:rStyle w:val="Hyperlink"/>
          </w:rPr>
          <w:t xml:space="preserve">[15]</w:t>
        </w:r>
      </w:hyperlink>
      <w:r>
        <w:t xml:space="preserve"> </w:t>
      </w:r>
      <w:hyperlink r:id="rId29">
        <w:r>
          <w:rPr>
            <w:rStyle w:val="Hyperlink"/>
          </w:rPr>
          <w:t xml:space="preserve">[23]</w:t>
        </w:r>
      </w:hyperlink>
      <w:r>
        <w:t xml:space="preserve"> </w:t>
      </w:r>
      <w:r>
        <w:t xml:space="preserve">Online extreme network under pressure (ISIS). (A) ...</w:t>
      </w:r>
    </w:p>
    <w:p>
      <w:pPr>
        <w:pStyle w:val="BodyText"/>
      </w:pPr>
      <w:hyperlink r:id="rId29">
        <w:r>
          <w:rPr>
            <w:rStyle w:val="Hyperlink"/>
          </w:rPr>
          <w:t xml:space="preserve">https://www.researchgate.net/figure/Online-extreme-network-under-pressure-ISIS-A-Illustrative-time-resolved-snapshots_fig1_303900560?utm_source=chatgpt.com</w:t>
        </w:r>
      </w:hyperlink>
    </w:p>
    <w:p>
      <w:pPr>
        <w:pStyle w:val="BodyText"/>
      </w:pPr>
      <w:hyperlink r:id="rId30">
        <w:r>
          <w:rPr>
            <w:rStyle w:val="Hyperlink"/>
          </w:rPr>
          <w:t xml:space="preserve">[17]</w:t>
        </w:r>
      </w:hyperlink>
      <w:r>
        <w:t xml:space="preserve"> </w:t>
      </w:r>
      <w:hyperlink r:id="rId30">
        <w:r>
          <w:rPr>
            <w:rStyle w:val="Hyperlink"/>
          </w:rPr>
          <w:t xml:space="preserve">[24]</w:t>
        </w:r>
      </w:hyperlink>
      <w:r>
        <w:t xml:space="preserve"> </w:t>
      </w:r>
      <w:r>
        <w:t xml:space="preserve">Offline extreme network under pressure (PIRA ...</w:t>
      </w:r>
    </w:p>
    <w:p>
      <w:pPr>
        <w:pStyle w:val="BodyText"/>
      </w:pPr>
      <w:hyperlink r:id="rId30">
        <w:r>
          <w:rPr>
            <w:rStyle w:val="Hyperlink"/>
          </w:rPr>
          <w:t xml:space="preserve">https://www.researchgate.net/figure/Offline-extreme-network-under-pressure-PIRA-A-Illustrative-time-resolved-snapshots_fig2_303900560?utm_source=chatgpt.com</w:t>
        </w:r>
      </w:hyperlink>
    </w:p>
    <w:p>
      <w:pPr>
        <w:pStyle w:val="BodyText"/>
      </w:pPr>
      <w:hyperlink r:id="rId31">
        <w:r>
          <w:rPr>
            <w:rStyle w:val="Hyperlink"/>
          </w:rPr>
          <w:t xml:space="preserve">[21]</w:t>
        </w:r>
      </w:hyperlink>
      <w:r>
        <w:t xml:space="preserve"> </w:t>
      </w:r>
      <w:hyperlink r:id="rId31">
        <w:r>
          <w:rPr>
            <w:rStyle w:val="Hyperlink"/>
          </w:rPr>
          <w:t xml:space="preserve">[22]</w:t>
        </w:r>
      </w:hyperlink>
      <w:r>
        <w:t xml:space="preserve"> </w:t>
      </w:r>
      <w:r>
        <w:t xml:space="preserve">(PDF) Women's Connectivity in Extreme Networks</w:t>
      </w:r>
    </w:p>
    <w:p>
      <w:pPr>
        <w:pStyle w:val="BodyText"/>
      </w:pPr>
      <w:hyperlink r:id="rId31">
        <w:r>
          <w:rPr>
            <w:rStyle w:val="Hyperlink"/>
          </w:rPr>
          <w:t xml:space="preserve">https://www.researchgate.net/publication/303900560_Women%27s_Connectivity_in_Extreme_Networks?utm_source=chatgpt.com</w:t>
        </w:r>
      </w:hyperlink>
    </w:p>
    <w:p>
      <w:pPr>
        <w:pStyle w:val="BodyText"/>
      </w:pPr>
      <w:hyperlink r:id="rId32">
        <w:r>
          <w:rPr>
            <w:rStyle w:val="Hyperlink"/>
          </w:rPr>
          <w:t xml:space="preserve">[25]</w:t>
        </w:r>
      </w:hyperlink>
      <w:r>
        <w:t xml:space="preserve"> </w:t>
      </w:r>
      <w:r>
        <w:t xml:space="preserve">Lifetime of groups and neighbors in the network. (A) For a larger ...</w:t>
      </w:r>
    </w:p>
    <w:p>
      <w:pPr>
        <w:pStyle w:val="BodyText"/>
      </w:pPr>
      <w:hyperlink r:id="rId32">
        <w:r>
          <w:rPr>
            <w:rStyle w:val="Hyperlink"/>
          </w:rPr>
          <w:t xml:space="preserve">https://www.researchgate.net/figure/Lifetime-of-groups-and-neighbors-in-the-network-A-For-a-larger-ratio-of-women-to-men_fig3_303900560?utm_source=chatgpt.com</w:t>
        </w:r>
      </w:hyperlink>
    </w:p>
    <w:p>
      <w:pPr>
        <w:pStyle w:val="BodyText"/>
      </w:pPr>
      <w:hyperlink r:id="rId33">
        <w:r>
          <w:rPr>
            <w:rStyle w:val="Hyperlink"/>
          </w:rPr>
          <w:t xml:space="preserve">[26]</w:t>
        </w:r>
      </w:hyperlink>
      <w:r>
        <w:t xml:space="preserve"> </w:t>
      </w:r>
      <w:r>
        <w:t xml:space="preserve">Stefan Wuchty PhD Professor at University of Miami</w:t>
      </w:r>
    </w:p>
    <w:p>
      <w:pPr>
        <w:pStyle w:val="BodyText"/>
      </w:pPr>
      <w:hyperlink r:id="rId33">
        <w:r>
          <w:rPr>
            <w:rStyle w:val="Hyperlink"/>
          </w:rPr>
          <w:t xml:space="preserve">https://www.researchgate.net/profile/Stefan-Wuchty-2?utm_source=chatgpt.com</w:t>
        </w:r>
      </w:hyperlink>
    </w:p>
    <w:p>
      <w:pPr>
        <w:pStyle w:val="BodyText"/>
      </w:pPr>
      <w:hyperlink r:id="rId35">
        <w:r>
          <w:rPr>
            <w:rStyle w:val="Hyperlink"/>
          </w:rPr>
          <w:t xml:space="preserve">[28]</w:t>
        </w:r>
      </w:hyperlink>
      <w:r>
        <w:t xml:space="preserve"> </w:t>
      </w:r>
      <w:r>
        <w:t xml:space="preserve"> </w:t>
      </w:r>
      <w:r>
        <w:t xml:space="preserve">Women's Connectivity in Extreme Networks</w:t>
      </w:r>
      <w:r>
        <w:t xml:space="preserve"> </w:t>
      </w:r>
      <w:r>
        <w:t xml:space="preserve">-</w:t>
      </w:r>
      <w:r>
        <w:t xml:space="preserve"> </w:t>
      </w:r>
      <w:r>
        <w:t xml:space="preserve">UCL Discovery</w:t>
      </w:r>
      <w:r>
        <w:t xml:space="preserve"> </w:t>
      </w:r>
    </w:p>
    <w:p>
      <w:pPr>
        <w:pStyle w:val="BodyText"/>
      </w:pPr>
      <w:hyperlink r:id="rId35">
        <w:r>
          <w:rPr>
            <w:rStyle w:val="Hyperlink"/>
          </w:rPr>
          <w:t xml:space="preserve">https://discovery.ucl.ac.uk/id/eprint/1497173/</w:t>
        </w:r>
      </w:hyperlink>
    </w:p>
    <w:p>
      <w:pPr>
        <w:pStyle w:val="BodyText"/>
      </w:pPr>
      <w:hyperlink r:id="rId36">
        <w:r>
          <w:rPr>
            <w:rStyle w:val="Hyperlink"/>
          </w:rPr>
          <w:t xml:space="preserve">[30]</w:t>
        </w:r>
      </w:hyperlink>
      <w:r>
        <w:t xml:space="preserve"> </w:t>
      </w:r>
      <w:r>
        <w:t xml:space="preserve">Womens Connections in Extreme Networks | News &amp; Events</w:t>
      </w:r>
    </w:p>
    <w:p>
      <w:pPr>
        <w:pStyle w:val="BodyText"/>
      </w:pPr>
      <w:hyperlink r:id="rId36">
        <w:r>
          <w:rPr>
            <w:rStyle w:val="Hyperlink"/>
          </w:rPr>
          <w:t xml:space="preserve">https://news.miami.edu/as/stories/2016/06/womens-connections-in-extreme-networks.html?utm_source=chatgpt.com</w:t>
        </w:r>
      </w:hyperlink>
    </w:p>
    <w:p>
      <w:pPr>
        <w:pStyle w:val="BodyText"/>
      </w:pPr>
      <w:hyperlink r:id="rId38">
        <w:r>
          <w:rPr>
            <w:rStyle w:val="Hyperlink"/>
          </w:rPr>
          <w:t xml:space="preserve">[35]</w:t>
        </w:r>
      </w:hyperlink>
      <w:r>
        <w:t xml:space="preserve"> </w:t>
      </w:r>
      <w:r>
        <w:t xml:space="preserve">https://ctan.org/pkg/handoutwithnotes</w:t>
      </w:r>
    </w:p>
    <w:p>
      <w:pPr>
        <w:pStyle w:val="BodyText"/>
      </w:pPr>
      <w:hyperlink r:id="rId38">
        <w:r>
          <w:rPr>
            <w:rStyle w:val="Hyperlink"/>
          </w:rPr>
          <w:t xml:space="preserve">https://ctan.org/pkg/handoutwithnotes</w:t>
        </w:r>
      </w:hyperlink>
    </w:p>
    <w:p>
      <w:pPr>
        <w:pStyle w:val="BodyText"/>
      </w:pPr>
      <w:hyperlink r:id="rId39">
        <w:r>
          <w:rPr>
            <w:rStyle w:val="Hyperlink"/>
          </w:rPr>
          <w:t xml:space="preserve">[39]</w:t>
        </w:r>
      </w:hyperlink>
      <w:r>
        <w:t xml:space="preserve"> </w:t>
      </w:r>
      <w:r>
        <w:t xml:space="preserve">https://journals.plos.org/ploscompbiol/article?id=10.1371%2Fjournal.pcbi.1005373</w:t>
      </w:r>
    </w:p>
    <w:p>
      <w:pPr>
        <w:pStyle w:val="BodyText"/>
      </w:pPr>
      <w:hyperlink r:id="rId39">
        <w:r>
          <w:rPr>
            <w:rStyle w:val="Hyperlink"/>
          </w:rPr>
          <w:t xml:space="preserve">https://journals.plos.org/ploscompbiol/article?id=10.1371%2Fjournal.pcbi.1005373</w:t>
        </w:r>
      </w:hyperlink>
    </w:p>
    <w:p>
      <w:pPr>
        <w:pStyle w:val="BodyText"/>
      </w:pPr>
      <w:hyperlink r:id="rId40">
        <w:r>
          <w:rPr>
            <w:rStyle w:val="Hyperlink"/>
          </w:rPr>
          <w:t xml:space="preserve">[41]</w:t>
        </w:r>
      </w:hyperlink>
      <w:r>
        <w:t xml:space="preserve"> </w:t>
      </w:r>
      <w:hyperlink r:id="rId40">
        <w:r>
          <w:rPr>
            <w:rStyle w:val="Hyperlink"/>
          </w:rPr>
          <w:t xml:space="preserve">[42]</w:t>
        </w:r>
      </w:hyperlink>
      <w:r>
        <w:t xml:space="preserve"> </w:t>
      </w:r>
      <w:r>
        <w:t xml:space="preserve">https://pne.people.si.umich.edu/PDF/howtotalk.pdf</w:t>
      </w:r>
    </w:p>
    <w:p>
      <w:pPr>
        <w:pStyle w:val="BodyText"/>
      </w:pPr>
      <w:hyperlink r:id="rId40">
        <w:r>
          <w:rPr>
            <w:rStyle w:val="Hyperlink"/>
          </w:rPr>
          <w:t xml:space="preserve">https://pne.people.si.umich.edu/PDF/howtotalk.pdf</w:t>
        </w:r>
      </w:hyperlink>
    </w:p>
    <w:p>
      <w:pPr>
        <w:pStyle w:val="BodyText"/>
      </w:pPr>
      <w:hyperlink r:id="rId41">
        <w:r>
          <w:rPr>
            <w:rStyle w:val="Hyperlink"/>
          </w:rPr>
          <w:t xml:space="preserve">[43]</w:t>
        </w:r>
      </w:hyperlink>
      <w:r>
        <w:t xml:space="preserve"> </w:t>
      </w:r>
      <w:r>
        <w:t xml:space="preserve">https://www.cs.jhu.edu/~jason/advice/how-to-give-a-talk.html</w:t>
      </w:r>
    </w:p>
    <w:p>
      <w:pPr>
        <w:pStyle w:val="BodyText"/>
      </w:pPr>
      <w:hyperlink r:id="rId41">
        <w:r>
          <w:rPr>
            <w:rStyle w:val="Hyperlink"/>
          </w:rPr>
          <w:t xml:space="preserve">https://www.cs.jhu.edu/~jason/advice/how-to-give-a-talk.html</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ctan.org/pkg/handoutwithnotes" TargetMode="External" /><Relationship Type="http://schemas.openxmlformats.org/officeDocument/2006/relationships/hyperlink" Id="rId35" Target="https://discovery.ucl.ac.uk/id/eprint/1497173/" TargetMode="External" /><Relationship Type="http://schemas.openxmlformats.org/officeDocument/2006/relationships/hyperlink" Id="rId21" Target="https://discovery.ucl.ac.uk/id/eprint/1497173/1/e1501742.full.pdf" TargetMode="External" /><Relationship Type="http://schemas.openxmlformats.org/officeDocument/2006/relationships/hyperlink" Id="rId39" Target="https://journals.plos.org/ploscompbiol/article?id=10.1371%2Fjournal.pcbi.1005373" TargetMode="External" /><Relationship Type="http://schemas.openxmlformats.org/officeDocument/2006/relationships/hyperlink" Id="rId27" Target="https://journals.plos.org/ploscompbiol/article?id=10.1371%2Fjournal.pcbi.1009554" TargetMode="External" /><Relationship Type="http://schemas.openxmlformats.org/officeDocument/2006/relationships/hyperlink" Id="rId36" Target="https://news.miami.edu/as/stories/2016/06/womens-connections-in-extreme-networks.html?utm_source=chatgpt.com" TargetMode="External" /><Relationship Type="http://schemas.openxmlformats.org/officeDocument/2006/relationships/hyperlink" Id="rId24" Target="https://olizardo.github.io/networks-textbook/lesson-sna-bigthree.html" TargetMode="External" /><Relationship Type="http://schemas.openxmlformats.org/officeDocument/2006/relationships/hyperlink" Id="rId40" Target="https://pne.people.si.umich.edu/PDF/howtotalk.pdf" TargetMode="External" /><Relationship Type="http://schemas.openxmlformats.org/officeDocument/2006/relationships/hyperlink" Id="rId25" Target="https://pubmed.ncbi.nlm.nih.gov/27386564/?utm_source=chatgpt.com" TargetMode="External" /><Relationship Type="http://schemas.openxmlformats.org/officeDocument/2006/relationships/hyperlink" Id="rId22" Target="https://tug.ctan.org/macros/latex/contrib/beamer/doc/beameruserguide.pdf" TargetMode="External" /><Relationship Type="http://schemas.openxmlformats.org/officeDocument/2006/relationships/hyperlink" Id="rId28" Target="https://ucilnica.fri.uni-lj.si/pluginfile.php/1147/course/section/1510/Freeman%20-%20A%20set%20of%20measures%20of%20centrality%20based%20on%20betweenness%2C%201977.pdf" TargetMode="External" /><Relationship Type="http://schemas.openxmlformats.org/officeDocument/2006/relationships/hyperlink" Id="rId41" Target="https://www.cs.jhu.edu/~jason/advice/how-to-give-a-talk.html" TargetMode="External" /><Relationship Type="http://schemas.openxmlformats.org/officeDocument/2006/relationships/hyperlink" Id="rId32" Target="https://www.researchgate.net/figure/Lifetime-of-groups-and-neighbors-in-the-network-A-For-a-larger-ratio-of-women-to-men_fig3_303900560?utm_source=chatgpt.com" TargetMode="External" /><Relationship Type="http://schemas.openxmlformats.org/officeDocument/2006/relationships/hyperlink" Id="rId30" Target="https://www.researchgate.net/figure/Offline-extreme-network-under-pressure-PIRA-A-Illustrative-time-resolved-snapshots_fig2_303900560?utm_source=chatgpt.com" TargetMode="External" /><Relationship Type="http://schemas.openxmlformats.org/officeDocument/2006/relationships/hyperlink" Id="rId29" Target="https://www.researchgate.net/figure/Online-extreme-network-under-pressure-ISIS-A-Illustrative-time-resolved-snapshots_fig1_303900560?utm_source=chatgpt.com" TargetMode="External" /><Relationship Type="http://schemas.openxmlformats.org/officeDocument/2006/relationships/hyperlink" Id="rId33" Target="https://www.researchgate.net/profile/Stefan-Wuchty-2?utm_source=chatgpt.com" TargetMode="External" /><Relationship Type="http://schemas.openxmlformats.org/officeDocument/2006/relationships/hyperlink" Id="rId31" Target="https://www.researchgate.net/publication/303900560_Women%27s_Connectivity_in_Extreme_Networks?utm_source=chatgpt.com" TargetMode="External" /><Relationship Type="http://schemas.openxmlformats.org/officeDocument/2006/relationships/hyperlink" Id="rId26" Target="https://www.researchgate.net/publication/310235102_Contact_activity_and_dynamics_of_the_online_elit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8" Target="https://ctan.org/pkg/handoutwithnotes" TargetMode="External" /><Relationship Type="http://schemas.openxmlformats.org/officeDocument/2006/relationships/hyperlink" Id="rId35" Target="https://discovery.ucl.ac.uk/id/eprint/1497173/" TargetMode="External" /><Relationship Type="http://schemas.openxmlformats.org/officeDocument/2006/relationships/hyperlink" Id="rId21" Target="https://discovery.ucl.ac.uk/id/eprint/1497173/1/e1501742.full.pdf" TargetMode="External" /><Relationship Type="http://schemas.openxmlformats.org/officeDocument/2006/relationships/hyperlink" Id="rId39" Target="https://journals.plos.org/ploscompbiol/article?id=10.1371%2Fjournal.pcbi.1005373" TargetMode="External" /><Relationship Type="http://schemas.openxmlformats.org/officeDocument/2006/relationships/hyperlink" Id="rId27" Target="https://journals.plos.org/ploscompbiol/article?id=10.1371%2Fjournal.pcbi.1009554" TargetMode="External" /><Relationship Type="http://schemas.openxmlformats.org/officeDocument/2006/relationships/hyperlink" Id="rId36" Target="https://news.miami.edu/as/stories/2016/06/womens-connections-in-extreme-networks.html?utm_source=chatgpt.com" TargetMode="External" /><Relationship Type="http://schemas.openxmlformats.org/officeDocument/2006/relationships/hyperlink" Id="rId24" Target="https://olizardo.github.io/networks-textbook/lesson-sna-bigthree.html" TargetMode="External" /><Relationship Type="http://schemas.openxmlformats.org/officeDocument/2006/relationships/hyperlink" Id="rId40" Target="https://pne.people.si.umich.edu/PDF/howtotalk.pdf" TargetMode="External" /><Relationship Type="http://schemas.openxmlformats.org/officeDocument/2006/relationships/hyperlink" Id="rId25" Target="https://pubmed.ncbi.nlm.nih.gov/27386564/?utm_source=chatgpt.com" TargetMode="External" /><Relationship Type="http://schemas.openxmlformats.org/officeDocument/2006/relationships/hyperlink" Id="rId22" Target="https://tug.ctan.org/macros/latex/contrib/beamer/doc/beameruserguide.pdf" TargetMode="External" /><Relationship Type="http://schemas.openxmlformats.org/officeDocument/2006/relationships/hyperlink" Id="rId28" Target="https://ucilnica.fri.uni-lj.si/pluginfile.php/1147/course/section/1510/Freeman%20-%20A%20set%20of%20measures%20of%20centrality%20based%20on%20betweenness%2C%201977.pdf" TargetMode="External" /><Relationship Type="http://schemas.openxmlformats.org/officeDocument/2006/relationships/hyperlink" Id="rId41" Target="https://www.cs.jhu.edu/~jason/advice/how-to-give-a-talk.html" TargetMode="External" /><Relationship Type="http://schemas.openxmlformats.org/officeDocument/2006/relationships/hyperlink" Id="rId32" Target="https://www.researchgate.net/figure/Lifetime-of-groups-and-neighbors-in-the-network-A-For-a-larger-ratio-of-women-to-men_fig3_303900560?utm_source=chatgpt.com" TargetMode="External" /><Relationship Type="http://schemas.openxmlformats.org/officeDocument/2006/relationships/hyperlink" Id="rId30" Target="https://www.researchgate.net/figure/Offline-extreme-network-under-pressure-PIRA-A-Illustrative-time-resolved-snapshots_fig2_303900560?utm_source=chatgpt.com" TargetMode="External" /><Relationship Type="http://schemas.openxmlformats.org/officeDocument/2006/relationships/hyperlink" Id="rId29" Target="https://www.researchgate.net/figure/Online-extreme-network-under-pressure-ISIS-A-Illustrative-time-resolved-snapshots_fig1_303900560?utm_source=chatgpt.com" TargetMode="External" /><Relationship Type="http://schemas.openxmlformats.org/officeDocument/2006/relationships/hyperlink" Id="rId33" Target="https://www.researchgate.net/profile/Stefan-Wuchty-2?utm_source=chatgpt.com" TargetMode="External" /><Relationship Type="http://schemas.openxmlformats.org/officeDocument/2006/relationships/hyperlink" Id="rId31" Target="https://www.researchgate.net/publication/303900560_Women%27s_Connectivity_in_Extreme_Networks?utm_source=chatgpt.com" TargetMode="External" /><Relationship Type="http://schemas.openxmlformats.org/officeDocument/2006/relationships/hyperlink" Id="rId26" Target="https://www.researchgate.net/publication/310235102_Contact_activity_and_dynamics_of_the_online_elit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2026-04-09T09:10:25Z</dcterms:created>
  <dcterms:modified xsi:type="dcterms:W3CDTF">2026-04-09T09:10:25Z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