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009CDE"/>
          <w:sz w:val="20"/>
        </w:rPr>
        <w:t>INDEPENDENCE BLUE CROSS  ·  PROVIDER INFORMATION EXCHANGE (PIE)</w:t>
      </w:r>
    </w:p>
    <w:p>
      <w:pPr>
        <w:spacing w:before="120" w:after="40"/>
      </w:pPr>
      <w:r>
        <w:rPr>
          <w:rFonts w:ascii="Calibri" w:hAnsi="Calibri"/>
          <w:b/>
          <w:i w:val="0"/>
          <w:color w:val="003087"/>
          <w:sz w:val="60"/>
        </w:rPr>
        <w:t>2027 Priorities</w:t>
      </w:r>
    </w:p>
    <w:p>
      <w:pPr>
        <w:spacing w:after="120"/>
      </w:pPr>
      <w:r>
        <w:rPr>
          <w:rFonts w:ascii="Calibri" w:hAnsi="Calibri"/>
          <w:b/>
          <w:i w:val="0"/>
          <w:color w:val="0057B8"/>
          <w:sz w:val="40"/>
        </w:rPr>
        <w:t>ROM &amp; Delivery Roadmap</w:t>
      </w:r>
    </w:p>
    <w:p>
      <w:pPr>
        <w:pBdr>
          <w:bottom w:val="single" w:sz="18" w:space="4" w:color="003087"/>
        </w:pBdr>
      </w:pPr>
    </w:p>
    <w:p>
      <w:pPr>
        <w:spacing w:after="280"/>
      </w:pPr>
      <w:r>
        <w:rPr>
          <w:rFonts w:ascii="Calibri" w:hAnsi="Calibri"/>
          <w:b w:val="0"/>
          <w:i w:val="0"/>
          <w:color w:val="5A7090"/>
          <w:sz w:val="23"/>
        </w:rPr>
        <w:t>Twelve business priorities with T-shirt-sized delivery effort, scope, dependencies, risks, and a 2027 roadmap.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003087"/>
            <w:tcMar>
              <w:top w:w="140" w:type="dxa"/>
              <w:bottom w:w="14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8"/>
              </w:rPr>
              <w:t>12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CFDDF2"/>
                <w:sz w:val="17"/>
              </w:rPr>
              <w:t>Business Priorities</w:t>
            </w:r>
          </w:p>
        </w:tc>
        <w:tc>
          <w:tcPr>
            <w:tcW w:type="dxa" w:w="2412"/>
            <w:shd w:val="clear" w:color="auto" w:fill="003087"/>
            <w:tcMar>
              <w:top w:w="140" w:type="dxa"/>
              <w:bottom w:w="14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8"/>
              </w:rPr>
              <w:t>3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CFDDF2"/>
                <w:sz w:val="17"/>
              </w:rPr>
              <w:t>XXL Programs (F2·F4·F7)</w:t>
            </w:r>
          </w:p>
        </w:tc>
        <w:tc>
          <w:tcPr>
            <w:tcW w:type="dxa" w:w="2412"/>
            <w:shd w:val="clear" w:color="auto" w:fill="003087"/>
            <w:tcMar>
              <w:top w:w="140" w:type="dxa"/>
              <w:bottom w:w="14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8"/>
              </w:rPr>
              <w:t>4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CFDDF2"/>
                <w:sz w:val="17"/>
              </w:rPr>
              <w:t>Quarter Roadmap</w:t>
            </w:r>
          </w:p>
        </w:tc>
        <w:tc>
          <w:tcPr>
            <w:tcW w:type="dxa" w:w="2412"/>
            <w:shd w:val="clear" w:color="auto" w:fill="003087"/>
            <w:tcMar>
              <w:top w:w="140" w:type="dxa"/>
              <w:bottom w:w="14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8"/>
              </w:rPr>
              <w:t>5–7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CFDDF2"/>
                <w:sz w:val="17"/>
              </w:rPr>
              <w:t>Senior Engineers, Full Year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1"/>
        </w:rPr>
      </w:r>
    </w:p>
    <w:p>
      <w:r>
        <w:rPr>
          <w:rFonts w:ascii="Calibri" w:hAnsi="Calibri"/>
          <w:b w:val="0"/>
          <w:i/>
          <w:color w:val="5A7090"/>
          <w:sz w:val="18"/>
        </w:rPr>
        <w:t>Confidential · For Internal Planning · July 2026</w:t>
      </w:r>
    </w:p>
    <w:p>
      <w:r>
        <w:br w:type="page"/>
      </w:r>
    </w:p>
    <w:p>
      <w:pPr>
        <w:spacing w:before="280" w:after="120"/>
        <w:pBdr>
          <w:bottom w:val="single" w:sz="18" w:space="4" w:color="003087"/>
        </w:pBdr>
      </w:pPr>
      <w:r>
        <w:rPr>
          <w:rFonts w:ascii="Calibri" w:hAnsi="Calibri"/>
          <w:b/>
          <w:i w:val="0"/>
          <w:color w:val="003087"/>
          <w:sz w:val="34"/>
        </w:rPr>
        <w:t>1.  Estimation Approach — T-Shirt Sizing</w:t>
      </w:r>
    </w:p>
    <w:p>
      <w:pPr>
        <w:spacing w:after="160"/>
      </w:pPr>
      <w:r>
        <w:rPr>
          <w:rFonts w:ascii="Calibri" w:hAnsi="Calibri"/>
          <w:b w:val="0"/>
          <w:i w:val="0"/>
          <w:color w:val="5A7090"/>
          <w:sz w:val="21"/>
        </w:rPr>
        <w:t>Each priority is estimated with a relative T-shirt size. The table below is the reference key that translates each size into an indicative developer-day range.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FF0"/>
          <w:left w:val="single" w:sz="4" w:space="0" w:color="D0DFF0"/>
          <w:bottom w:val="single" w:sz="4" w:space="0" w:color="D0DFF0"/>
          <w:right w:val="single" w:sz="4" w:space="0" w:color="D0DFF0"/>
          <w:insideH w:val="single" w:sz="4" w:space="0" w:color="D0DFF0"/>
          <w:insideV w:val="single" w:sz="4" w:space="0" w:color="D0DFF0"/>
        </w:tblBorders>
      </w:tblPr>
      <w:tblGrid>
        <w:gridCol w:w="3216"/>
        <w:gridCol w:w="3216"/>
        <w:gridCol w:w="3216"/>
      </w:tblGrid>
      <w:tr>
        <w:tc>
          <w:tcPr>
            <w:tcW w:type="dxa" w:w="1872"/>
            <w:shd w:val="clear" w:color="auto" w:fill="00308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T-Shirt Size</w:t>
            </w:r>
          </w:p>
        </w:tc>
        <w:tc>
          <w:tcPr>
            <w:tcW w:type="dxa" w:w="2592"/>
            <w:shd w:val="clear" w:color="auto" w:fill="00308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Estimated Dev-Days</w:t>
            </w:r>
          </w:p>
        </w:tc>
        <w:tc>
          <w:tcPr>
            <w:tcW w:type="dxa" w:w="5184"/>
            <w:shd w:val="clear" w:color="auto" w:fill="00308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Typical Scope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S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863F"/>
                <w:sz w:val="20"/>
              </w:rPr>
              <w:t>~5–15 dev-days</w:t>
            </w:r>
          </w:p>
        </w:tc>
        <w:tc>
          <w:tcPr>
            <w:tcW w:type="dxa" w:w="518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Small, isolated change to one component.</w:t>
            </w:r>
          </w:p>
        </w:tc>
      </w:tr>
      <w:tr>
        <w:tc>
          <w:tcPr>
            <w:tcW w:type="dxa" w:w="18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M</w:t>
            </w:r>
          </w:p>
        </w:tc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863F"/>
                <w:sz w:val="20"/>
              </w:rPr>
              <w:t>~15–35 dev-days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Single component or flow, self-contained.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L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863F"/>
                <w:sz w:val="20"/>
              </w:rPr>
              <w:t>~35–75 dev-days</w:t>
            </w:r>
          </w:p>
        </w:tc>
        <w:tc>
          <w:tcPr>
            <w:tcW w:type="dxa" w:w="518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Multi-component feature with integration.</w:t>
            </w:r>
          </w:p>
        </w:tc>
      </w:tr>
      <w:tr>
        <w:tc>
          <w:tcPr>
            <w:tcW w:type="dxa" w:w="18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XL</w:t>
            </w:r>
          </w:p>
        </w:tc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863F"/>
                <w:sz w:val="20"/>
              </w:rPr>
              <w:t>~75–150 dev-days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Cross-cutting; multiple teams / systems touched.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XXL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863F"/>
                <w:sz w:val="20"/>
              </w:rPr>
              <w:t>~150–300+ dev-days</w:t>
            </w:r>
          </w:p>
        </w:tc>
        <w:tc>
          <w:tcPr>
            <w:tcW w:type="dxa" w:w="518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Multi-quarter program; may need parallel teams.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/>
          <w:color w:val="5A7090"/>
          <w:sz w:val="19"/>
        </w:rPr>
        <w:t>Ranges are indicative planning bands; actual effort is refined per priority during build planning.</w:t>
      </w:r>
    </w:p>
    <w:p>
      <w:pPr>
        <w:spacing w:before="280" w:after="120"/>
      </w:pPr>
      <w:r>
        <w:rPr>
          <w:rFonts w:ascii="Calibri" w:hAnsi="Calibri"/>
          <w:b/>
          <w:i w:val="0"/>
          <w:color w:val="0057B8"/>
          <w:sz w:val="26"/>
        </w:rPr>
        <w:t>The twelve priorities at a glance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FF0"/>
          <w:left w:val="single" w:sz="4" w:space="0" w:color="D0DFF0"/>
          <w:bottom w:val="single" w:sz="4" w:space="0" w:color="D0DFF0"/>
          <w:right w:val="single" w:sz="4" w:space="0" w:color="D0DFF0"/>
          <w:insideH w:val="single" w:sz="4" w:space="0" w:color="D0DFF0"/>
          <w:insideV w:val="single" w:sz="4" w:space="0" w:color="D0DFF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  <w:shd w:val="clear" w:color="auto" w:fill="00308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5616"/>
            <w:shd w:val="clear" w:color="auto" w:fill="00308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1296"/>
            <w:shd w:val="clear" w:color="auto" w:fill="00308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2160"/>
            <w:shd w:val="clear" w:color="auto" w:fill="00308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1</w:t>
            </w:r>
          </w:p>
        </w:tc>
        <w:tc>
          <w:tcPr>
            <w:tcW w:type="dxa" w:w="56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PDM Efficiency + PEAR Self-Service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57B8"/>
                <w:sz w:val="20"/>
              </w:rPr>
              <w:t>XL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Med</w:t>
            </w:r>
          </w:p>
        </w:tc>
      </w:tr>
      <w:tr>
        <w:tc>
          <w:tcPr>
            <w:tcW w:type="dxa" w:w="57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2</w:t>
            </w:r>
          </w:p>
        </w:tc>
        <w:tc>
          <w:tcPr>
            <w:tcW w:type="dxa" w:w="56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Credentialing Enhancements</w:t>
            </w:r>
          </w:p>
        </w:tc>
        <w:tc>
          <w:tcPr>
            <w:tcW w:type="dxa" w:w="12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57B8"/>
                <w:sz w:val="20"/>
              </w:rPr>
              <w:t>XXL</w:t>
            </w:r>
          </w:p>
        </w:tc>
        <w:tc>
          <w:tcPr>
            <w:tcW w:type="dxa" w:w="216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Mixed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3</w:t>
            </w:r>
          </w:p>
        </w:tc>
        <w:tc>
          <w:tcPr>
            <w:tcW w:type="dxa" w:w="56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Enhanced Case Management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57B8"/>
                <w:sz w:val="20"/>
              </w:rPr>
              <w:t>L–XL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Med</w:t>
            </w:r>
          </w:p>
        </w:tc>
      </w:tr>
      <w:tr>
        <w:tc>
          <w:tcPr>
            <w:tcW w:type="dxa" w:w="57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4</w:t>
            </w:r>
          </w:p>
        </w:tc>
        <w:tc>
          <w:tcPr>
            <w:tcW w:type="dxa" w:w="56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Full Provider Data Versioning</w:t>
            </w:r>
          </w:p>
        </w:tc>
        <w:tc>
          <w:tcPr>
            <w:tcW w:type="dxa" w:w="12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57B8"/>
                <w:sz w:val="20"/>
              </w:rPr>
              <w:t>XXL</w:t>
            </w:r>
          </w:p>
        </w:tc>
        <w:tc>
          <w:tcPr>
            <w:tcW w:type="dxa" w:w="216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Med / High-risk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5</w:t>
            </w:r>
          </w:p>
        </w:tc>
        <w:tc>
          <w:tcPr>
            <w:tcW w:type="dxa" w:w="56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Cred + PDM Integration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57B8"/>
                <w:sz w:val="20"/>
              </w:rPr>
              <w:t>L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Med</w:t>
            </w:r>
          </w:p>
        </w:tc>
      </w:tr>
      <w:tr>
        <w:tc>
          <w:tcPr>
            <w:tcW w:type="dxa" w:w="57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6</w:t>
            </w:r>
          </w:p>
        </w:tc>
        <w:tc>
          <w:tcPr>
            <w:tcW w:type="dxa" w:w="56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Inventory Management &amp; Reporting</w:t>
            </w:r>
          </w:p>
        </w:tc>
        <w:tc>
          <w:tcPr>
            <w:tcW w:type="dxa" w:w="12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57B8"/>
                <w:sz w:val="20"/>
              </w:rPr>
              <w:t>L–XL</w:t>
            </w:r>
          </w:p>
        </w:tc>
        <w:tc>
          <w:tcPr>
            <w:tcW w:type="dxa" w:w="216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Low–Med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7</w:t>
            </w:r>
          </w:p>
        </w:tc>
        <w:tc>
          <w:tcPr>
            <w:tcW w:type="dxa" w:w="56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Mass Data Load Capabilities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57B8"/>
                <w:sz w:val="20"/>
              </w:rPr>
              <w:t>XXL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Med</w:t>
            </w:r>
          </w:p>
        </w:tc>
      </w:tr>
      <w:tr>
        <w:tc>
          <w:tcPr>
            <w:tcW w:type="dxa" w:w="57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8</w:t>
            </w:r>
          </w:p>
        </w:tc>
        <w:tc>
          <w:tcPr>
            <w:tcW w:type="dxa" w:w="56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Lexis Nexis + Compliance</w:t>
            </w:r>
          </w:p>
        </w:tc>
        <w:tc>
          <w:tcPr>
            <w:tcW w:type="dxa" w:w="12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57B8"/>
                <w:sz w:val="20"/>
              </w:rPr>
              <w:t>XL</w:t>
            </w:r>
          </w:p>
        </w:tc>
        <w:tc>
          <w:tcPr>
            <w:tcW w:type="dxa" w:w="216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LN Med / Comp Low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9</w:t>
            </w:r>
          </w:p>
        </w:tc>
        <w:tc>
          <w:tcPr>
            <w:tcW w:type="dxa" w:w="56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Stabilization &amp; Tech Debt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57B8"/>
                <w:sz w:val="20"/>
              </w:rPr>
              <w:t>L–XL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Med</w:t>
            </w:r>
          </w:p>
        </w:tc>
      </w:tr>
      <w:tr>
        <w:tc>
          <w:tcPr>
            <w:tcW w:type="dxa" w:w="57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10</w:t>
            </w:r>
          </w:p>
        </w:tc>
        <w:tc>
          <w:tcPr>
            <w:tcW w:type="dxa" w:w="56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Re-Cred PSV Add/Remove Location → PDM Routing</w:t>
            </w:r>
          </w:p>
        </w:tc>
        <w:tc>
          <w:tcPr>
            <w:tcW w:type="dxa" w:w="12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57B8"/>
                <w:sz w:val="20"/>
              </w:rPr>
              <w:t>XL</w:t>
            </w:r>
          </w:p>
        </w:tc>
        <w:tc>
          <w:tcPr>
            <w:tcW w:type="dxa" w:w="216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Med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11</w:t>
            </w:r>
          </w:p>
        </w:tc>
        <w:tc>
          <w:tcPr>
            <w:tcW w:type="dxa" w:w="56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FHNatic — Provider Forms External Portal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57B8"/>
                <w:sz w:val="20"/>
              </w:rPr>
              <w:t>XL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Low–Med</w:t>
            </w:r>
          </w:p>
        </w:tc>
      </w:tr>
      <w:tr>
        <w:tc>
          <w:tcPr>
            <w:tcW w:type="dxa" w:w="57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12</w:t>
            </w:r>
          </w:p>
        </w:tc>
        <w:tc>
          <w:tcPr>
            <w:tcW w:type="dxa" w:w="56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POMS Replacement — Multi-Request PDM</w:t>
            </w:r>
          </w:p>
        </w:tc>
        <w:tc>
          <w:tcPr>
            <w:tcW w:type="dxa" w:w="12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57B8"/>
                <w:sz w:val="20"/>
              </w:rPr>
              <w:t>XL</w:t>
            </w:r>
          </w:p>
        </w:tc>
        <w:tc>
          <w:tcPr>
            <w:tcW w:type="dxa" w:w="216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Low–Med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280" w:after="120"/>
      </w:pPr>
      <w:r>
        <w:rPr>
          <w:rFonts w:ascii="Calibri" w:hAnsi="Calibri"/>
          <w:b/>
          <w:i w:val="0"/>
          <w:color w:val="0057B8"/>
          <w:sz w:val="26"/>
        </w:rPr>
        <w:t>Portfolio size mix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990000"/>
          <w:sz w:val="21"/>
        </w:rPr>
        <w:t xml:space="preserve">XXL (3): </w:t>
      </w:r>
      <w:r>
        <w:rPr>
          <w:rFonts w:ascii="Calibri" w:hAnsi="Calibri"/>
          <w:b w:val="0"/>
          <w:i w:val="0"/>
          <w:sz w:val="21"/>
        </w:rPr>
        <w:t>F2 Credentialing, F4 Data Versioning, F7 Mass Data Loads — multi-quarter programs. F2 and F4 each exceed twice the floor of the XXL band and should be funded in phases, not as single items.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C05A00"/>
          <w:sz w:val="21"/>
        </w:rPr>
        <w:t xml:space="preserve">XL (5): </w:t>
      </w:r>
      <w:r>
        <w:rPr>
          <w:rFonts w:ascii="Calibri" w:hAnsi="Calibri"/>
          <w:b w:val="0"/>
          <w:i w:val="0"/>
          <w:sz w:val="21"/>
        </w:rPr>
        <w:t>F1 PDM + PEAR, F8 Lexis Nexis + Compliance, F10 Re-Cred PSV Location → PDM, F11 FHNatic Provider Forms, F12 POMS Replacement.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C05A00"/>
          <w:sz w:val="21"/>
        </w:rPr>
        <w:t xml:space="preserve">L–XL (3): </w:t>
      </w:r>
      <w:r>
        <w:rPr>
          <w:rFonts w:ascii="Calibri" w:hAnsi="Calibri"/>
          <w:b w:val="0"/>
          <w:i w:val="0"/>
          <w:sz w:val="21"/>
        </w:rPr>
        <w:t>F3 Case Management, F6 Inventory &amp; Reporting, F9 Stabilization.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863F"/>
          <w:sz w:val="21"/>
        </w:rPr>
        <w:t xml:space="preserve">L (1): </w:t>
      </w:r>
      <w:r>
        <w:rPr>
          <w:rFonts w:ascii="Calibri" w:hAnsi="Calibri"/>
          <w:b w:val="0"/>
          <w:i w:val="0"/>
          <w:sz w:val="21"/>
        </w:rPr>
        <w:t>F5 Cred + PDM Integration.</w:t>
      </w:r>
    </w:p>
    <w:p>
      <w:pPr>
        <w:spacing w:after="120"/>
      </w:pPr>
      <w:r>
        <w:rPr>
          <w:rFonts w:ascii="Calibri" w:hAnsi="Calibri"/>
          <w:b w:val="0"/>
          <w:i/>
          <w:color w:val="5A7090"/>
          <w:sz w:val="19"/>
        </w:rPr>
        <w:t>Priorities 11–12 (FHNatic, POMS) are carried in from the Oct 2025 'FHNatic / POMS / Mass Grid' estimate (originally in story points; shown here mapped to T-shirt sizes). That document's Mass Grid initiative is already represented by Priority 7 (Mass Data Load Capabilities).</w:t>
      </w:r>
    </w:p>
    <w:p>
      <w:r>
        <w:br w:type="page"/>
      </w:r>
    </w:p>
    <w:p>
      <w:pPr>
        <w:spacing w:before="280" w:after="120"/>
        <w:pBdr>
          <w:bottom w:val="single" w:sz="18" w:space="4" w:color="003087"/>
        </w:pBdr>
      </w:pPr>
      <w:r>
        <w:rPr>
          <w:rFonts w:ascii="Calibri" w:hAnsi="Calibri"/>
          <w:b/>
          <w:i w:val="0"/>
          <w:color w:val="003087"/>
          <w:sz w:val="34"/>
        </w:rPr>
        <w:t>2.  Priority Detail</w:t>
      </w:r>
    </w:p>
    <w:p>
      <w:pPr>
        <w:spacing w:before="240" w:after="80"/>
      </w:pPr>
      <w:r>
        <w:rPr>
          <w:rFonts w:ascii="Calibri" w:hAnsi="Calibri"/>
          <w:b/>
          <w:i w:val="0"/>
          <w:color w:val="003087"/>
          <w:sz w:val="28"/>
        </w:rPr>
        <w:t>Priority 1 — PDM Efficiency + PEAR Provider Self-Service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FF0"/>
          <w:left w:val="single" w:sz="4" w:space="0" w:color="D0DFF0"/>
          <w:bottom w:val="single" w:sz="4" w:space="0" w:color="D0DFF0"/>
          <w:right w:val="single" w:sz="4" w:space="0" w:color="D0DFF0"/>
          <w:insideH w:val="single" w:sz="4" w:space="0" w:color="D0DFF0"/>
          <w:insideV w:val="single" w:sz="4" w:space="0" w:color="D0DFF0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8F0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7090"/>
                <w:sz w:val="16"/>
              </w:rPr>
              <w:t>T-SHIRT SIZE</w:t>
            </w:r>
          </w:p>
          <w:p>
            <w:r>
              <w:rPr>
                <w:rFonts w:ascii="Calibri" w:hAnsi="Calibri"/>
                <w:b/>
                <w:i w:val="0"/>
                <w:color w:val="0057B8"/>
                <w:sz w:val="22"/>
              </w:rPr>
              <w:t>XL</w:t>
            </w:r>
          </w:p>
        </w:tc>
        <w:tc>
          <w:tcPr>
            <w:tcW w:type="dxa" w:w="4824"/>
            <w:shd w:val="clear" w:color="auto" w:fill="E8F0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7090"/>
                <w:sz w:val="16"/>
              </w:rPr>
              <w:t>CONFIDENCE</w:t>
            </w:r>
          </w:p>
          <w:p>
            <w:r>
              <w:rPr>
                <w:rFonts w:ascii="Calibri" w:hAnsi="Calibri"/>
                <w:b/>
                <w:i w:val="0"/>
                <w:color w:val="C05A00"/>
                <w:sz w:val="22"/>
              </w:rPr>
              <w:t>Medium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1"/>
        </w:rPr>
      </w:r>
    </w:p>
    <w:p>
      <w:r>
        <w:rPr>
          <w:rFonts w:ascii="Calibri" w:hAnsi="Calibri"/>
          <w:b/>
          <w:i w:val="0"/>
          <w:color w:val="00863F"/>
          <w:sz w:val="22"/>
        </w:rPr>
        <w:t>What we're delivering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Balanced internal PDM efficiency + external PEAR self-service.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PEAR: providers add / term locations, networks, and demographics themselves.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PDM: self-serve simple field edits to cut the admin-ticket queue.</w:t>
      </w:r>
    </w:p>
    <w:p>
      <w:r>
        <w:rPr>
          <w:rFonts w:ascii="Calibri" w:hAnsi="Calibri"/>
          <w:b/>
          <w:i w:val="0"/>
          <w:color w:val="0057B8"/>
          <w:sz w:val="22"/>
        </w:rPr>
        <w:t>How we'll build it (high-level TDD)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PEAR edits update provider records directly — there is no QC review step for PEAR.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Harden community FLS / security and inline validation for provider-facing writes.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Extend existing PEAR OmniScripts + DataRaptors rather than rebuild.</w:t>
      </w:r>
    </w:p>
    <w:p>
      <w:pPr>
        <w:spacing w:after="40"/>
      </w:pPr>
      <w:r>
        <w:rPr>
          <w:rFonts w:ascii="Calibri" w:hAnsi="Calibri"/>
          <w:b/>
          <w:i w:val="0"/>
          <w:color w:val="990000"/>
          <w:sz w:val="21"/>
        </w:rPr>
        <w:t xml:space="preserve">Top risk:  </w:t>
      </w:r>
      <w:r>
        <w:rPr>
          <w:rFonts w:ascii="Calibri" w:hAnsi="Calibri"/>
          <w:b w:val="0"/>
          <w:i w:val="0"/>
          <w:sz w:val="21"/>
        </w:rPr>
        <w:t>Because PEAR writes apply directly (no QC gate), inline validation and a full audit trail are essential to protect data integrity. Only 15 of 192 custom components are community-enabled today, so provider-facing screens carry an enablement cost.</w:t>
      </w:r>
    </w:p>
    <w:p>
      <w:pPr>
        <w:spacing w:after="200"/>
      </w:pPr>
      <w:r>
        <w:rPr>
          <w:rFonts w:ascii="Calibri" w:hAnsi="Calibri"/>
          <w:b/>
          <w:i w:val="0"/>
          <w:color w:val="00863F"/>
          <w:sz w:val="21"/>
        </w:rPr>
        <w:t xml:space="preserve">Reuse / dependency:  </w:t>
      </w:r>
      <w:r>
        <w:rPr>
          <w:rFonts w:ascii="Calibri" w:hAnsi="Calibri"/>
          <w:b w:val="0"/>
          <w:i w:val="0"/>
          <w:sz w:val="21"/>
        </w:rPr>
        <w:t>Internal PDM bulk edits can leverage the F7 async engine; PEAR updates apply directly.</w:t>
      </w:r>
    </w:p>
    <w:p>
      <w:pPr>
        <w:spacing w:before="240" w:after="80"/>
      </w:pPr>
      <w:r>
        <w:rPr>
          <w:rFonts w:ascii="Calibri" w:hAnsi="Calibri"/>
          <w:b/>
          <w:i w:val="0"/>
          <w:color w:val="003087"/>
          <w:sz w:val="28"/>
        </w:rPr>
        <w:t>Priority 2 — Credentialing Enhancements — Tiles, CAQH Documents &amp; Agentic AI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FF0"/>
          <w:left w:val="single" w:sz="4" w:space="0" w:color="D0DFF0"/>
          <w:bottom w:val="single" w:sz="4" w:space="0" w:color="D0DFF0"/>
          <w:right w:val="single" w:sz="4" w:space="0" w:color="D0DFF0"/>
          <w:insideH w:val="single" w:sz="4" w:space="0" w:color="D0DFF0"/>
          <w:insideV w:val="single" w:sz="4" w:space="0" w:color="D0DFF0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8F0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7090"/>
                <w:sz w:val="16"/>
              </w:rPr>
              <w:t>T-SHIRT SIZE</w:t>
            </w:r>
          </w:p>
          <w:p>
            <w:r>
              <w:rPr>
                <w:rFonts w:ascii="Calibri" w:hAnsi="Calibri"/>
                <w:b/>
                <w:i w:val="0"/>
                <w:color w:val="0057B8"/>
                <w:sz w:val="22"/>
              </w:rPr>
              <w:t>XXL</w:t>
            </w:r>
          </w:p>
        </w:tc>
        <w:tc>
          <w:tcPr>
            <w:tcW w:type="dxa" w:w="4824"/>
            <w:shd w:val="clear" w:color="auto" w:fill="E8F0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7090"/>
                <w:sz w:val="16"/>
              </w:rPr>
              <w:t>CONFIDENCE</w:t>
            </w:r>
          </w:p>
          <w:p>
            <w:r>
              <w:rPr>
                <w:rFonts w:ascii="Calibri" w:hAnsi="Calibri"/>
                <w:b/>
                <w:i w:val="0"/>
                <w:color w:val="C05A00"/>
                <w:sz w:val="22"/>
              </w:rPr>
              <w:t>Mixed (Tile High / CAQH Low–Med / Agentic Med–Low)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1"/>
        </w:rPr>
      </w:r>
    </w:p>
    <w:p>
      <w:r>
        <w:rPr>
          <w:rFonts w:ascii="Calibri" w:hAnsi="Calibri"/>
          <w:b/>
          <w:i w:val="0"/>
          <w:color w:val="00863F"/>
          <w:sz w:val="22"/>
        </w:rPr>
        <w:t>What we're delivering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The 5 core credentialing flows re-platformed to the tile experience — a codebase audit counts ~108 steps in those flows (not the ~55 tiles originally assumed).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Retrieve real CAQH document files — not just structured data.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Agentic AI: Phase 0 foundation + 2 pilot agents (human-in-the-loop).</w:t>
      </w:r>
    </w:p>
    <w:p>
      <w:r>
        <w:rPr>
          <w:rFonts w:ascii="Calibri" w:hAnsi="Calibri"/>
          <w:b/>
          <w:i w:val="0"/>
          <w:color w:val="0057B8"/>
          <w:sz w:val="22"/>
        </w:rPr>
        <w:t>How we'll build it (high-level TDD)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Shared tile + session framework across all flows (autosave, resume-anywhere).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CAQH document API to Salesforce Files + audit linkage.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Einstein Trust Layer, RAG grounding, human-in-loop, and an eval harness.</w:t>
      </w:r>
    </w:p>
    <w:p>
      <w:pPr>
        <w:spacing w:after="40"/>
      </w:pPr>
      <w:r>
        <w:rPr>
          <w:rFonts w:ascii="Calibri" w:hAnsi="Calibri"/>
          <w:b/>
          <w:i w:val="0"/>
          <w:color w:val="990000"/>
          <w:sz w:val="21"/>
        </w:rPr>
        <w:t xml:space="preserve">Top risk:  </w:t>
      </w:r>
      <w:r>
        <w:rPr>
          <w:rFonts w:ascii="Calibri" w:hAnsi="Calibri"/>
          <w:b w:val="0"/>
          <w:i w:val="0"/>
          <w:sz w:val="21"/>
        </w:rPr>
        <w:t>This is a multi-team program, not one feature — the wider credentialing family is 45 OmniScripts / 304 steps, so the '5 flows' boundary must be named before funding. CAQH connectivity already exists (44 CAQH Apex classes + a CAQH named credential); it is the document entitlement that is unverified.</w:t>
      </w:r>
    </w:p>
    <w:p>
      <w:pPr>
        <w:spacing w:after="200"/>
      </w:pPr>
      <w:r>
        <w:rPr>
          <w:rFonts w:ascii="Calibri" w:hAnsi="Calibri"/>
          <w:b/>
          <w:i w:val="0"/>
          <w:color w:val="00863F"/>
          <w:sz w:val="21"/>
        </w:rPr>
        <w:t xml:space="preserve">Reuse / dependency:  </w:t>
      </w:r>
      <w:r>
        <w:rPr>
          <w:rFonts w:ascii="Calibri" w:hAnsi="Calibri"/>
          <w:b w:val="0"/>
          <w:i w:val="0"/>
          <w:sz w:val="21"/>
        </w:rPr>
        <w:t>The tile framework is reused across all flows and by the mass-update grid (F7).</w:t>
      </w:r>
    </w:p>
    <w:p>
      <w:pPr>
        <w:spacing w:before="240" w:after="80"/>
      </w:pPr>
      <w:r>
        <w:rPr>
          <w:rFonts w:ascii="Calibri" w:hAnsi="Calibri"/>
          <w:b/>
          <w:i w:val="0"/>
          <w:color w:val="003087"/>
          <w:sz w:val="28"/>
        </w:rPr>
        <w:t>Priority 3 — Enhanced Case Management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FF0"/>
          <w:left w:val="single" w:sz="4" w:space="0" w:color="D0DFF0"/>
          <w:bottom w:val="single" w:sz="4" w:space="0" w:color="D0DFF0"/>
          <w:right w:val="single" w:sz="4" w:space="0" w:color="D0DFF0"/>
          <w:insideH w:val="single" w:sz="4" w:space="0" w:color="D0DFF0"/>
          <w:insideV w:val="single" w:sz="4" w:space="0" w:color="D0DFF0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8F0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7090"/>
                <w:sz w:val="16"/>
              </w:rPr>
              <w:t>T-SHIRT SIZE</w:t>
            </w:r>
          </w:p>
          <w:p>
            <w:r>
              <w:rPr>
                <w:rFonts w:ascii="Calibri" w:hAnsi="Calibri"/>
                <w:b/>
                <w:i w:val="0"/>
                <w:color w:val="0057B8"/>
                <w:sz w:val="22"/>
              </w:rPr>
              <w:t>L–XL</w:t>
            </w:r>
          </w:p>
        </w:tc>
        <w:tc>
          <w:tcPr>
            <w:tcW w:type="dxa" w:w="4824"/>
            <w:shd w:val="clear" w:color="auto" w:fill="E8F0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7090"/>
                <w:sz w:val="16"/>
              </w:rPr>
              <w:t>CONFIDENCE</w:t>
            </w:r>
          </w:p>
          <w:p>
            <w:r>
              <w:rPr>
                <w:rFonts w:ascii="Calibri" w:hAnsi="Calibri"/>
                <w:b/>
                <w:i w:val="0"/>
                <w:color w:val="C05A00"/>
                <w:sz w:val="22"/>
              </w:rPr>
              <w:t>Medium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1"/>
        </w:rPr>
      </w:r>
    </w:p>
    <w:p>
      <w:r>
        <w:rPr>
          <w:rFonts w:ascii="Calibri" w:hAnsi="Calibri"/>
          <w:b/>
          <w:i w:val="0"/>
          <w:color w:val="00863F"/>
          <w:sz w:val="22"/>
        </w:rPr>
        <w:t>What we're delivering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Smart + configurable case routing and assignment.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Fix the duplicate-QC-case defect; fix queue &amp; owner-change permissions.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Exception / hold tracking + in-case tracker, worklists, and SLA aging.</w:t>
      </w:r>
    </w:p>
    <w:p>
      <w:r>
        <w:rPr>
          <w:rFonts w:ascii="Calibri" w:hAnsi="Calibri"/>
          <w:b/>
          <w:i w:val="0"/>
          <w:color w:val="0057B8"/>
          <w:sz w:val="22"/>
        </w:rPr>
        <w:t>How we'll build it (high-level TDD)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Idempotent case creation to kill duplicates; skill + workload assignment engine.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Hold / exception model with reason codes and re-entry rules.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SLA aging alerts + supervisor worklist views.</w:t>
      </w:r>
    </w:p>
    <w:p>
      <w:pPr>
        <w:spacing w:after="40"/>
      </w:pPr>
      <w:r>
        <w:rPr>
          <w:rFonts w:ascii="Calibri" w:hAnsi="Calibri"/>
          <w:b/>
          <w:i w:val="0"/>
          <w:color w:val="990000"/>
          <w:sz w:val="21"/>
        </w:rPr>
        <w:t xml:space="preserve">Top risk:  </w:t>
      </w:r>
      <w:r>
        <w:rPr>
          <w:rFonts w:ascii="Calibri" w:hAnsi="Calibri"/>
          <w:b w:val="0"/>
          <w:i w:val="0"/>
          <w:sz w:val="21"/>
        </w:rPr>
        <w:t>Touches the shared review IP write path — meaningful regression surface across credentialing. There are 14 queues but zero assignment rules today, so all routing is code-driven and the configurable engine is genuinely net-new.</w:t>
      </w:r>
    </w:p>
    <w:p>
      <w:pPr>
        <w:spacing w:after="200"/>
      </w:pPr>
      <w:r>
        <w:rPr>
          <w:rFonts w:ascii="Calibri" w:hAnsi="Calibri"/>
          <w:b/>
          <w:i w:val="0"/>
          <w:color w:val="00863F"/>
          <w:sz w:val="21"/>
        </w:rPr>
        <w:t xml:space="preserve">Reuse / dependency:  </w:t>
      </w:r>
      <w:r>
        <w:rPr>
          <w:rFonts w:ascii="Calibri" w:hAnsi="Calibri"/>
          <w:b w:val="0"/>
          <w:i w:val="0"/>
          <w:sz w:val="21"/>
        </w:rPr>
        <w:t>Routing &amp; worklists are reused by F5 (shared views) and F6 (leadership inventory).</w:t>
      </w:r>
    </w:p>
    <w:p>
      <w:pPr>
        <w:spacing w:before="240" w:after="80"/>
      </w:pPr>
      <w:r>
        <w:rPr>
          <w:rFonts w:ascii="Calibri" w:hAnsi="Calibri"/>
          <w:b/>
          <w:i w:val="0"/>
          <w:color w:val="003087"/>
          <w:sz w:val="28"/>
        </w:rPr>
        <w:t>Priority 4 — Full Provider Data Versioning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FF0"/>
          <w:left w:val="single" w:sz="4" w:space="0" w:color="D0DFF0"/>
          <w:bottom w:val="single" w:sz="4" w:space="0" w:color="D0DFF0"/>
          <w:right w:val="single" w:sz="4" w:space="0" w:color="D0DFF0"/>
          <w:insideH w:val="single" w:sz="4" w:space="0" w:color="D0DFF0"/>
          <w:insideV w:val="single" w:sz="4" w:space="0" w:color="D0DFF0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8F0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7090"/>
                <w:sz w:val="16"/>
              </w:rPr>
              <w:t>T-SHIRT SIZE</w:t>
            </w:r>
          </w:p>
          <w:p>
            <w:r>
              <w:rPr>
                <w:rFonts w:ascii="Calibri" w:hAnsi="Calibri"/>
                <w:b/>
                <w:i w:val="0"/>
                <w:color w:val="0057B8"/>
                <w:sz w:val="22"/>
              </w:rPr>
              <w:t>XXL</w:t>
            </w:r>
          </w:p>
        </w:tc>
        <w:tc>
          <w:tcPr>
            <w:tcW w:type="dxa" w:w="4824"/>
            <w:shd w:val="clear" w:color="auto" w:fill="E8F0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7090"/>
                <w:sz w:val="16"/>
              </w:rPr>
              <w:t>CONFIDENCE</w:t>
            </w:r>
          </w:p>
          <w:p>
            <w:r>
              <w:rPr>
                <w:rFonts w:ascii="Calibri" w:hAnsi="Calibri"/>
                <w:b/>
                <w:i w:val="0"/>
                <w:color w:val="C05A00"/>
                <w:sz w:val="22"/>
              </w:rPr>
              <w:t>Medium (High Risk)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1"/>
        </w:rPr>
      </w:r>
    </w:p>
    <w:p>
      <w:r>
        <w:rPr>
          <w:rFonts w:ascii="Calibri" w:hAnsi="Calibri"/>
          <w:b/>
          <w:i w:val="0"/>
          <w:color w:val="00863F"/>
          <w:sz w:val="22"/>
        </w:rPr>
        <w:t>What we're delivering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Effective-dated versioning across the 42 provider objects that are actually written today (the earlier '~30' undercounted).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Drivers: compliance, point-in-time history, future &amp; back-dated changes.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Pinned-current model with version-up / version-down.</w:t>
      </w:r>
    </w:p>
    <w:p>
      <w:r>
        <w:rPr>
          <w:rFonts w:ascii="Calibri" w:hAnsi="Calibri"/>
          <w:b/>
          <w:i w:val="0"/>
          <w:color w:val="0057B8"/>
          <w:sz w:val="22"/>
        </w:rPr>
        <w:t>How we'll build it (high-level TDD)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Version state-machine: pinned-current + version down/up + back-date + natural-key error-out.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Point-in-time query API. Phase by tier: Tier 1 = the 14 highest-traffic objects, which carry ~80% of the write path.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Heavy regression harness to protect existing write paths. A partial head start exists — 596 fields are already history-tracked across 53 objects.</w:t>
      </w:r>
    </w:p>
    <w:p>
      <w:pPr>
        <w:spacing w:after="40"/>
      </w:pPr>
      <w:r>
        <w:rPr>
          <w:rFonts w:ascii="Calibri" w:hAnsi="Calibri"/>
          <w:b/>
          <w:i w:val="0"/>
          <w:color w:val="990000"/>
          <w:sz w:val="21"/>
        </w:rPr>
        <w:t xml:space="preserve">Top risk:  </w:t>
      </w:r>
      <w:r>
        <w:rPr>
          <w:rFonts w:ascii="Calibri" w:hAnsi="Calibri"/>
          <w:b w:val="0"/>
          <w:i w:val="0"/>
          <w:sz w:val="21"/>
        </w:rPr>
        <w:t>Regression blast radius measured at 478 write-path Load DataMappers and 236 DML-performing Apex classes across 42 objects — larger than previously stated. 7 business pre-conditions remain open. Strongly recommend funding Tier 1 only in 2027.</w:t>
      </w:r>
    </w:p>
    <w:p>
      <w:pPr>
        <w:spacing w:after="200"/>
      </w:pPr>
      <w:r>
        <w:rPr>
          <w:rFonts w:ascii="Calibri" w:hAnsi="Calibri"/>
          <w:b/>
          <w:i w:val="0"/>
          <w:color w:val="00863F"/>
          <w:sz w:val="21"/>
        </w:rPr>
        <w:t xml:space="preserve">Reuse / dependency:  </w:t>
      </w:r>
      <w:r>
        <w:rPr>
          <w:rFonts w:ascii="Calibri" w:hAnsi="Calibri"/>
          <w:b w:val="0"/>
          <w:i w:val="0"/>
          <w:sz w:val="21"/>
        </w:rPr>
        <w:t>The versioned write model underpins F5 (no re-entry), F6 (history feeds), and F8 (terminations).</w:t>
      </w:r>
    </w:p>
    <w:p>
      <w:pPr>
        <w:spacing w:before="240" w:after="80"/>
      </w:pPr>
      <w:r>
        <w:rPr>
          <w:rFonts w:ascii="Calibri" w:hAnsi="Calibri"/>
          <w:b/>
          <w:i w:val="0"/>
          <w:color w:val="003087"/>
          <w:sz w:val="28"/>
        </w:rPr>
        <w:t>Priority 5 — Cred + PDM Integration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FF0"/>
          <w:left w:val="single" w:sz="4" w:space="0" w:color="D0DFF0"/>
          <w:bottom w:val="single" w:sz="4" w:space="0" w:color="D0DFF0"/>
          <w:right w:val="single" w:sz="4" w:space="0" w:color="D0DFF0"/>
          <w:insideH w:val="single" w:sz="4" w:space="0" w:color="D0DFF0"/>
          <w:insideV w:val="single" w:sz="4" w:space="0" w:color="D0DFF0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8F0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7090"/>
                <w:sz w:val="16"/>
              </w:rPr>
              <w:t>T-SHIRT SIZE</w:t>
            </w:r>
          </w:p>
          <w:p>
            <w:r>
              <w:rPr>
                <w:rFonts w:ascii="Calibri" w:hAnsi="Calibri"/>
                <w:b/>
                <w:i w:val="0"/>
                <w:color w:val="0057B8"/>
                <w:sz w:val="22"/>
              </w:rPr>
              <w:t>L</w:t>
            </w:r>
          </w:p>
        </w:tc>
        <w:tc>
          <w:tcPr>
            <w:tcW w:type="dxa" w:w="4824"/>
            <w:shd w:val="clear" w:color="auto" w:fill="E8F0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7090"/>
                <w:sz w:val="16"/>
              </w:rPr>
              <w:t>CONFIDENCE</w:t>
            </w:r>
          </w:p>
          <w:p>
            <w:r>
              <w:rPr>
                <w:rFonts w:ascii="Calibri" w:hAnsi="Calibri"/>
                <w:b/>
                <w:i w:val="0"/>
                <w:color w:val="C05A00"/>
                <w:sz w:val="22"/>
              </w:rPr>
              <w:t>Medium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1"/>
        </w:rPr>
      </w:r>
    </w:p>
    <w:p>
      <w:r>
        <w:rPr>
          <w:rFonts w:ascii="Calibri" w:hAnsi="Calibri"/>
          <w:b/>
          <w:i w:val="0"/>
          <w:color w:val="00863F"/>
          <w:sz w:val="22"/>
        </w:rPr>
        <w:t>What we're delivering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Automated cred to PDM handoff — no manual re-entry.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Shared cross-team views + a unified data model.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One-way direction; covers ReCred + Initial Cred.</w:t>
      </w:r>
    </w:p>
    <w:p>
      <w:r>
        <w:rPr>
          <w:rFonts w:ascii="Calibri" w:hAnsi="Calibri"/>
          <w:b/>
          <w:i w:val="0"/>
          <w:color w:val="0057B8"/>
          <w:sz w:val="22"/>
        </w:rPr>
        <w:t>How we'll build it (high-level TDD)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Generalize RCAT eligibility to PDM push.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Cross-team worklist + shared record views.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Cred to PDM field mapping + de-duplication.</w:t>
      </w:r>
    </w:p>
    <w:p>
      <w:pPr>
        <w:spacing w:after="40"/>
      </w:pPr>
      <w:r>
        <w:rPr>
          <w:rFonts w:ascii="Calibri" w:hAnsi="Calibri"/>
          <w:b/>
          <w:i w:val="0"/>
          <w:color w:val="990000"/>
          <w:sz w:val="21"/>
        </w:rPr>
        <w:t xml:space="preserve">Top risk:  </w:t>
      </w:r>
      <w:r>
        <w:rPr>
          <w:rFonts w:ascii="Calibri" w:hAnsi="Calibri"/>
          <w:b w:val="0"/>
          <w:i w:val="0"/>
          <w:sz w:val="21"/>
        </w:rPr>
        <w:t>Overlaps F3 &amp; F4 — booked net-new to avoid double-counting shared foundations.</w:t>
      </w:r>
    </w:p>
    <w:p>
      <w:pPr>
        <w:spacing w:after="200"/>
      </w:pPr>
      <w:r>
        <w:rPr>
          <w:rFonts w:ascii="Calibri" w:hAnsi="Calibri"/>
          <w:b/>
          <w:i w:val="0"/>
          <w:color w:val="00863F"/>
          <w:sz w:val="21"/>
        </w:rPr>
        <w:t xml:space="preserve">Reuse / dependency:  </w:t>
      </w:r>
      <w:r>
        <w:rPr>
          <w:rFonts w:ascii="Calibri" w:hAnsi="Calibri"/>
          <w:b w:val="0"/>
          <w:i w:val="0"/>
          <w:sz w:val="21"/>
        </w:rPr>
        <w:t>Builds directly on F3 worklists and the F4 versioned model. Sequence after both.</w:t>
      </w:r>
    </w:p>
    <w:p>
      <w:pPr>
        <w:spacing w:before="240" w:after="80"/>
      </w:pPr>
      <w:r>
        <w:rPr>
          <w:rFonts w:ascii="Calibri" w:hAnsi="Calibri"/>
          <w:b/>
          <w:i w:val="0"/>
          <w:color w:val="003087"/>
          <w:sz w:val="28"/>
        </w:rPr>
        <w:t>Priority 6 — Inventory Management &amp; Reporting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FF0"/>
          <w:left w:val="single" w:sz="4" w:space="0" w:color="D0DFF0"/>
          <w:bottom w:val="single" w:sz="4" w:space="0" w:color="D0DFF0"/>
          <w:right w:val="single" w:sz="4" w:space="0" w:color="D0DFF0"/>
          <w:insideH w:val="single" w:sz="4" w:space="0" w:color="D0DFF0"/>
          <w:insideV w:val="single" w:sz="4" w:space="0" w:color="D0DFF0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8F0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7090"/>
                <w:sz w:val="16"/>
              </w:rPr>
              <w:t>T-SHIRT SIZE</w:t>
            </w:r>
          </w:p>
          <w:p>
            <w:r>
              <w:rPr>
                <w:rFonts w:ascii="Calibri" w:hAnsi="Calibri"/>
                <w:b/>
                <w:i w:val="0"/>
                <w:color w:val="0057B8"/>
                <w:sz w:val="22"/>
              </w:rPr>
              <w:t>L–XL</w:t>
            </w:r>
          </w:p>
        </w:tc>
        <w:tc>
          <w:tcPr>
            <w:tcW w:type="dxa" w:w="4824"/>
            <w:shd w:val="clear" w:color="auto" w:fill="E8F0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7090"/>
                <w:sz w:val="16"/>
              </w:rPr>
              <w:t>CONFIDENCE</w:t>
            </w:r>
          </w:p>
          <w:p>
            <w:r>
              <w:rPr>
                <w:rFonts w:ascii="Calibri" w:hAnsi="Calibri"/>
                <w:b/>
                <w:i w:val="0"/>
                <w:color w:val="C05A00"/>
                <w:sz w:val="22"/>
              </w:rPr>
              <w:t>Low–Medium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1"/>
        </w:rPr>
      </w:r>
    </w:p>
    <w:p>
      <w:r>
        <w:rPr>
          <w:rFonts w:ascii="Calibri" w:hAnsi="Calibri"/>
          <w:b/>
          <w:i w:val="0"/>
          <w:color w:val="00863F"/>
          <w:sz w:val="22"/>
        </w:rPr>
        <w:t>What we're delivering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OOTB reports + dashboards for leadership and operations.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Integrity / operational feed automation.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Work-inventory &amp; backlog visibility for leadership.</w:t>
      </w:r>
    </w:p>
    <w:p>
      <w:r>
        <w:rPr>
          <w:rFonts w:ascii="Calibri" w:hAnsi="Calibri"/>
          <w:b/>
          <w:i w:val="0"/>
          <w:color w:val="0057B8"/>
          <w:sz w:val="22"/>
        </w:rPr>
        <w:t>How we'll build it (high-level TDD)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Field-change extract engine for granular deltas.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Per-feed parity validation against source systems.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Throughput / backlog / aging dashboards.</w:t>
      </w:r>
    </w:p>
    <w:p>
      <w:pPr>
        <w:spacing w:after="40"/>
      </w:pPr>
      <w:r>
        <w:rPr>
          <w:rFonts w:ascii="Calibri" w:hAnsi="Calibri"/>
          <w:b/>
          <w:i w:val="0"/>
          <w:color w:val="990000"/>
          <w:sz w:val="21"/>
        </w:rPr>
        <w:t xml:space="preserve">Top risk:  </w:t>
      </w:r>
      <w:r>
        <w:rPr>
          <w:rFonts w:ascii="Calibri" w:hAnsi="Calibri"/>
          <w:b w:val="0"/>
          <w:i w:val="0"/>
          <w:sz w:val="21"/>
        </w:rPr>
        <w:t>The integrity-feed count is unknown — a discovery inventory gates the upper end of the range. Reporting is near-greenfield today (5 reports and 1 dashboard exist), though 45 report types give a usable foundation.</w:t>
      </w:r>
    </w:p>
    <w:p>
      <w:pPr>
        <w:spacing w:after="200"/>
      </w:pPr>
      <w:r>
        <w:rPr>
          <w:rFonts w:ascii="Calibri" w:hAnsi="Calibri"/>
          <w:b/>
          <w:i w:val="0"/>
          <w:color w:val="00863F"/>
          <w:sz w:val="21"/>
        </w:rPr>
        <w:t xml:space="preserve">Reuse / dependency:  </w:t>
      </w:r>
      <w:r>
        <w:rPr>
          <w:rFonts w:ascii="Calibri" w:hAnsi="Calibri"/>
          <w:b w:val="0"/>
          <w:i w:val="0"/>
          <w:sz w:val="21"/>
        </w:rPr>
        <w:t>Field-history source comes from F4; worklists / inventory from F3.</w:t>
      </w:r>
    </w:p>
    <w:p>
      <w:pPr>
        <w:spacing w:before="240" w:after="80"/>
      </w:pPr>
      <w:r>
        <w:rPr>
          <w:rFonts w:ascii="Calibri" w:hAnsi="Calibri"/>
          <w:b/>
          <w:i w:val="0"/>
          <w:color w:val="003087"/>
          <w:sz w:val="28"/>
        </w:rPr>
        <w:t>Priority 7 — Mass Data Load Capabilities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FF0"/>
          <w:left w:val="single" w:sz="4" w:space="0" w:color="D0DFF0"/>
          <w:bottom w:val="single" w:sz="4" w:space="0" w:color="D0DFF0"/>
          <w:right w:val="single" w:sz="4" w:space="0" w:color="D0DFF0"/>
          <w:insideH w:val="single" w:sz="4" w:space="0" w:color="D0DFF0"/>
          <w:insideV w:val="single" w:sz="4" w:space="0" w:color="D0DFF0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8F0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7090"/>
                <w:sz w:val="16"/>
              </w:rPr>
              <w:t>T-SHIRT SIZE</w:t>
            </w:r>
          </w:p>
          <w:p>
            <w:r>
              <w:rPr>
                <w:rFonts w:ascii="Calibri" w:hAnsi="Calibri"/>
                <w:b/>
                <w:i w:val="0"/>
                <w:color w:val="0057B8"/>
                <w:sz w:val="22"/>
              </w:rPr>
              <w:t>XXL</w:t>
            </w:r>
          </w:p>
        </w:tc>
        <w:tc>
          <w:tcPr>
            <w:tcW w:type="dxa" w:w="4824"/>
            <w:shd w:val="clear" w:color="auto" w:fill="E8F0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7090"/>
                <w:sz w:val="16"/>
              </w:rPr>
              <w:t>CONFIDENCE</w:t>
            </w:r>
          </w:p>
          <w:p>
            <w:r>
              <w:rPr>
                <w:rFonts w:ascii="Calibri" w:hAnsi="Calibri"/>
                <w:b/>
                <w:i w:val="0"/>
                <w:color w:val="C05A00"/>
                <w:sz w:val="22"/>
              </w:rPr>
              <w:t>Medium (Foundational)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1"/>
        </w:rPr>
      </w:r>
    </w:p>
    <w:p>
      <w:r>
        <w:rPr>
          <w:rFonts w:ascii="Calibri" w:hAnsi="Calibri"/>
          <w:b/>
          <w:i w:val="0"/>
          <w:color w:val="00863F"/>
          <w:sz w:val="22"/>
        </w:rPr>
        <w:t>What we're delivering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Build the reusable async mass-load engine.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Refactor 3 high-volume flows onto the engine.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7+ distinct mass operations (CSV / bulk + QC routing).</w:t>
      </w:r>
    </w:p>
    <w:p>
      <w:r>
        <w:rPr>
          <w:rFonts w:ascii="Calibri" w:hAnsi="Calibri"/>
          <w:b/>
          <w:i w:val="0"/>
          <w:color w:val="0057B8"/>
          <w:sz w:val="22"/>
        </w:rPr>
        <w:t>How we'll build it (high-level TDD)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PRM_AsyncJob engine: orchestrator, batch, dead-letter queue, progress LWC.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Per-operation: payload validator + batch + QC routing.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Metadata-driven sequencing, halt-on-failure, and retry.</w:t>
      </w:r>
    </w:p>
    <w:p>
      <w:pPr>
        <w:spacing w:after="40"/>
      </w:pPr>
      <w:r>
        <w:rPr>
          <w:rFonts w:ascii="Calibri" w:hAnsi="Calibri"/>
          <w:b/>
          <w:i w:val="0"/>
          <w:color w:val="990000"/>
          <w:sz w:val="21"/>
        </w:rPr>
        <w:t xml:space="preserve">Top risk:  </w:t>
      </w:r>
      <w:r>
        <w:rPr>
          <w:rFonts w:ascii="Calibri" w:hAnsi="Calibri"/>
          <w:b w:val="0"/>
          <w:i w:val="0"/>
          <w:sz w:val="21"/>
        </w:rPr>
        <w:t>Engine is confirmed not built (the async job objects do not exist), though there is a head start: the service base and utility classes are deployed, the async constants are already defined, and 71 batch classes exist as precedent. The number of operations dominates effort — confirm the exact 7+ list.</w:t>
      </w:r>
    </w:p>
    <w:p>
      <w:pPr>
        <w:spacing w:after="200"/>
      </w:pPr>
      <w:r>
        <w:rPr>
          <w:rFonts w:ascii="Calibri" w:hAnsi="Calibri"/>
          <w:b/>
          <w:i w:val="0"/>
          <w:color w:val="00863F"/>
          <w:sz w:val="21"/>
        </w:rPr>
        <w:t xml:space="preserve">Reuse / dependency:  </w:t>
      </w:r>
      <w:r>
        <w:rPr>
          <w:rFonts w:ascii="Calibri" w:hAnsi="Calibri"/>
          <w:b w:val="0"/>
          <w:i w:val="0"/>
          <w:sz w:val="21"/>
        </w:rPr>
        <w:t>The engine is consumed by F1, F5, and F8. Build this first.</w:t>
      </w:r>
    </w:p>
    <w:p>
      <w:pPr>
        <w:spacing w:before="240" w:after="80"/>
      </w:pPr>
      <w:r>
        <w:rPr>
          <w:rFonts w:ascii="Calibri" w:hAnsi="Calibri"/>
          <w:b/>
          <w:i w:val="0"/>
          <w:color w:val="003087"/>
          <w:sz w:val="28"/>
        </w:rPr>
        <w:t>Priority 8 — Lexis Nexis Integration + Compliance Mandates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FF0"/>
          <w:left w:val="single" w:sz="4" w:space="0" w:color="D0DFF0"/>
          <w:bottom w:val="single" w:sz="4" w:space="0" w:color="D0DFF0"/>
          <w:right w:val="single" w:sz="4" w:space="0" w:color="D0DFF0"/>
          <w:insideH w:val="single" w:sz="4" w:space="0" w:color="D0DFF0"/>
          <w:insideV w:val="single" w:sz="4" w:space="0" w:color="D0DFF0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8F0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7090"/>
                <w:sz w:val="16"/>
              </w:rPr>
              <w:t>T-SHIRT SIZE</w:t>
            </w:r>
          </w:p>
          <w:p>
            <w:r>
              <w:rPr>
                <w:rFonts w:ascii="Calibri" w:hAnsi="Calibri"/>
                <w:b/>
                <w:i w:val="0"/>
                <w:color w:val="0057B8"/>
                <w:sz w:val="22"/>
              </w:rPr>
              <w:t>XL</w:t>
            </w:r>
          </w:p>
        </w:tc>
        <w:tc>
          <w:tcPr>
            <w:tcW w:type="dxa" w:w="4824"/>
            <w:shd w:val="clear" w:color="auto" w:fill="E8F0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7090"/>
                <w:sz w:val="16"/>
              </w:rPr>
              <w:t>CONFIDENCE</w:t>
            </w:r>
          </w:p>
          <w:p>
            <w:r>
              <w:rPr>
                <w:rFonts w:ascii="Calibri" w:hAnsi="Calibri"/>
                <w:b/>
                <w:i w:val="0"/>
                <w:color w:val="C05A00"/>
                <w:sz w:val="22"/>
              </w:rPr>
              <w:t>LN Med / Compliance Low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1"/>
        </w:rPr>
      </w:r>
    </w:p>
    <w:p>
      <w:r>
        <w:rPr>
          <w:rFonts w:ascii="Calibri" w:hAnsi="Calibri"/>
          <w:b/>
          <w:i w:val="0"/>
          <w:color w:val="00863F"/>
          <w:sz w:val="22"/>
        </w:rPr>
        <w:t>What we're delivering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LexisNexis inbound: phone update, directory suppression.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Practitioner terminations + roster attestation.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Compliance mandates: a discovery spike + reserved envelope.</w:t>
      </w:r>
    </w:p>
    <w:p>
      <w:r>
        <w:rPr>
          <w:rFonts w:ascii="Calibri" w:hAnsi="Calibri"/>
          <w:b/>
          <w:i w:val="0"/>
          <w:color w:val="0057B8"/>
          <w:sz w:val="22"/>
        </w:rPr>
        <w:t>How we'll build it (high-level TDD)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Reuse PRM_AsyncProcess staging to Platform Event to batch to outbound.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Termination cascade (Full / Non-Par / Last-Man-Standing).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Compliance sized after the discovery spike.</w:t>
      </w:r>
    </w:p>
    <w:p>
      <w:pPr>
        <w:spacing w:after="40"/>
      </w:pPr>
      <w:r>
        <w:rPr>
          <w:rFonts w:ascii="Calibri" w:hAnsi="Calibri"/>
          <w:b/>
          <w:i w:val="0"/>
          <w:color w:val="990000"/>
          <w:sz w:val="21"/>
        </w:rPr>
        <w:t xml:space="preserve">Top risk:  </w:t>
      </w:r>
      <w:r>
        <w:rPr>
          <w:rFonts w:ascii="Calibri" w:hAnsi="Calibri"/>
          <w:b w:val="0"/>
          <w:i w:val="0"/>
          <w:sz w:val="21"/>
        </w:rPr>
        <w:t>The termination cascade is a large hidden chunk; compliance scope is undefined until the spike. A LexisNexis feature toggle is already wired into 10 Integration Procedures in the address / PAR pipeline, but no LexisNexis credential exists — so the API call itself is still net-new.</w:t>
      </w:r>
    </w:p>
    <w:p>
      <w:pPr>
        <w:spacing w:after="200"/>
      </w:pPr>
      <w:r>
        <w:rPr>
          <w:rFonts w:ascii="Calibri" w:hAnsi="Calibri"/>
          <w:b/>
          <w:i w:val="0"/>
          <w:color w:val="00863F"/>
          <w:sz w:val="21"/>
        </w:rPr>
        <w:t xml:space="preserve">Reuse / dependency:  </w:t>
      </w:r>
      <w:r>
        <w:rPr>
          <w:rFonts w:ascii="Calibri" w:hAnsi="Calibri"/>
          <w:b w:val="0"/>
          <w:i w:val="0"/>
          <w:sz w:val="21"/>
        </w:rPr>
        <w:t>Uses the F4 versioned model for terminations and the F7 async engine for feeds.</w:t>
      </w:r>
    </w:p>
    <w:p>
      <w:pPr>
        <w:spacing w:before="240" w:after="80"/>
      </w:pPr>
      <w:r>
        <w:rPr>
          <w:rFonts w:ascii="Calibri" w:hAnsi="Calibri"/>
          <w:b/>
          <w:i w:val="0"/>
          <w:color w:val="003087"/>
          <w:sz w:val="28"/>
        </w:rPr>
        <w:t>Priority 9 — System Stabilization &amp; Technical Debt Reduction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FF0"/>
          <w:left w:val="single" w:sz="4" w:space="0" w:color="D0DFF0"/>
          <w:bottom w:val="single" w:sz="4" w:space="0" w:color="D0DFF0"/>
          <w:right w:val="single" w:sz="4" w:space="0" w:color="D0DFF0"/>
          <w:insideH w:val="single" w:sz="4" w:space="0" w:color="D0DFF0"/>
          <w:insideV w:val="single" w:sz="4" w:space="0" w:color="D0DFF0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8F0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7090"/>
                <w:sz w:val="16"/>
              </w:rPr>
              <w:t>T-SHIRT SIZE</w:t>
            </w:r>
          </w:p>
          <w:p>
            <w:r>
              <w:rPr>
                <w:rFonts w:ascii="Calibri" w:hAnsi="Calibri"/>
                <w:b/>
                <w:i w:val="0"/>
                <w:color w:val="0057B8"/>
                <w:sz w:val="22"/>
              </w:rPr>
              <w:t>L–XL</w:t>
            </w:r>
          </w:p>
        </w:tc>
        <w:tc>
          <w:tcPr>
            <w:tcW w:type="dxa" w:w="4824"/>
            <w:shd w:val="clear" w:color="auto" w:fill="E8F0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7090"/>
                <w:sz w:val="16"/>
              </w:rPr>
              <w:t>CONFIDENCE</w:t>
            </w:r>
          </w:p>
          <w:p>
            <w:r>
              <w:rPr>
                <w:rFonts w:ascii="Calibri" w:hAnsi="Calibri"/>
                <w:b/>
                <w:i w:val="0"/>
                <w:color w:val="C05A00"/>
                <w:sz w:val="22"/>
              </w:rPr>
              <w:t>Medium (Continuous)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1"/>
        </w:rPr>
      </w:r>
    </w:p>
    <w:p>
      <w:r>
        <w:rPr>
          <w:rFonts w:ascii="Calibri" w:hAnsi="Calibri"/>
          <w:b/>
          <w:i w:val="0"/>
          <w:color w:val="00863F"/>
          <w:sz w:val="22"/>
        </w:rPr>
        <w:t>What we're delivering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Burn down ~40 documented defects / debt items / manual data scripts.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Reserve a ~15–20% annual capacity envelope.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Root-cause fixes for recurring failure classes.</w:t>
      </w:r>
    </w:p>
    <w:p>
      <w:r>
        <w:rPr>
          <w:rFonts w:ascii="Calibri" w:hAnsi="Calibri"/>
          <w:b/>
          <w:i w:val="0"/>
          <w:color w:val="0057B8"/>
          <w:sz w:val="22"/>
        </w:rPr>
        <w:t>How we'll build it (high-level TDD)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Triage &amp; register; prioritized burn-down.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Regression tests around every fix.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Exclude items owned by F3 / F4 / F7 to avoid double-counting.</w:t>
      </w:r>
    </w:p>
    <w:p>
      <w:pPr>
        <w:spacing w:after="40"/>
      </w:pPr>
      <w:r>
        <w:rPr>
          <w:rFonts w:ascii="Calibri" w:hAnsi="Calibri"/>
          <w:b/>
          <w:i w:val="0"/>
          <w:color w:val="990000"/>
          <w:sz w:val="21"/>
        </w:rPr>
        <w:t xml:space="preserve">Top risk:  </w:t>
      </w:r>
      <w:r>
        <w:rPr>
          <w:rFonts w:ascii="Calibri" w:hAnsi="Calibri"/>
          <w:b w:val="0"/>
          <w:i w:val="0"/>
          <w:sz w:val="21"/>
        </w:rPr>
        <w:t>A continuous cost that competes directly with feature capacity — must be reserved, not assumed.</w:t>
      </w:r>
    </w:p>
    <w:p>
      <w:pPr>
        <w:spacing w:after="200"/>
      </w:pPr>
      <w:r>
        <w:rPr>
          <w:rFonts w:ascii="Calibri" w:hAnsi="Calibri"/>
          <w:b/>
          <w:i w:val="0"/>
          <w:color w:val="00863F"/>
          <w:sz w:val="21"/>
        </w:rPr>
        <w:t xml:space="preserve">Reuse / dependency:  </w:t>
      </w:r>
      <w:r>
        <w:rPr>
          <w:rFonts w:ascii="Calibri" w:hAnsi="Calibri"/>
          <w:b w:val="0"/>
          <w:i w:val="0"/>
          <w:sz w:val="21"/>
        </w:rPr>
        <w:t>Runs across all four quarters alongside every other workstream.</w:t>
      </w:r>
    </w:p>
    <w:p>
      <w:pPr>
        <w:spacing w:before="240" w:after="80"/>
      </w:pPr>
      <w:r>
        <w:rPr>
          <w:rFonts w:ascii="Calibri" w:hAnsi="Calibri"/>
          <w:b/>
          <w:i w:val="0"/>
          <w:color w:val="003087"/>
          <w:sz w:val="28"/>
        </w:rPr>
        <w:t>Priority 10 — Re-Cred PSV Add/Remove Location → Auto-Route to PDM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FF0"/>
          <w:left w:val="single" w:sz="4" w:space="0" w:color="D0DFF0"/>
          <w:bottom w:val="single" w:sz="4" w:space="0" w:color="D0DFF0"/>
          <w:right w:val="single" w:sz="4" w:space="0" w:color="D0DFF0"/>
          <w:insideH w:val="single" w:sz="4" w:space="0" w:color="D0DFF0"/>
          <w:insideV w:val="single" w:sz="4" w:space="0" w:color="D0DFF0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8F0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7090"/>
                <w:sz w:val="16"/>
              </w:rPr>
              <w:t>T-SHIRT SIZE</w:t>
            </w:r>
          </w:p>
          <w:p>
            <w:r>
              <w:rPr>
                <w:rFonts w:ascii="Calibri" w:hAnsi="Calibri"/>
                <w:b/>
                <w:i w:val="0"/>
                <w:color w:val="0057B8"/>
                <w:sz w:val="22"/>
              </w:rPr>
              <w:t>XL</w:t>
            </w:r>
          </w:p>
        </w:tc>
        <w:tc>
          <w:tcPr>
            <w:tcW w:type="dxa" w:w="4824"/>
            <w:shd w:val="clear" w:color="auto" w:fill="E8F0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7090"/>
                <w:sz w:val="16"/>
              </w:rPr>
              <w:t>CONFIDENCE</w:t>
            </w:r>
          </w:p>
          <w:p>
            <w:r>
              <w:rPr>
                <w:rFonts w:ascii="Calibri" w:hAnsi="Calibri"/>
                <w:b/>
                <w:i w:val="0"/>
                <w:color w:val="C05A00"/>
                <w:sz w:val="22"/>
              </w:rPr>
              <w:t>Medium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1"/>
        </w:rPr>
      </w:r>
    </w:p>
    <w:p>
      <w:r>
        <w:rPr>
          <w:rFonts w:ascii="Calibri" w:hAnsi="Calibri"/>
          <w:b/>
          <w:i w:val="0"/>
          <w:color w:val="00863F"/>
          <w:sz w:val="22"/>
        </w:rPr>
        <w:t>What we're delivering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Re-enable add / remove of a practice location during the Re-Cred PSV process — today it is paused and the Re-Cred team emails PDM manually.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On a location change, automatically create and route a case to the PDM / Re-Cred PDA (RCAT) team — replacing the manual email.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Scope a location removal to the single affiliation being acted on, not every practitioner at the location.</w:t>
      </w:r>
    </w:p>
    <w:p>
      <w:r>
        <w:rPr>
          <w:rFonts w:ascii="Calibri" w:hAnsi="Calibri"/>
          <w:b/>
          <w:i w:val="0"/>
          <w:color w:val="0057B8"/>
          <w:sz w:val="22"/>
        </w:rPr>
        <w:t>How we'll build it (high-level TDD)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Deploy the async practice-location processor so high-volume CAQH location sets no longer time out (shares the F7 engine).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Fix the Re-Cred PDA Update P0 defects: location-removal mass-termination (Bug 1216121), QC Errors-Found table leak (Bug 1216120), and terminated-location 'Required Fields Missing'.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Route the location change to PDM via Case / Case Manager (RCAT pickup) and harden partial-write rollback so a mid-chain failure leaves no orphans.</w:t>
      </w:r>
    </w:p>
    <w:p>
      <w:pPr>
        <w:spacing w:after="40"/>
      </w:pPr>
      <w:r>
        <w:rPr>
          <w:rFonts w:ascii="Calibri" w:hAnsi="Calibri"/>
          <w:b/>
          <w:i w:val="0"/>
          <w:color w:val="990000"/>
          <w:sz w:val="21"/>
        </w:rPr>
        <w:t xml:space="preserve">Top risk:  </w:t>
      </w:r>
      <w:r>
        <w:rPr>
          <w:rFonts w:ascii="Calibri" w:hAnsi="Calibri"/>
          <w:b w:val="0"/>
          <w:i w:val="0"/>
          <w:sz w:val="21"/>
        </w:rPr>
        <w:t>Paused in production for high-volume timeouts and P0 data-integrity defects; a safe resume is gated on the async processor + defect fixes (per the 2026-06-08 readiness audit). Confirm the fixes are the active org versions before lifting the email-only hold.</w:t>
      </w:r>
    </w:p>
    <w:p>
      <w:pPr>
        <w:spacing w:after="200"/>
      </w:pPr>
      <w:r>
        <w:rPr>
          <w:rFonts w:ascii="Calibri" w:hAnsi="Calibri"/>
          <w:b/>
          <w:i w:val="0"/>
          <w:color w:val="00863F"/>
          <w:sz w:val="21"/>
        </w:rPr>
        <w:t xml:space="preserve">Reuse / dependency:  </w:t>
      </w:r>
      <w:r>
        <w:rPr>
          <w:rFonts w:ascii="Calibri" w:hAnsi="Calibri"/>
          <w:b w:val="0"/>
          <w:i w:val="0"/>
          <w:sz w:val="21"/>
        </w:rPr>
        <w:t>Async processor overlaps F7; effective-date / termination fixes overlap F4; QC case routing overlaps F3 — book largely net of those.</w:t>
      </w:r>
    </w:p>
    <w:p>
      <w:pPr>
        <w:spacing w:before="240" w:after="80"/>
      </w:pPr>
      <w:r>
        <w:rPr>
          <w:rFonts w:ascii="Calibri" w:hAnsi="Calibri"/>
          <w:b/>
          <w:i w:val="0"/>
          <w:color w:val="003087"/>
          <w:sz w:val="28"/>
        </w:rPr>
        <w:t>Priority 11 — FHNatic — Provider Forms External Portal Exposure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FF0"/>
          <w:left w:val="single" w:sz="4" w:space="0" w:color="D0DFF0"/>
          <w:bottom w:val="single" w:sz="4" w:space="0" w:color="D0DFF0"/>
          <w:right w:val="single" w:sz="4" w:space="0" w:color="D0DFF0"/>
          <w:insideH w:val="single" w:sz="4" w:space="0" w:color="D0DFF0"/>
          <w:insideV w:val="single" w:sz="4" w:space="0" w:color="D0DFF0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8F0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7090"/>
                <w:sz w:val="16"/>
              </w:rPr>
              <w:t>T-SHIRT SIZE</w:t>
            </w:r>
          </w:p>
          <w:p>
            <w:r>
              <w:rPr>
                <w:rFonts w:ascii="Calibri" w:hAnsi="Calibri"/>
                <w:b/>
                <w:i w:val="0"/>
                <w:color w:val="0057B8"/>
                <w:sz w:val="22"/>
              </w:rPr>
              <w:t>XL</w:t>
            </w:r>
          </w:p>
        </w:tc>
        <w:tc>
          <w:tcPr>
            <w:tcW w:type="dxa" w:w="4824"/>
            <w:shd w:val="clear" w:color="auto" w:fill="E8F0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7090"/>
                <w:sz w:val="16"/>
              </w:rPr>
              <w:t>CONFIDENCE</w:t>
            </w:r>
          </w:p>
          <w:p>
            <w:r>
              <w:rPr>
                <w:rFonts w:ascii="Calibri" w:hAnsi="Calibri"/>
                <w:b/>
                <w:i w:val="0"/>
                <w:color w:val="C05A00"/>
                <w:sz w:val="22"/>
              </w:rPr>
              <w:t>Low–Medium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1"/>
        </w:rPr>
      </w:r>
    </w:p>
    <w:p>
      <w:r>
        <w:rPr>
          <w:rFonts w:ascii="Calibri" w:hAnsi="Calibri"/>
          <w:b/>
          <w:i w:val="0"/>
          <w:color w:val="00863F"/>
          <w:sz w:val="22"/>
        </w:rPr>
        <w:t>What we're delivering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Expose four existing internal provider forms on the external provider portal for self-service: PAR Form, Non-Par Registration, Provider Change Request, and Ancillary Cred Guided Flow.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Providers submit their own requests directly instead of internal teams keying them in.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Per-form external UI/UX, data validation, portal integration, and security.</w:t>
      </w:r>
    </w:p>
    <w:p>
      <w:r>
        <w:rPr>
          <w:rFonts w:ascii="Calibri" w:hAnsi="Calibri"/>
          <w:b/>
          <w:i w:val="0"/>
          <w:color w:val="0057B8"/>
          <w:sz w:val="22"/>
        </w:rPr>
        <w:t>How we'll build it (high-level TDD)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Update and expose each existing internal guided flow externally — reuse, don't rebuild.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Make the ~17 custom components used by these four forms community-ready, then re-test each form in the external context.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External-user UI/UX adjustments, field validation, and community security / FLS per form.</w:t>
      </w:r>
    </w:p>
    <w:p>
      <w:pPr>
        <w:spacing w:after="40"/>
      </w:pPr>
      <w:r>
        <w:rPr>
          <w:rFonts w:ascii="Calibri" w:hAnsi="Calibri"/>
          <w:b/>
          <w:i w:val="0"/>
          <w:color w:val="990000"/>
          <w:sz w:val="21"/>
        </w:rPr>
        <w:t xml:space="preserve">Top risk:  </w:t>
      </w:r>
      <w:r>
        <w:rPr>
          <w:rFonts w:ascii="Calibri" w:hAnsi="Calibri"/>
          <w:b w:val="0"/>
          <w:i w:val="0"/>
          <w:sz w:val="21"/>
        </w:rPr>
        <w:t>Re-sized upward from the original 32–52 story points. The provider portal already exists, which helps — but only 15 of 192 custom components are community-enabled today, and these four forms are the highest-churn assets in the org (one is on version 117). Community enablement and regression on those components were not in the original per-form figure.</w:t>
      </w:r>
    </w:p>
    <w:p>
      <w:pPr>
        <w:spacing w:after="200"/>
      </w:pPr>
      <w:r>
        <w:rPr>
          <w:rFonts w:ascii="Calibri" w:hAnsi="Calibri"/>
          <w:b/>
          <w:i w:val="0"/>
          <w:color w:val="00863F"/>
          <w:sz w:val="21"/>
        </w:rPr>
        <w:t xml:space="preserve">Reuse / dependency:  </w:t>
      </w:r>
      <w:r>
        <w:rPr>
          <w:rFonts w:ascii="Calibri" w:hAnsi="Calibri"/>
          <w:b w:val="0"/>
          <w:i w:val="0"/>
          <w:sz w:val="21"/>
        </w:rPr>
        <w:t>Shares the external-portal foundation with F1 (PEAR self-service) and reuses the existing internal guided flows — book net of F1's portal work.</w:t>
      </w:r>
    </w:p>
    <w:p>
      <w:pPr>
        <w:spacing w:before="240" w:after="80"/>
      </w:pPr>
      <w:r>
        <w:rPr>
          <w:rFonts w:ascii="Calibri" w:hAnsi="Calibri"/>
          <w:b/>
          <w:i w:val="0"/>
          <w:color w:val="003087"/>
          <w:sz w:val="28"/>
        </w:rPr>
        <w:t>Priority 12 — POMS Replacement — Multi-Request PDM Submission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FF0"/>
          <w:left w:val="single" w:sz="4" w:space="0" w:color="D0DFF0"/>
          <w:bottom w:val="single" w:sz="4" w:space="0" w:color="D0DFF0"/>
          <w:right w:val="single" w:sz="4" w:space="0" w:color="D0DFF0"/>
          <w:insideH w:val="single" w:sz="4" w:space="0" w:color="D0DFF0"/>
          <w:insideV w:val="single" w:sz="4" w:space="0" w:color="D0DFF0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E8F0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7090"/>
                <w:sz w:val="16"/>
              </w:rPr>
              <w:t>T-SHIRT SIZE</w:t>
            </w:r>
          </w:p>
          <w:p>
            <w:r>
              <w:rPr>
                <w:rFonts w:ascii="Calibri" w:hAnsi="Calibri"/>
                <w:b/>
                <w:i w:val="0"/>
                <w:color w:val="0057B8"/>
                <w:sz w:val="22"/>
              </w:rPr>
              <w:t>XL</w:t>
            </w:r>
          </w:p>
        </w:tc>
        <w:tc>
          <w:tcPr>
            <w:tcW w:type="dxa" w:w="4824"/>
            <w:shd w:val="clear" w:color="auto" w:fill="E8F0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A7090"/>
                <w:sz w:val="16"/>
              </w:rPr>
              <w:t>CONFIDENCE</w:t>
            </w:r>
          </w:p>
          <w:p>
            <w:r>
              <w:rPr>
                <w:rFonts w:ascii="Calibri" w:hAnsi="Calibri"/>
                <w:b/>
                <w:i w:val="0"/>
                <w:color w:val="C05A00"/>
                <w:sz w:val="22"/>
              </w:rPr>
              <w:t>Low–Medium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1"/>
        </w:rPr>
      </w:r>
    </w:p>
    <w:p>
      <w:r>
        <w:rPr>
          <w:rFonts w:ascii="Calibri" w:hAnsi="Calibri"/>
          <w:b/>
          <w:i w:val="0"/>
          <w:color w:val="00863F"/>
          <w:sz w:val="22"/>
        </w:rPr>
        <w:t>What we're delivering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Replace legacy POMS: let Network Coordinators submit multiple PDM update requests in a single action.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New UI for multi-request submission plus a processing workflow that creates / updates many records from one submission.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Reuse the existing PDM Manual Updates guided flow for individual record processing.</w:t>
      </w:r>
    </w:p>
    <w:p>
      <w:r>
        <w:rPr>
          <w:rFonts w:ascii="Calibri" w:hAnsi="Calibri"/>
          <w:b/>
          <w:i w:val="0"/>
          <w:color w:val="0057B8"/>
          <w:sz w:val="22"/>
        </w:rPr>
        <w:t>How we'll build it (high-level TDD)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New multi-request intake UI + submission workflow.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Bulk data-handling framework to fan one submission out into many record updates (leverage the F7 async engine).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Reuse the PDM Manual Updates guided flow per record.</w:t>
      </w:r>
    </w:p>
    <w:p>
      <w:pPr>
        <w:spacing w:after="40"/>
      </w:pPr>
      <w:r>
        <w:rPr>
          <w:rFonts w:ascii="Calibri" w:hAnsi="Calibri"/>
          <w:b/>
          <w:i w:val="0"/>
          <w:color w:val="990000"/>
          <w:sz w:val="21"/>
        </w:rPr>
        <w:t xml:space="preserve">Top risk:  </w:t>
      </w:r>
      <w:r>
        <w:rPr>
          <w:rFonts w:ascii="Calibri" w:hAnsi="Calibri"/>
          <w:b w:val="0"/>
          <w:i w:val="0"/>
          <w:sz w:val="21"/>
        </w:rPr>
        <w:t>Original estimate 80–120 story points. The PDM Manual Update family being reused is large (7 guided flows, ~99 steps), so the per-record reuse is real but the multi-request wrapper is the work. The bulk-handling framework overlaps F7 — net-new is lower if F7's async engine lands first.</w:t>
      </w:r>
    </w:p>
    <w:p>
      <w:pPr>
        <w:spacing w:after="200"/>
      </w:pPr>
      <w:r>
        <w:rPr>
          <w:rFonts w:ascii="Calibri" w:hAnsi="Calibri"/>
          <w:b/>
          <w:i w:val="0"/>
          <w:color w:val="00863F"/>
          <w:sz w:val="21"/>
        </w:rPr>
        <w:t xml:space="preserve">Reuse / dependency:  </w:t>
      </w:r>
      <w:r>
        <w:rPr>
          <w:rFonts w:ascii="Calibri" w:hAnsi="Calibri"/>
          <w:b w:val="0"/>
          <w:i w:val="0"/>
          <w:sz w:val="21"/>
        </w:rPr>
        <w:t>Strong overlap with F7 (bulk framework) and the existing PDM Manual Updates guided flow. Sequence after F7; book net of the engine.</w:t>
      </w:r>
    </w:p>
    <w:p>
      <w:r>
        <w:br w:type="page"/>
      </w:r>
    </w:p>
    <w:p>
      <w:pPr>
        <w:spacing w:before="280" w:after="120"/>
        <w:pBdr>
          <w:bottom w:val="single" w:sz="18" w:space="4" w:color="003087"/>
        </w:pBdr>
      </w:pPr>
      <w:r>
        <w:rPr>
          <w:rFonts w:ascii="Calibri" w:hAnsi="Calibri"/>
          <w:b/>
          <w:i w:val="0"/>
          <w:color w:val="003087"/>
          <w:sz w:val="34"/>
        </w:rPr>
        <w:t>3.  Shared Foundations — Read Before Summing</w:t>
      </w:r>
    </w:p>
    <w:p>
      <w:pPr>
        <w:spacing w:after="160"/>
      </w:pPr>
      <w:r>
        <w:rPr>
          <w:rFonts w:ascii="Calibri" w:hAnsi="Calibri"/>
          <w:b w:val="0"/>
          <w:i w:val="0"/>
          <w:color w:val="5A7090"/>
          <w:sz w:val="21"/>
        </w:rPr>
        <w:t>Several priorities depend on the same building blocks. Each foundation is booked once with its primary owner; consumers reuse it. Sequencing foundation-first turns overlap into savings.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FF0"/>
          <w:left w:val="single" w:sz="4" w:space="0" w:color="D0DFF0"/>
          <w:bottom w:val="single" w:sz="4" w:space="0" w:color="D0DFF0"/>
          <w:right w:val="single" w:sz="4" w:space="0" w:color="D0DFF0"/>
          <w:insideH w:val="single" w:sz="4" w:space="0" w:color="D0DFF0"/>
          <w:insideV w:val="single" w:sz="4" w:space="0" w:color="D0DFF0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0308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Shared foundation</w:t>
            </w:r>
          </w:p>
        </w:tc>
        <w:tc>
          <w:tcPr>
            <w:tcW w:type="dxa" w:w="3216"/>
            <w:shd w:val="clear" w:color="auto" w:fill="00308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Primary owner</w:t>
            </w:r>
          </w:p>
        </w:tc>
        <w:tc>
          <w:tcPr>
            <w:tcW w:type="dxa" w:w="3216"/>
            <w:shd w:val="clear" w:color="auto" w:fill="00308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Also consumed by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Async / bulk engine (PRM_AsyncJob__c)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B4C8"/>
                <w:sz w:val="20"/>
              </w:rPr>
              <w:t>F7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F1 (PDM bulk edits), F5, F10 (PSV location processor), F12 (POMS bulk)</w:t>
            </w:r>
          </w:p>
        </w:tc>
      </w:tr>
      <w:tr>
        <w:tc>
          <w:tcPr>
            <w:tcW w:type="dxa" w:w="32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External-submission QC routing (Case / CM / CDM + CMA)</w:t>
            </w:r>
          </w:p>
        </w:tc>
        <w:tc>
          <w:tcPr>
            <w:tcW w:type="dxa" w:w="32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B4C8"/>
                <w:sz w:val="20"/>
              </w:rPr>
              <w:t>F7</w:t>
            </w:r>
          </w:p>
        </w:tc>
        <w:tc>
          <w:tcPr>
            <w:tcW w:type="dxa" w:w="32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F3, F5, F8, F10  (note: PEAR is direct, no QC)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External provider portal foundation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B4C8"/>
                <w:sz w:val="20"/>
              </w:rPr>
              <w:t>F1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F11 (FHNatic forms)</w:t>
            </w:r>
          </w:p>
        </w:tc>
      </w:tr>
      <w:tr>
        <w:tc>
          <w:tcPr>
            <w:tcW w:type="dxa" w:w="32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PDM Manual Updates guided flow</w:t>
            </w:r>
          </w:p>
        </w:tc>
        <w:tc>
          <w:tcPr>
            <w:tcW w:type="dxa" w:w="32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B4C8"/>
                <w:sz w:val="20"/>
              </w:rPr>
              <w:t>existing</w:t>
            </w:r>
          </w:p>
        </w:tc>
        <w:tc>
          <w:tcPr>
            <w:tcW w:type="dxa" w:w="32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F12 (POMS per-record processing)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Versioned / effective-dated write model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B4C8"/>
                <w:sz w:val="20"/>
              </w:rPr>
              <w:t>F4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F5 (no re-entry), F6 (history feeds), F8 (termination)</w:t>
            </w:r>
          </w:p>
        </w:tc>
      </w:tr>
      <w:tr>
        <w:tc>
          <w:tcPr>
            <w:tcW w:type="dxa" w:w="32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Analyst worklists / routing</w:t>
            </w:r>
          </w:p>
        </w:tc>
        <w:tc>
          <w:tcPr>
            <w:tcW w:type="dxa" w:w="32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B4C8"/>
                <w:sz w:val="20"/>
              </w:rPr>
              <w:t>F3</w:t>
            </w:r>
          </w:p>
        </w:tc>
        <w:tc>
          <w:tcPr>
            <w:tcW w:type="dxa" w:w="32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F5 (shared views), F6 (leadership inventory)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Field-history data source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B4C8"/>
                <w:sz w:val="20"/>
              </w:rPr>
              <w:t>F4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F6 (integrity feeds)</w:t>
            </w:r>
          </w:p>
        </w:tc>
      </w:tr>
      <w:tr>
        <w:tc>
          <w:tcPr>
            <w:tcW w:type="dxa" w:w="32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Tile + session UI framework</w:t>
            </w:r>
          </w:p>
        </w:tc>
        <w:tc>
          <w:tcPr>
            <w:tcW w:type="dxa" w:w="32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B4C8"/>
                <w:sz w:val="20"/>
              </w:rPr>
              <w:t>F2</w:t>
            </w:r>
          </w:p>
        </w:tc>
        <w:tc>
          <w:tcPr>
            <w:tcW w:type="dxa" w:w="32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F7 mass-update grid cells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57B8"/>
          <w:sz w:val="21"/>
        </w:rPr>
        <w:t xml:space="preserve">Build foundations first: </w:t>
      </w:r>
      <w:r>
        <w:rPr>
          <w:rFonts w:ascii="Calibri" w:hAnsi="Calibri"/>
          <w:b w:val="0"/>
          <w:i w:val="0"/>
          <w:sz w:val="21"/>
        </w:rPr>
        <w:t>F7 async engine and F4 versioning are the two spines.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57B8"/>
          <w:sz w:val="21"/>
        </w:rPr>
        <w:t xml:space="preserve">Net-new already deducted: </w:t>
      </w:r>
      <w:r>
        <w:rPr>
          <w:rFonts w:ascii="Calibri" w:hAnsi="Calibri"/>
          <w:b w:val="0"/>
          <w:i w:val="0"/>
          <w:sz w:val="21"/>
        </w:rPr>
        <w:t>F5 is booked net-of-overlap; F9 excludes items owned by F3/F4/F7.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57B8"/>
          <w:sz w:val="21"/>
        </w:rPr>
        <w:t xml:space="preserve">Sequencing saves effort: </w:t>
      </w:r>
      <w:r>
        <w:rPr>
          <w:rFonts w:ascii="Calibri" w:hAnsi="Calibri"/>
          <w:b w:val="0"/>
          <w:i w:val="0"/>
          <w:sz w:val="21"/>
        </w:rPr>
        <w:t>F7→F1, F4→(F5/F6/F8), F3→(F5/F6) reuse work already paid for.</w:t>
      </w:r>
    </w:p>
    <w:p>
      <w:r>
        <w:br w:type="page"/>
      </w:r>
    </w:p>
    <w:p>
      <w:pPr>
        <w:spacing w:before="280" w:after="120"/>
        <w:pBdr>
          <w:bottom w:val="single" w:sz="18" w:space="4" w:color="003087"/>
        </w:pBdr>
      </w:pPr>
      <w:r>
        <w:rPr>
          <w:rFonts w:ascii="Calibri" w:hAnsi="Calibri"/>
          <w:b/>
          <w:i w:val="0"/>
          <w:color w:val="003087"/>
          <w:sz w:val="34"/>
        </w:rPr>
        <w:t>4.  2027 Delivery Timeline &amp; Sequencing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FF0"/>
          <w:left w:val="single" w:sz="4" w:space="0" w:color="D0DFF0"/>
          <w:bottom w:val="single" w:sz="4" w:space="0" w:color="D0DFF0"/>
          <w:right w:val="single" w:sz="4" w:space="0" w:color="D0DFF0"/>
          <w:insideH w:val="single" w:sz="4" w:space="0" w:color="D0DFF0"/>
          <w:insideV w:val="single" w:sz="4" w:space="0" w:color="D0DFF0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00308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Workstream</w:t>
            </w:r>
          </w:p>
        </w:tc>
        <w:tc>
          <w:tcPr>
            <w:tcW w:type="dxa" w:w="1930"/>
            <w:shd w:val="clear" w:color="auto" w:fill="00308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Q1 · Foundations</w:t>
            </w:r>
          </w:p>
        </w:tc>
        <w:tc>
          <w:tcPr>
            <w:tcW w:type="dxa" w:w="1930"/>
            <w:shd w:val="clear" w:color="auto" w:fill="00308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Q2 · Build</w:t>
            </w:r>
          </w:p>
        </w:tc>
        <w:tc>
          <w:tcPr>
            <w:tcW w:type="dxa" w:w="1930"/>
            <w:shd w:val="clear" w:color="auto" w:fill="00308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Q3 · Scale</w:t>
            </w:r>
          </w:p>
        </w:tc>
        <w:tc>
          <w:tcPr>
            <w:tcW w:type="dxa" w:w="1930"/>
            <w:shd w:val="clear" w:color="auto" w:fill="00308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Q4 · Harden &amp; Cut Over</w:t>
            </w:r>
          </w:p>
        </w:tc>
      </w:tr>
      <w:tr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8F0FA"/>
          </w:tcPr>
          <w:p>
            <w:r>
              <w:rPr>
                <w:rFonts w:ascii="Calibri" w:hAnsi="Calibri"/>
                <w:b/>
                <w:i w:val="0"/>
                <w:color w:val="003087"/>
                <w:sz w:val="19"/>
              </w:rPr>
              <w:t>Async &amp; Mass Load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4F7FB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F7 engine build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4F7FB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F7 first ops + F1 PEAR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4F7FB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F7 remaining mass ops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8F0FA"/>
          </w:tcPr>
          <w:p>
            <w:r>
              <w:rPr>
                <w:rFonts w:ascii="Calibri" w:hAnsi="Calibri"/>
                <w:b/>
                <w:i w:val="0"/>
                <w:color w:val="003087"/>
                <w:sz w:val="19"/>
              </w:rPr>
              <w:t>Versioning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4F7FB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F4 architecture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4F7FB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F4 Tier-1 objects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4F7FB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F4 Tier-2 / 3 objects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4F7FB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F4 parity + cutover</w:t>
            </w:r>
          </w:p>
        </w:tc>
      </w:tr>
      <w:tr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8F0FA"/>
          </w:tcPr>
          <w:p>
            <w:r>
              <w:rPr>
                <w:rFonts w:ascii="Calibri" w:hAnsi="Calibri"/>
                <w:b/>
                <w:i w:val="0"/>
                <w:color w:val="003087"/>
                <w:sz w:val="19"/>
              </w:rPr>
              <w:t>Credentialing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4F7FB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F2 tile framework (parallel team)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4F7FB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F2 CAQH docs + flow migrations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4F7FB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F2 Agentic pilots go-live</w:t>
            </w:r>
          </w:p>
        </w:tc>
      </w:tr>
      <w:tr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8F0FA"/>
          </w:tcPr>
          <w:p>
            <w:r>
              <w:rPr>
                <w:rFonts w:ascii="Calibri" w:hAnsi="Calibri"/>
                <w:b/>
                <w:i w:val="0"/>
                <w:color w:val="003087"/>
                <w:sz w:val="19"/>
              </w:rPr>
              <w:t>Case / Integ / Report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4F7FB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F3 routing + defect fix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4F7FB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F10 Re-Cred PSV→PDM (defects + async)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4F7FB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F5 integration + F6 reports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4F7FB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F6 integrity feeds + dashboards</w:t>
            </w:r>
          </w:p>
        </w:tc>
      </w:tr>
      <w:tr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8F0FA"/>
          </w:tcPr>
          <w:p>
            <w:r>
              <w:rPr>
                <w:rFonts w:ascii="Calibri" w:hAnsi="Calibri"/>
                <w:b/>
                <w:i w:val="0"/>
                <w:color w:val="003087"/>
                <w:sz w:val="19"/>
              </w:rPr>
              <w:t>Feeds &amp; Compliance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4F7FB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F8 LexisNexis on engine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4F7FB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F8 terminations + spike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4F7FB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F8 compliance build</w:t>
            </w:r>
          </w:p>
        </w:tc>
      </w:tr>
      <w:tr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8F0FA"/>
          </w:tcPr>
          <w:p>
            <w:r>
              <w:rPr>
                <w:rFonts w:ascii="Calibri" w:hAnsi="Calibri"/>
                <w:b/>
                <w:i w:val="0"/>
                <w:color w:val="003087"/>
                <w:sz w:val="19"/>
              </w:rPr>
              <w:t>External Portal / POMS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4F7FB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F11 FHNatic forms (reuse F1 portal)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4F7FB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F12 POMS multi-request (on F7 engine)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30"/>
            <w:shd w:val="clear" w:color="auto" w:fill="FFF6D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C05A00"/>
                <w:sz w:val="19"/>
              </w:rPr>
              <w:t>Stabilization (F9)</w:t>
            </w:r>
          </w:p>
        </w:tc>
        <w:tc>
          <w:tcPr>
            <w:tcW w:type="dxa" w:w="7720"/>
            <w:gridSpan w:val="4"/>
            <w:shd w:val="clear" w:color="auto" w:fill="FFF6D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C05A00"/>
                <w:sz w:val="19"/>
              </w:rPr>
              <w:t>Continuous ~15–20% reserved capacity across all four quarters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1"/>
        </w:rPr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57B8"/>
          <w:sz w:val="21"/>
        </w:rPr>
        <w:t xml:space="preserve">Q1 — Foundations: </w:t>
      </w:r>
      <w:r>
        <w:rPr>
          <w:rFonts w:ascii="Calibri" w:hAnsi="Calibri"/>
          <w:b w:val="0"/>
          <w:i w:val="0"/>
          <w:sz w:val="21"/>
        </w:rPr>
        <w:t>Stand up F7 async engine, start F4 architecture and F3 routing.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57B8"/>
          <w:sz w:val="21"/>
        </w:rPr>
        <w:t xml:space="preserve">Q2–Q3 — Build &amp; Scale: </w:t>
      </w:r>
      <w:r>
        <w:rPr>
          <w:rFonts w:ascii="Calibri" w:hAnsi="Calibri"/>
          <w:b w:val="0"/>
          <w:i w:val="0"/>
          <w:sz w:val="21"/>
        </w:rPr>
        <w:t>F1 + F8 on the engine; F4 object tiers; F2 tiles (parallel team); F5/F6 as F3/F4 land.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57B8"/>
          <w:sz w:val="21"/>
        </w:rPr>
        <w:t xml:space="preserve">Q4 — Harden &amp; Cut Over: </w:t>
      </w:r>
      <w:r>
        <w:rPr>
          <w:rFonts w:ascii="Calibri" w:hAnsi="Calibri"/>
          <w:b w:val="0"/>
          <w:i w:val="0"/>
          <w:sz w:val="21"/>
        </w:rPr>
        <w:t>Versioning parity + cutover, Agentic pilots (post F2), and compliance build (post spike).</w:t>
      </w:r>
    </w:p>
    <w:p>
      <w:r>
        <w:br w:type="page"/>
      </w:r>
    </w:p>
    <w:p>
      <w:pPr>
        <w:spacing w:before="280" w:after="120"/>
        <w:pBdr>
          <w:bottom w:val="single" w:sz="18" w:space="4" w:color="003087"/>
        </w:pBdr>
      </w:pPr>
      <w:r>
        <w:rPr>
          <w:rFonts w:ascii="Calibri" w:hAnsi="Calibri"/>
          <w:b/>
          <w:i w:val="0"/>
          <w:color w:val="003087"/>
          <w:sz w:val="34"/>
        </w:rPr>
        <w:t>5.  Portfolio Sizing &amp; Resource Mix</w:t>
      </w:r>
    </w:p>
    <w:p>
      <w:pPr>
        <w:spacing w:before="280" w:after="120"/>
      </w:pPr>
      <w:r>
        <w:rPr>
          <w:rFonts w:ascii="Calibri" w:hAnsi="Calibri"/>
          <w:b/>
          <w:i w:val="0"/>
          <w:color w:val="0057B8"/>
          <w:sz w:val="26"/>
        </w:rPr>
        <w:t>Portfolio size profile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57B8"/>
          <w:sz w:val="21"/>
        </w:rPr>
        <w:t xml:space="preserve">Size mix: </w:t>
      </w:r>
      <w:r>
        <w:rPr>
          <w:rFonts w:ascii="Calibri" w:hAnsi="Calibri"/>
          <w:b w:val="0"/>
          <w:i w:val="0"/>
          <w:sz w:val="21"/>
        </w:rPr>
        <w:t>3 XXL + 5 XL + 3 L–XL + 1 L across the twelve priorities.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57B8"/>
          <w:sz w:val="21"/>
        </w:rPr>
        <w:t xml:space="preserve">Heavy hitters: </w:t>
      </w:r>
      <w:r>
        <w:rPr>
          <w:rFonts w:ascii="Calibri" w:hAnsi="Calibri"/>
          <w:b w:val="0"/>
          <w:i w:val="0"/>
          <w:sz w:val="21"/>
        </w:rPr>
        <w:t>the three XXL programs (F2, F4, F7) dominate the portfolio and drive the timeline.</w:t>
      </w:r>
    </w:p>
    <w:p>
      <w:pPr>
        <w:spacing w:before="280" w:after="120"/>
      </w:pPr>
      <w:r>
        <w:rPr>
          <w:rFonts w:ascii="Calibri" w:hAnsi="Calibri"/>
          <w:b/>
          <w:i w:val="0"/>
          <w:color w:val="0057B8"/>
          <w:sz w:val="26"/>
        </w:rPr>
        <w:t>Team &amp; resource mix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57B8"/>
          <w:sz w:val="21"/>
        </w:rPr>
        <w:t xml:space="preserve">Staffing: </w:t>
      </w:r>
      <w:r>
        <w:rPr>
          <w:rFonts w:ascii="Calibri" w:hAnsi="Calibri"/>
          <w:b w:val="0"/>
          <w:i w:val="0"/>
          <w:sz w:val="21"/>
        </w:rPr>
        <w:t>~5–7 senior engineers sustained across the full year.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57B8"/>
          <w:sz w:val="21"/>
        </w:rPr>
        <w:t xml:space="preserve">Roles: </w:t>
      </w:r>
      <w:r>
        <w:rPr>
          <w:rFonts w:ascii="Calibri" w:hAnsi="Calibri"/>
          <w:b w:val="0"/>
          <w:i w:val="0"/>
          <w:sz w:val="21"/>
        </w:rPr>
        <w:t>Apex / Platform, OmniStudio, LWC, QA, Data / Integration, PM / BA.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57B8"/>
          <w:sz w:val="21"/>
        </w:rPr>
        <w:t xml:space="preserve">Parallelism: </w:t>
      </w:r>
      <w:r>
        <w:rPr>
          <w:rFonts w:ascii="Calibri" w:hAnsi="Calibri"/>
          <w:b w:val="0"/>
          <w:i w:val="0"/>
          <w:sz w:val="21"/>
        </w:rPr>
        <w:t>F2, F4, and F7 are three concurrent multi-quarter programs.</w:t>
      </w:r>
    </w:p>
    <w:p>
      <w:pPr>
        <w:shd w:val="clear" w:color="auto" w:fill="FFF6D0"/>
        <w:spacing w:before="160"/>
      </w:pPr>
      <w:r>
        <w:rPr>
          <w:rFonts w:ascii="Calibri" w:hAnsi="Calibri"/>
          <w:b/>
          <w:i w:val="0"/>
          <w:color w:val="C05A00"/>
          <w:sz w:val="21"/>
        </w:rPr>
        <w:t xml:space="preserve">Read the sizing as indicative.  </w:t>
      </w:r>
      <w:r>
        <w:rPr>
          <w:rFonts w:ascii="Calibri" w:hAnsi="Calibri"/>
          <w:b w:val="0"/>
          <w:i w:val="0"/>
          <w:sz w:val="21"/>
        </w:rPr>
        <w:t>F9 is a reserved capacity envelope and F5 is booked net-new; several priorities share foundations. Sequence foundations first — don't sum the sizes naively. See the sizing key in Section 1 for the T-shirt to dev-day translation.</w:t>
      </w:r>
    </w:p>
    <w:p>
      <w:pPr>
        <w:spacing w:before="280" w:after="120"/>
      </w:pPr>
      <w:r>
        <w:rPr>
          <w:rFonts w:ascii="Calibri" w:hAnsi="Calibri"/>
          <w:b/>
          <w:i w:val="0"/>
          <w:color w:val="990000"/>
          <w:sz w:val="26"/>
        </w:rPr>
        <w:t>Capacity reality check</w:t>
      </w:r>
    </w:p>
    <w:p>
      <w:pPr>
        <w:spacing w:after="160"/>
      </w:pPr>
      <w:r>
        <w:rPr>
          <w:rFonts w:ascii="Calibri" w:hAnsi="Calibri"/>
          <w:b w:val="0"/>
          <w:i w:val="0"/>
          <w:sz w:val="21"/>
        </w:rPr>
        <w:t>Translating the twelve T-shirt sizes through the Section 1 key gives a portfolio of roughly 2,130–3,020 developer-days, or about 9–13 developer-years. A team of 5–7 senior engineers supplies roughly 1,150–1,610 developer-days in a year. The portfolio as scoped is therefore about twice what the stated team can deliver in 2027.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990000"/>
          <w:sz w:val="21"/>
        </w:rPr>
        <w:t xml:space="preserve">Option A — </w:t>
      </w:r>
      <w:r>
        <w:rPr>
          <w:rFonts w:ascii="Calibri" w:hAnsi="Calibri"/>
          <w:b w:val="0"/>
          <w:i w:val="0"/>
          <w:sz w:val="21"/>
        </w:rPr>
        <w:t>Increase staffing to roughly 9–13 engineers.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863F"/>
          <w:sz w:val="21"/>
        </w:rPr>
        <w:t xml:space="preserve">Option B — </w:t>
      </w:r>
      <w:r>
        <w:rPr>
          <w:rFonts w:ascii="Calibri" w:hAnsi="Calibri"/>
          <w:b w:val="0"/>
          <w:i w:val="0"/>
          <w:sz w:val="21"/>
        </w:rPr>
        <w:t>Phase the portfolio: deliver F7 (engine + first operations), F4 Tier 1, F3, F1, F10 and F2 Phase 1, with the F9 envelope. That slice fits 5–7 engineers.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C05A00"/>
          <w:sz w:val="21"/>
        </w:rPr>
        <w:t xml:space="preserve">Option C — </w:t>
      </w:r>
      <w:r>
        <w:rPr>
          <w:rFonts w:ascii="Calibri" w:hAnsi="Calibri"/>
          <w:b w:val="0"/>
          <w:i w:val="0"/>
          <w:sz w:val="21"/>
        </w:rPr>
        <w:t>Cut scope outright — defer F5, F6, F8, F11 and F12 to 2028.</w:t>
      </w:r>
    </w:p>
    <w:p>
      <w:pPr>
        <w:spacing w:after="160"/>
      </w:pPr>
      <w:r>
        <w:rPr>
          <w:rFonts w:ascii="Calibri" w:hAnsi="Calibri"/>
          <w:b w:val="0"/>
          <w:i/>
          <w:color w:val="5A7090"/>
          <w:sz w:val="19"/>
        </w:rPr>
        <w:t>The single highest-leverage scope decision is F4: limiting versioning to the 14 highest-traffic objects captures roughly 80% of the write path for about half the cost.</w:t>
      </w:r>
    </w:p>
    <w:p>
      <w:r>
        <w:br w:type="page"/>
      </w:r>
    </w:p>
    <w:p>
      <w:pPr>
        <w:spacing w:before="280" w:after="120"/>
        <w:pBdr>
          <w:bottom w:val="single" w:sz="18" w:space="4" w:color="003087"/>
        </w:pBdr>
      </w:pPr>
      <w:r>
        <w:rPr>
          <w:rFonts w:ascii="Calibri" w:hAnsi="Calibri"/>
          <w:b/>
          <w:i w:val="0"/>
          <w:color w:val="003087"/>
          <w:sz w:val="34"/>
        </w:rPr>
        <w:t>6.  Risks &amp; Open Questions</w:t>
      </w:r>
    </w:p>
    <w:p>
      <w:pPr>
        <w:spacing w:before="280" w:after="120"/>
      </w:pPr>
      <w:r>
        <w:rPr>
          <w:rFonts w:ascii="Calibri" w:hAnsi="Calibri"/>
          <w:b/>
          <w:i w:val="0"/>
          <w:color w:val="990000"/>
          <w:sz w:val="26"/>
        </w:rPr>
        <w:t>Top program risks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990000"/>
          <w:sz w:val="21"/>
        </w:rPr>
        <w:t xml:space="preserve">Portfolio exceeds capacity: </w:t>
      </w:r>
      <w:r>
        <w:rPr>
          <w:rFonts w:ascii="Calibri" w:hAnsi="Calibri"/>
          <w:b w:val="0"/>
          <w:i w:val="0"/>
          <w:sz w:val="21"/>
        </w:rPr>
        <w:t>the twelve priorities total roughly twice what 5–7 engineers can deliver in 2027. Phasing or additional staffing is required — see the capacity reality check in Section 5.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990000"/>
          <w:sz w:val="21"/>
        </w:rPr>
        <w:t xml:space="preserve">Versioning blast radius (F4): </w:t>
      </w:r>
      <w:r>
        <w:rPr>
          <w:rFonts w:ascii="Calibri" w:hAnsi="Calibri"/>
          <w:b w:val="0"/>
          <w:i w:val="0"/>
          <w:sz w:val="21"/>
        </w:rPr>
        <w:t>478 write-path Load DataMappers and 236 DML-performing Apex classes across 42 objects, plus 7 open pre-conditions.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990000"/>
          <w:sz w:val="21"/>
        </w:rPr>
        <w:t xml:space="preserve">Credentialing scope boundary (F2): </w:t>
      </w:r>
      <w:r>
        <w:rPr>
          <w:rFonts w:ascii="Calibri" w:hAnsi="Calibri"/>
          <w:b w:val="0"/>
          <w:i w:val="0"/>
          <w:sz w:val="21"/>
        </w:rPr>
        <w:t>the credentialing family is 45 guided flows / 304 steps; the core 5 flows alone are ~108 steps against the ~55 tiles originally assumed.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990000"/>
          <w:sz w:val="21"/>
        </w:rPr>
        <w:t xml:space="preserve">Community component gap (F1 / F11): </w:t>
      </w:r>
      <w:r>
        <w:rPr>
          <w:rFonts w:ascii="Calibri" w:hAnsi="Calibri"/>
          <w:b w:val="0"/>
          <w:i w:val="0"/>
          <w:sz w:val="21"/>
        </w:rPr>
        <w:t>only 15 of 192 custom components are community-enabled, so any provider-facing screen carries an enablement and re-test cost.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990000"/>
          <w:sz w:val="21"/>
        </w:rPr>
        <w:t xml:space="preserve">CAQH document API (F2): </w:t>
      </w:r>
      <w:r>
        <w:rPr>
          <w:rFonts w:ascii="Calibri" w:hAnsi="Calibri"/>
          <w:b w:val="0"/>
          <w:i w:val="0"/>
          <w:sz w:val="21"/>
        </w:rPr>
        <w:t>connectivity exists, but document entitlement is unverified.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990000"/>
          <w:sz w:val="21"/>
        </w:rPr>
        <w:t xml:space="preserve">Compliance scope (F8): </w:t>
      </w:r>
      <w:r>
        <w:rPr>
          <w:rFonts w:ascii="Calibri" w:hAnsi="Calibri"/>
          <w:b w:val="0"/>
          <w:i w:val="0"/>
          <w:sz w:val="21"/>
        </w:rPr>
        <w:t>undefined until the discovery spike.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990000"/>
          <w:sz w:val="21"/>
        </w:rPr>
        <w:t xml:space="preserve">Re-Cred PSV route paused (F10): </w:t>
      </w:r>
      <w:r>
        <w:rPr>
          <w:rFonts w:ascii="Calibri" w:hAnsi="Calibri"/>
          <w:b w:val="0"/>
          <w:i w:val="0"/>
          <w:sz w:val="21"/>
        </w:rPr>
        <w:t>resume is gated on the async location processor + P0 data-integrity defects (Bug 1216121 / 1216120, terminated-location) per the 2026-06-08 audit.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990000"/>
          <w:sz w:val="21"/>
        </w:rPr>
        <w:t xml:space="preserve">Fixed-cost work: </w:t>
      </w:r>
      <w:r>
        <w:rPr>
          <w:rFonts w:ascii="Calibri" w:hAnsi="Calibri"/>
          <w:b w:val="0"/>
          <w:i w:val="0"/>
          <w:sz w:val="21"/>
        </w:rPr>
        <w:t>OmniStudio publish, UAT, shadow parity, and integration testing do not compress.</w:t>
      </w:r>
    </w:p>
    <w:p>
      <w:pPr>
        <w:spacing w:before="280" w:after="120"/>
      </w:pPr>
      <w:r>
        <w:rPr>
          <w:rFonts w:ascii="Calibri" w:hAnsi="Calibri"/>
          <w:b/>
          <w:i w:val="0"/>
          <w:color w:val="0057B8"/>
          <w:sz w:val="26"/>
        </w:rPr>
        <w:t>Open questions carried forward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FF0"/>
          <w:left w:val="single" w:sz="4" w:space="0" w:color="D0DFF0"/>
          <w:bottom w:val="single" w:sz="4" w:space="0" w:color="D0DFF0"/>
          <w:right w:val="single" w:sz="4" w:space="0" w:color="D0DFF0"/>
          <w:insideH w:val="single" w:sz="4" w:space="0" w:color="D0DFF0"/>
          <w:insideV w:val="single" w:sz="4" w:space="0" w:color="D0DFF0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00308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4824"/>
            <w:shd w:val="clear" w:color="auto" w:fill="00308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Open question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F2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Name the exact step list for the '5 flows' — is it ~55 tiles or the ~108 steps the audit counts? Confirm CAQH document entitlement; all-5-flows in one year needs parallel teams.</w:t>
            </w:r>
          </w:p>
        </w:tc>
      </w:tr>
      <w:tr>
        <w:tc>
          <w:tcPr>
            <w:tcW w:type="dxa" w:w="12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F4</w:t>
            </w:r>
          </w:p>
        </w:tc>
        <w:tc>
          <w:tcPr>
            <w:tcW w:type="dxa" w:w="48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Approve Tier 1 = the 14 highest-traffic objects (~80% of the write path); resolve the 7 pre-conditions + natural keys. Also confirm the history-tracking limit on Individual Application, which shows 61 tracked fields.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F5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Confirm cred tracks (ReCred / Initial / PAR) + outcome-to-PDM matrix.</w:t>
            </w:r>
          </w:p>
        </w:tc>
      </w:tr>
      <w:tr>
        <w:tc>
          <w:tcPr>
            <w:tcW w:type="dxa" w:w="12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F6</w:t>
            </w:r>
          </w:p>
        </w:tc>
        <w:tc>
          <w:tcPr>
            <w:tcW w:type="dxa" w:w="48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Run the integrity-feed discovery inventory (count unknown).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F7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Confirm the exact 7+ mass-operation list.</w:t>
            </w:r>
          </w:p>
        </w:tc>
      </w:tr>
      <w:tr>
        <w:tc>
          <w:tcPr>
            <w:tcW w:type="dxa" w:w="12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F8</w:t>
            </w:r>
          </w:p>
        </w:tc>
        <w:tc>
          <w:tcPr>
            <w:tcW w:type="dxa" w:w="48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Define the compliance mandate(s) + deadline.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F9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Confirm reserved % (15–20% proposed) and the double-count boundary.</w:t>
            </w:r>
          </w:p>
        </w:tc>
      </w:tr>
      <w:tr>
        <w:tc>
          <w:tcPr>
            <w:tcW w:type="dxa" w:w="12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F10</w:t>
            </w:r>
          </w:p>
        </w:tc>
        <w:tc>
          <w:tcPr>
            <w:tcW w:type="dxa" w:w="48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Resume scope — all recred locations vs low-volume first; confirm the async processor + P0 defect fixes are deployed before lifting the email-only hold.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F11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Which of the ~17 components used by the four forms are already community-safe, and how much of F1's portal foundation is reusable?</w:t>
            </w:r>
          </w:p>
        </w:tc>
      </w:tr>
      <w:tr>
        <w:tc>
          <w:tcPr>
            <w:tcW w:type="dxa" w:w="12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F12</w:t>
            </w:r>
          </w:p>
        </w:tc>
        <w:tc>
          <w:tcPr>
            <w:tcW w:type="dxa" w:w="48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Confirm the multi-request volume and whether POMS's bulk framework is fully covered by F7's async engine (to avoid rebuild).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003087"/>
                <w:sz w:val="20"/>
              </w:rPr>
              <w:t>All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Provide real sprint velocity — these sizes are structure-based, and the repo history is a one-month snapshot that offers no velocity signal.</w:t>
            </w:r>
          </w:p>
        </w:tc>
      </w:tr>
    </w:tbl>
    <w:p>
      <w:pPr>
        <w:spacing w:before="320" w:after="120"/>
        <w:pBdr>
          <w:bottom w:val="single" w:sz="18" w:space="4" w:color="003087"/>
        </w:pBdr>
      </w:pPr>
      <w:r>
        <w:rPr>
          <w:rFonts w:ascii="Calibri" w:hAnsi="Calibri"/>
          <w:b/>
          <w:i w:val="0"/>
          <w:color w:val="003087"/>
          <w:sz w:val="34"/>
        </w:rPr>
        <w:t>7.  Next Steps &amp; Decisions</w:t>
      </w:r>
    </w:p>
    <w:p>
      <w:pPr>
        <w:spacing w:before="280" w:after="120"/>
      </w:pPr>
      <w:r>
        <w:rPr>
          <w:rFonts w:ascii="Calibri" w:hAnsi="Calibri"/>
          <w:b/>
          <w:i w:val="0"/>
          <w:color w:val="00863F"/>
          <w:sz w:val="26"/>
        </w:rPr>
        <w:t>Decisions to make now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863F"/>
          <w:sz w:val="21"/>
        </w:rPr>
        <w:t xml:space="preserve">1. </w:t>
      </w:r>
      <w:r>
        <w:rPr>
          <w:rFonts w:ascii="Calibri" w:hAnsi="Calibri"/>
          <w:b w:val="0"/>
          <w:i w:val="0"/>
          <w:sz w:val="21"/>
        </w:rPr>
        <w:t>Confirm the per-feature scope.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863F"/>
          <w:sz w:val="21"/>
        </w:rPr>
        <w:t xml:space="preserve">2. </w:t>
      </w:r>
      <w:r>
        <w:rPr>
          <w:rFonts w:ascii="Calibri" w:hAnsi="Calibri"/>
          <w:b w:val="0"/>
          <w:i w:val="0"/>
          <w:sz w:val="21"/>
        </w:rPr>
        <w:t>Decide: fund F2 / F4 / F7 as parallel programs, or phase them across the year.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863F"/>
          <w:sz w:val="21"/>
        </w:rPr>
        <w:t xml:space="preserve">3. </w:t>
      </w:r>
      <w:r>
        <w:rPr>
          <w:rFonts w:ascii="Calibri" w:hAnsi="Calibri"/>
          <w:b w:val="0"/>
          <w:i w:val="0"/>
          <w:sz w:val="21"/>
        </w:rPr>
        <w:t>Approve the reserved stabilization capacity (~15–20%).</w:t>
      </w:r>
    </w:p>
    <w:p>
      <w:pPr>
        <w:spacing w:before="280" w:after="120"/>
      </w:pPr>
      <w:r>
        <w:rPr>
          <w:rFonts w:ascii="Calibri" w:hAnsi="Calibri"/>
          <w:b/>
          <w:i w:val="0"/>
          <w:color w:val="C05A00"/>
          <w:sz w:val="26"/>
        </w:rPr>
        <w:t>Discovery spikes to schedule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CAQH document API entitlement &amp; access.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Integrity-feed inventory (count &amp; parity rules).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Compliance mandate(s) definition &amp; deadline.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Mass-operation catalog — confirm the exact 7+ list.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60"/>
      </w:pPr>
      <w:r>
        <w:rPr>
          <w:rFonts w:ascii="Calibri" w:hAnsi="Calibri"/>
          <w:b w:val="0"/>
          <w:i/>
          <w:color w:val="5A7090"/>
          <w:sz w:val="21"/>
        </w:rPr>
        <w:t>Each priority has a standalone TDD + estimation doc in requirements/2027_ROM_TDD/.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