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svg" ContentType="image/svg+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Italian</w:t>
      </w:r>
      <w:r>
        <w:t xml:space="preserve"> </w:t>
      </w:r>
      <w:r>
        <w:t xml:space="preserve">as</w:t>
      </w:r>
      <w:r>
        <w:t xml:space="preserve"> </w:t>
      </w:r>
      <w:r>
        <w:t xml:space="preserve">Second</w:t>
      </w:r>
      <w:r>
        <w:t xml:space="preserve"> </w:t>
      </w:r>
      <w:r>
        <w:t xml:space="preserve">Language</w:t>
      </w:r>
      <w:r>
        <w:t xml:space="preserve"> </w:t>
      </w:r>
      <w:r>
        <w:t xml:space="preserve">in</w:t>
      </w:r>
      <w:r>
        <w:t xml:space="preserve"> </w:t>
      </w:r>
      <w:r>
        <w:t xml:space="preserve">native</w:t>
      </w:r>
      <w:r>
        <w:t xml:space="preserve"> </w:t>
      </w:r>
      <w:r>
        <w:t xml:space="preserve">Czechs</w:t>
      </w:r>
      <w:r>
        <w:t xml:space="preserve"> </w:t>
      </w:r>
      <w:r>
        <w:t xml:space="preserve">and</w:t>
      </w:r>
      <w:r>
        <w:t xml:space="preserve"> </w:t>
      </w:r>
      <w:r>
        <w:t xml:space="preserve">Slovaks</w:t>
      </w:r>
    </w:p>
    <w:p>
      <w:pPr>
        <w:pStyle w:val="Subtitle"/>
      </w:pPr>
      <w:r>
        <w:t xml:space="preserve">From</w:t>
      </w:r>
      <w:r>
        <w:t xml:space="preserve"> </w:t>
      </w:r>
      <w:r>
        <w:t xml:space="preserve">the</w:t>
      </w:r>
      <w:r>
        <w:t xml:space="preserve"> </w:t>
      </w:r>
      <w:r>
        <w:t xml:space="preserve">development</w:t>
      </w:r>
      <w:r>
        <w:t xml:space="preserve"> </w:t>
      </w:r>
      <w:r>
        <w:t xml:space="preserve">of</w:t>
      </w:r>
      <w:r>
        <w:t xml:space="preserve"> </w:t>
      </w:r>
      <w:r>
        <w:t xml:space="preserve">a</w:t>
      </w:r>
      <w:r>
        <w:t xml:space="preserve"> </w:t>
      </w:r>
      <w:r>
        <w:t xml:space="preserve">learner</w:t>
      </w:r>
      <w:r>
        <w:t xml:space="preserve"> </w:t>
      </w:r>
      <w:r>
        <w:t xml:space="preserve">corpus</w:t>
      </w:r>
      <w:r>
        <w:t xml:space="preserve"> </w:t>
      </w:r>
      <w:r>
        <w:t xml:space="preserve">towards</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2018-07-16</w:t>
      </w:r>
    </w:p>
    <w:p>
      <w:pPr>
        <w:pStyle w:val="Heading1"/>
      </w:pPr>
      <w:bookmarkStart w:id="21" w:name="preface"/>
      <w:bookmarkEnd w:id="21"/>
      <w:r>
        <w:t xml:space="preserve">Preface</w:t>
      </w:r>
    </w:p>
    <w:p>
      <w:pPr>
        <w:pStyle w:val="Heading2"/>
      </w:pPr>
      <w:bookmarkStart w:id="22" w:name="abstract"/>
      <w:bookmarkEnd w:id="22"/>
      <w:r>
        <w:t xml:space="preserve">Abstract</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Hauser, Chomsky, and Fitch</w:t>
      </w:r>
      <w:r>
        <w:t xml:space="preserve"> </w:t>
      </w:r>
      <w:hyperlink w:anchor="ref-hcf2002">
        <w:r>
          <w:rPr>
            <w:rStyle w:val="Hyperlink"/>
          </w:rPr>
          <w:t xml:space="preserve">2002</w:t>
        </w:r>
      </w:hyperlink>
      <w:r>
        <w:t xml:space="preserve">)</w:t>
      </w:r>
      <w:r>
        <w:t xml:space="preserve"> </w:t>
      </w:r>
      <w:r>
        <w:t xml:space="preserve">and its application in the field of the second language acquisition</w:t>
      </w:r>
      <w:r>
        <w:t xml:space="preserve"> </w:t>
      </w:r>
      <w:r>
        <w:t xml:space="preserve">(Rothman and Slabakova</w:t>
      </w:r>
      <w:r>
        <w:t xml:space="preserve"> </w:t>
      </w:r>
      <w:hyperlink w:anchor="ref-rothmanslabakova2017">
        <w:r>
          <w:rPr>
            <w:rStyle w:val="Hyperlink"/>
          </w:rPr>
          <w:t xml:space="preserve">2017</w:t>
        </w:r>
      </w:hyperlink>
      <w:r>
        <w:t xml:space="preserve">; Slabakova, Leal, and Liskin-Gasparro</w:t>
      </w:r>
      <w:r>
        <w:t xml:space="preserve"> </w:t>
      </w:r>
      <w:hyperlink w:anchor="ref-slabakovalealliskin2014">
        <w:r>
          <w:rPr>
            <w:rStyle w:val="Hyperlink"/>
          </w:rPr>
          <w:t xml:space="preserve">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(Clark</w:t>
      </w:r>
      <w:r>
        <w:t xml:space="preserve"> </w:t>
      </w:r>
      <w:hyperlink w:anchor="ref-clark2010">
        <w:r>
          <w:rPr>
            <w:rStyle w:val="Hyperlink"/>
          </w:rPr>
          <w:t xml:space="preserve">2010</w:t>
        </w:r>
      </w:hyperlink>
      <w:r>
        <w:t xml:space="preserve">; Kuebler and Zinsmeister</w:t>
      </w:r>
      <w:r>
        <w:t xml:space="preserve"> </w:t>
      </w:r>
      <w:hyperlink w:anchor="ref-kueblerzinsmeinster2015">
        <w:r>
          <w:rPr>
            <w:rStyle w:val="Hyperlink"/>
          </w:rPr>
          <w:t xml:space="preserve">2015</w:t>
        </w:r>
      </w:hyperlink>
      <w:r>
        <w:t xml:space="preserve">; Kurdi</w:t>
      </w:r>
      <w:r>
        <w:t xml:space="preserve"> </w:t>
      </w:r>
      <w:hyperlink w:anchor="ref-kurdi2016">
        <w:r>
          <w:rPr>
            <w:rStyle w:val="Hyperlink"/>
          </w:rPr>
          <w:t xml:space="preserve">2016</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p>
      <w:pPr>
        <w:pStyle w:val="Heading2"/>
      </w:pPr>
      <w:bookmarkStart w:id="23" w:name="keywords"/>
      <w:bookmarkEnd w:id="23"/>
      <w:r>
        <w:t xml:space="preserve">Keywords</w:t>
      </w:r>
    </w:p>
    <w:p>
      <w:pPr>
        <w:pStyle w:val="FirstParagraph"/>
      </w:pPr>
      <w:r>
        <w:t xml:space="preserve">Computational Linguistics; Syntax; Second Language Acquisition; Italian L2; Corpus Linguistics.</w:t>
      </w:r>
    </w:p>
    <w:p>
      <w:pPr>
        <w:pStyle w:val="Heading2"/>
      </w:pPr>
      <w:bookmarkStart w:id="24" w:name="progress-in-the-repository"/>
      <w:bookmarkEnd w:id="24"/>
      <w:r>
        <w:t xml:space="preserve">Progress in the repository</w:t>
      </w:r>
    </w:p>
    <w:p>
      <w:pPr>
        <w:pStyle w:val="FirstParagraph"/>
      </w:pPr>
      <w:r>
        <w:drawing>
          <wp:inline>
            <wp:extent cx="5334000" cy="3048000"/>
            <wp:effectExtent b="0" l="0" r="0" t="0"/>
            <wp:docPr descr="" title="" id="1" name="Picture"/>
            <a:graphic>
              <a:graphicData uri="http://schemas.openxmlformats.org/drawingml/2006/picture">
                <pic:pic>
                  <pic:nvPicPr>
                    <pic:cNvPr descr="phdThesis_files/figure-docx/unnamed-chunk-1-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p>
    <w:p>
      <w:pPr>
        <w:pStyle w:val="Heading1"/>
      </w:pPr>
      <w:bookmarkStart w:id="26" w:name="introduction"/>
      <w:bookmarkEnd w:id="26"/>
      <w:r>
        <w:t xml:space="preserve">Introduction</w:t>
      </w:r>
    </w:p>
    <w:p>
      <w:pPr>
        <w:pStyle w:val="FirstParagraph"/>
      </w:pPr>
      <w:r>
        <w:t xml:space="preserve">The main question of this thesis yields a twofold mindset that is not a corollary of the research but represents the process in which the work was conducted: how could I investigate a particular area of the language faculty as language acquisition in a way which can gain from the usage of the digital instruments in order to ground the theoretical analysis on actual data?</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collects into a coherent fashion a set of data that represent some spotted linguistic fact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BodyText"/>
      </w:pPr>
      <w:r>
        <w:t xml:space="preserve">This introductive chapter collects a preliminary way to represent the main areas of the research, the methods involved in the analysis and the possible outcomes of such a way to conduct the work.</w:t>
      </w:r>
    </w:p>
    <w:p>
      <w:pPr>
        <w:pStyle w:val="Heading2"/>
      </w:pPr>
      <w:bookmarkStart w:id="27" w:name="background-for-the-thesis"/>
      <w:bookmarkEnd w:id="27"/>
      <w:r>
        <w:t xml:space="preserve">Background for the thesis</w:t>
      </w:r>
    </w:p>
    <w:p>
      <w:pPr>
        <w:pStyle w:val="FirstParagraph"/>
      </w:pPr>
      <w:r>
        <w:t xml:space="preserve">Corpus Linguistics is a field of approaches developed during the last decades in order to give an empirical support to the investigations on language use and variation. It can offer strong support for analyzing the systematics which underlies the variations among the language use, yielding for empirical and quantitative methods.</w:t>
      </w:r>
    </w:p>
    <w:p>
      <w:pPr>
        <w:pStyle w:val="BlockText"/>
      </w:pPr>
      <w:r>
        <w:t xml:space="preserve">In fact, at one level it can be regarded as primarily a methodological approach:</w:t>
      </w:r>
    </w:p>
    <w:p>
      <w:pPr>
        <w:pStyle w:val="Compact"/>
        <w:pStyle w:val="BlockText"/>
        <w:numPr>
          <w:numId w:val="1001"/>
          <w:ilvl w:val="0"/>
        </w:numPr>
      </w:pPr>
      <w:r>
        <w:t xml:space="preserve">it is empirical, analyzing the actual patterns of use in natural texts;</w:t>
      </w:r>
    </w:p>
    <w:p>
      <w:pPr>
        <w:pStyle w:val="Compact"/>
        <w:pStyle w:val="BlockText"/>
        <w:numPr>
          <w:numId w:val="1001"/>
          <w:ilvl w:val="0"/>
        </w:numPr>
      </w:pPr>
      <w:r>
        <w:t xml:space="preserve">it utilizes a large and principled collection of natural texts, known as a</w:t>
      </w:r>
      <w:r>
        <w:t xml:space="preserve"> </w:t>
      </w:r>
      <w:r>
        <w:t xml:space="preserve">“</w:t>
      </w:r>
      <w:r>
        <w:t xml:space="preserve">corpus</w:t>
      </w:r>
      <w:r>
        <w:t xml:space="preserve">”</w:t>
      </w:r>
      <w:r>
        <w:t xml:space="preserve">, as the basis for analysis;</w:t>
      </w:r>
    </w:p>
    <w:p>
      <w:pPr>
        <w:pStyle w:val="Compact"/>
        <w:pStyle w:val="BlockText"/>
        <w:numPr>
          <w:numId w:val="1001"/>
          <w:ilvl w:val="0"/>
        </w:numPr>
      </w:pPr>
      <w:r>
        <w:t xml:space="preserve">it makes extensive use of computers for analysis, using both automatic and interactive techniques;</w:t>
      </w:r>
    </w:p>
    <w:p>
      <w:pPr>
        <w:pStyle w:val="Compact"/>
        <w:pStyle w:val="BlockText"/>
        <w:numPr>
          <w:numId w:val="1001"/>
          <w:ilvl w:val="0"/>
        </w:numPr>
      </w:pPr>
      <w:r>
        <w:t xml:space="preserve">it depends on both quantitative and qualitative analytical techniques</w:t>
      </w:r>
      <w:r>
        <w:t xml:space="preserve"> </w:t>
      </w:r>
      <w:r>
        <w:t xml:space="preserve">(Biber et al.</w:t>
      </w:r>
      <w:r>
        <w:t xml:space="preserve"> </w:t>
      </w:r>
      <w:hyperlink w:anchor="ref-biber1998">
        <w:r>
          <w:rPr>
            <w:rStyle w:val="Hyperlink"/>
          </w:rPr>
          <w:t xml:space="preserve">1998</w:t>
        </w:r>
      </w:hyperlink>
      <w:r>
        <w:t xml:space="preserve">)</w:t>
      </w:r>
    </w:p>
    <w:p>
      <w:pPr>
        <w:pStyle w:val="FirstParagraph"/>
      </w:pPr>
      <w:r>
        <w:t xml:space="preserve">The main tenets of such a discipline still permit to obtain different level of information starting from the texts and their annotations, to result in a general picture of the language variation. A part of this is due to a widespan documentation which overpasses the recognized linguistic theories - under the</w:t>
      </w:r>
      <w:r>
        <w:t xml:space="preserve"> </w:t>
      </w:r>
      <w:r>
        <w:rPr>
          <w:i/>
        </w:rPr>
        <w:t xml:space="preserve">corpus-driven</w:t>
      </w:r>
      <w:r>
        <w:t xml:space="preserve"> </w:t>
      </w:r>
      <w:r>
        <w:t xml:space="preserve">approach.</w:t>
      </w:r>
      <w:r>
        <w:t xml:space="preserve"> </w:t>
      </w:r>
      <w:r>
        <w:t xml:space="preserve">On the other, the</w:t>
      </w:r>
      <w:r>
        <w:t xml:space="preserve"> </w:t>
      </w:r>
      <w:r>
        <w:rPr>
          <w:i/>
        </w:rPr>
        <w:t xml:space="preserve">corpus-based</w:t>
      </w:r>
      <w:r>
        <w:t xml:space="preserve"> </w:t>
      </w:r>
      <w:r>
        <w:t xml:space="preserve">approach permits to ground the hypothesis on a real actual set of data constitutes by language use in an empirically based way.</w:t>
      </w:r>
    </w:p>
    <w:p>
      <w:pPr>
        <w:pStyle w:val="Heading3"/>
      </w:pPr>
      <w:bookmarkStart w:id="28" w:name="corpus-based-approach-motivations-for-the-thesis"/>
      <w:bookmarkEnd w:id="28"/>
      <w:r>
        <w:t xml:space="preserve">Corpus-based approach: motivations for the thesis</w:t>
      </w:r>
    </w:p>
    <w:p>
      <w:pPr>
        <w:pStyle w:val="FirstParagraph"/>
      </w:pPr>
      <w:r>
        <w:t xml:space="preserve">While a strong opposition between the way to approach the corpora can be fairly molded during the actual analysis of the data in a softer manner, it can be useful to stand up and recognize those models to threat linguistic data as a two different standpoints to keep in mind for the different purposes they grow on:</w:t>
      </w:r>
    </w:p>
    <w:p>
      <w:pPr>
        <w:numPr>
          <w:numId w:val="1002"/>
          <w:ilvl w:val="0"/>
        </w:numPr>
      </w:pPr>
      <w:r>
        <w:rPr>
          <w:b/>
        </w:rPr>
        <w:t xml:space="preserve">Corpus-based</w:t>
      </w:r>
      <w:r>
        <w:br w:type="textWrapping"/>
      </w:r>
      <w:r>
        <w:t xml:space="preserve">When a general theory on some linguistic fact is tested against a corpus in order to verify the hypotheses.</w:t>
      </w:r>
      <w:r>
        <w:t xml:space="preserve"> </w:t>
      </w:r>
      <w:r>
        <w:t xml:space="preserve">This kind of approach is more</w:t>
      </w:r>
      <w:r>
        <w:t xml:space="preserve"> </w:t>
      </w:r>
      <w:r>
        <w:rPr>
          <w:i/>
        </w:rPr>
        <w:t xml:space="preserve">deductive</w:t>
      </w:r>
      <w:r>
        <w:t xml:space="preserve">, while it goes top-down, proceeding from a general statement (the theory) towards a specific environment (the corpus).</w:t>
      </w:r>
    </w:p>
    <w:p>
      <w:pPr>
        <w:numPr>
          <w:numId w:val="1002"/>
          <w:ilvl w:val="0"/>
        </w:numPr>
      </w:pPr>
      <w:r>
        <w:rPr>
          <w:b/>
        </w:rPr>
        <w:t xml:space="preserve">Corpus-driven</w:t>
      </w:r>
      <w:r>
        <w:br w:type="textWrapping"/>
      </w:r>
      <w:r>
        <w:t xml:space="preserve">Corpus-driven approach tends to proceed from the analysis of the partial specific pieces (the corpus), in order to result into a general picture (the theory).</w:t>
      </w:r>
      <w:r>
        <w:t xml:space="preserve"> </w:t>
      </w:r>
      <w:r>
        <w:t xml:space="preserve">This method is more</w:t>
      </w:r>
      <w:r>
        <w:t xml:space="preserve"> </w:t>
      </w:r>
      <w:r>
        <w:rPr>
          <w:i/>
        </w:rPr>
        <w:t xml:space="preserve">inductive</w:t>
      </w:r>
      <w:r>
        <w:t xml:space="preserve">, going bottom-up.</w:t>
      </w:r>
    </w:p>
    <w:p>
      <w:pPr>
        <w:pStyle w:val="FirstParagraph"/>
      </w:pPr>
      <w:r>
        <w:t xml:space="preserve">Different views were proposed to face or embrace the corpora in language studies amongst the scholars. The first one is a well-known citation by</w:t>
      </w:r>
      <w:r>
        <w:t xml:space="preserve"> </w:t>
      </w:r>
      <w:hyperlink r:id="rId29">
        <w:r>
          <w:rPr>
            <w:rStyle w:val="Hyperlink"/>
          </w:rPr>
          <w:t xml:space="preserve">Noam Chomsky</w:t>
        </w:r>
      </w:hyperlink>
      <w:r>
        <w:t xml:space="preserve">, which substantially regrets any importance to corpora for a theory-oriented language modeling:</w:t>
      </w:r>
    </w:p>
    <w:p>
      <w:pPr>
        <w:pStyle w:val="BlockText"/>
      </w:pPr>
      <w:r>
        <w:t xml:space="preserve">Any natural corpus will be skewed.</w:t>
      </w:r>
      <w:r>
        <w:t xml:space="preserve"> </w:t>
      </w:r>
      <w:r>
        <w:t xml:space="preserve">Some sentences won’t occur because they are obvious, others because they are false, still others because they are impolite.</w:t>
      </w:r>
      <w:r>
        <w:t xml:space="preserve"> </w:t>
      </w:r>
      <w:r>
        <w:t xml:space="preserve">The corpus, if natural, will be so wildly skewed that the description would be no more than a mere list.</w:t>
      </w:r>
      <w:r>
        <w:t xml:space="preserve"> </w:t>
      </w:r>
      <w:r>
        <w:t xml:space="preserve">(Chomsky 1962,</w:t>
      </w:r>
      <w:r>
        <w:t xml:space="preserve"> </w:t>
      </w:r>
      <w:r>
        <w:rPr>
          <w:i/>
        </w:rPr>
        <w:t xml:space="preserve">A transformational approach to syntax</w:t>
      </w:r>
      <w:r>
        <w:t xml:space="preserve"> </w:t>
      </w:r>
      <w:r>
        <w:t xml:space="preserve">in Tognini-Bonelli</w:t>
      </w:r>
      <w:r>
        <w:t xml:space="preserve"> </w:t>
      </w:r>
      <w:hyperlink w:anchor="ref-togninibonelli2001">
        <w:r>
          <w:rPr>
            <w:rStyle w:val="Hyperlink"/>
          </w:rPr>
          <w:t xml:space="preserve">2001</w:t>
        </w:r>
      </w:hyperlink>
      <w:r>
        <w:t xml:space="preserve">)</w:t>
      </w:r>
    </w:p>
    <w:p>
      <w:pPr>
        <w:pStyle w:val="FirstParagraph"/>
      </w:pPr>
      <w:r>
        <w:t xml:space="preserve">On the other hand,</w:t>
      </w:r>
      <w:r>
        <w:t xml:space="preserve"> </w:t>
      </w:r>
      <w:hyperlink r:id="rId30">
        <w:r>
          <w:rPr>
            <w:rStyle w:val="Hyperlink"/>
          </w:rPr>
          <w:t xml:space="preserve">Charles Fillmore</w:t>
        </w:r>
      </w:hyperlink>
      <w:r>
        <w:t xml:space="preserve"> </w:t>
      </w:r>
      <w:r>
        <w:t xml:space="preserve">recognizes a structural place to corpora usage into language reflection:</w:t>
      </w:r>
    </w:p>
    <w:p>
      <w:pPr>
        <w:pStyle w:val="BlockText"/>
      </w:pPr>
      <w:r>
        <w:t xml:space="preserve">I have two main observations to make. The first is that I don’t think there can be any corpora, however large, that contain information about all of the areas of English lexicon and grammar that I want to explore; all that I have seen are inadequate. The second observation is that every corpus that I’ve had a chance to examine, however small, has taught me facts that I couldn’t imagine finding out about in any other way.</w:t>
      </w:r>
      <w:r>
        <w:t xml:space="preserve"> </w:t>
      </w:r>
      <w:r>
        <w:t xml:space="preserve">(Fillmore</w:t>
      </w:r>
      <w:r>
        <w:t xml:space="preserve"> </w:t>
      </w:r>
      <w:hyperlink w:anchor="ref-fillmore1992">
        <w:r>
          <w:rPr>
            <w:rStyle w:val="Hyperlink"/>
          </w:rPr>
          <w:t xml:space="preserve">1992</w:t>
        </w:r>
      </w:hyperlink>
      <w:r>
        <w:t xml:space="preserve">)</w:t>
      </w:r>
    </w:p>
    <w:p>
      <w:pPr>
        <w:pStyle w:val="FirstParagraph"/>
      </w:pPr>
      <w:r>
        <w:t xml:space="preserve">As in Fillmore’s quotation, it appears that the distinction between deductive and inductive method cannot be really disentangled in some part of the research planning, moreover in the case when the one which is developing a corpus is the same that is going to write an analysis based on: a simple scan of the data can yields for a purpose of a general theory which needs to be refined on the actual data in a more euristic manner.</w:t>
      </w:r>
    </w:p>
    <w:p>
      <w:pPr>
        <w:pStyle w:val="BodyText"/>
      </w:pPr>
      <w:r>
        <w:t xml:space="preserve">In this sense, while a</w:t>
      </w:r>
      <w:r>
        <w:t xml:space="preserve"> </w:t>
      </w:r>
      <w:r>
        <w:rPr>
          <w:i/>
        </w:rPr>
        <w:t xml:space="preserve">corpus-based</w:t>
      </w:r>
      <w:r>
        <w:t xml:space="preserve"> </w:t>
      </w:r>
      <w:r>
        <w:t xml:space="preserve">approach aims to generalize a picture</w:t>
      </w:r>
      <w:r>
        <w:t xml:space="preserve"> </w:t>
      </w:r>
      <w:r>
        <w:rPr>
          <w:i/>
        </w:rPr>
        <w:t xml:space="preserve">before</w:t>
      </w:r>
      <w:r>
        <w:t xml:space="preserve"> </w:t>
      </w:r>
      <w:r>
        <w:t xml:space="preserve">than an actual recognition of the data and the datasets, it can be possible to</w:t>
      </w:r>
    </w:p>
    <w:p>
      <w:pPr>
        <w:pStyle w:val="BodyText"/>
      </w:pPr>
      <w:r>
        <w:t xml:space="preserve">The purpose of this thesis aims to show how the</w:t>
      </w:r>
    </w:p>
    <w:p>
      <w:pPr>
        <w:pStyle w:val="Heading3"/>
      </w:pPr>
      <w:bookmarkStart w:id="31" w:name="learners-corpora-of-italian-l2-an-overview"/>
      <w:bookmarkEnd w:id="31"/>
      <w:r>
        <w:t xml:space="preserve">Learners corpora of Italian L2: an overview</w:t>
      </w:r>
    </w:p>
    <w:p>
      <w:pPr>
        <w:pStyle w:val="FirstParagraph"/>
      </w:pPr>
      <w:r>
        <w:t xml:space="preserve">Here I summarize the most representative Italian L2 learner corpora available online:</w:t>
      </w:r>
    </w:p>
    <w:p>
      <w:pPr>
        <w:numPr>
          <w:numId w:val="1003"/>
          <w:ilvl w:val="0"/>
        </w:numPr>
      </w:pPr>
      <w:hyperlink r:id="rId32">
        <w:r>
          <w:rPr>
            <w:rStyle w:val="Hyperlink"/>
            <w:b/>
          </w:rPr>
          <w:t xml:space="preserve">GranVALICO</w:t>
        </w:r>
      </w:hyperlink>
      <w:r>
        <w:t xml:space="preserve"> </w:t>
      </w:r>
      <w:r>
        <w:t xml:space="preserve">and</w:t>
      </w:r>
      <w:r>
        <w:t xml:space="preserve"> </w:t>
      </w:r>
      <w:hyperlink r:id="rId33">
        <w:r>
          <w:rPr>
            <w:rStyle w:val="Hyperlink"/>
            <w:b/>
          </w:rPr>
          <w:t xml:space="preserve">VALICO</w:t>
        </w:r>
      </w:hyperlink>
      <w:r>
        <w:t xml:space="preserve"> </w:t>
      </w:r>
      <w:r>
        <w:t xml:space="preserve">(Barbera</w:t>
      </w:r>
      <w:r>
        <w:t xml:space="preserve"> </w:t>
      </w:r>
      <w:hyperlink w:anchor="ref-valico">
        <w:r>
          <w:rPr>
            <w:rStyle w:val="Hyperlink"/>
          </w:rPr>
          <w:t xml:space="preserve">2003</w:t>
        </w:r>
      </w:hyperlink>
      <w:r>
        <w:t xml:space="preserve">)</w:t>
      </w:r>
      <w:r>
        <w:br w:type="textWrapping"/>
      </w:r>
      <w:r>
        <w:t xml:space="preserve">Learner corpora provided by Turin University. They represent the most valuable sources of Italian L2 corpora. They are composed by written texts composed by the students which have the assignment to describe the vignettes provided by the teachers. The corpora are accessible online with an advanced search that permits to filter the data by different parameters (e.g. learners’ L1 and education, assignments etc.).</w:t>
      </w:r>
    </w:p>
    <w:p>
      <w:pPr>
        <w:numPr>
          <w:numId w:val="1003"/>
          <w:ilvl w:val="0"/>
        </w:numPr>
      </w:pPr>
      <w:hyperlink r:id="rId34">
        <w:r>
          <w:rPr>
            <w:rStyle w:val="Hyperlink"/>
            <w:b/>
          </w:rPr>
          <w:t xml:space="preserve">MERLIN</w:t>
        </w:r>
      </w:hyperlink>
      <w:r>
        <w:t xml:space="preserve"> </w:t>
      </w:r>
      <w:r>
        <w:t xml:space="preserve">(Abel</w:t>
      </w:r>
      <w:r>
        <w:t xml:space="preserve"> </w:t>
      </w:r>
      <w:hyperlink w:anchor="ref-merlin">
        <w:r>
          <w:rPr>
            <w:rStyle w:val="Hyperlink"/>
          </w:rPr>
          <w:t xml:space="preserve">2014</w:t>
        </w:r>
      </w:hyperlink>
      <w:r>
        <w:t xml:space="preserve">)</w:t>
      </w:r>
      <w:r>
        <w:br w:type="textWrapping"/>
      </w:r>
      <w:r>
        <w:t xml:space="preserve">The MERLIN Corpus represents a wide-range multilingual documented resource which collects 2.286 texts written by learners of Czech, Italian and German.</w:t>
      </w:r>
      <w:r>
        <w:t xml:space="preserve"> </w:t>
      </w:r>
      <w:r>
        <w:t xml:space="preserve">Started in 2012, the main objective is to show the different levels of acquiring languages by the usage of written texts, relying on the CEFR level schema on L2 acquisition.</w:t>
      </w:r>
      <w:r>
        <w:t xml:space="preserve"> </w:t>
      </w:r>
      <w:r>
        <w:t xml:space="preserve">The Italian-L2 subcorpus contains 813 texts.</w:t>
      </w:r>
    </w:p>
    <w:p>
      <w:pPr>
        <w:numPr>
          <w:numId w:val="1003"/>
          <w:ilvl w:val="0"/>
        </w:numPr>
      </w:pPr>
      <w:hyperlink r:id="rId35">
        <w:r>
          <w:rPr>
            <w:rStyle w:val="Hyperlink"/>
            <w:b/>
          </w:rPr>
          <w:t xml:space="preserve">LIPS</w:t>
        </w:r>
      </w:hyperlink>
      <w:r>
        <w:t xml:space="preserve"> </w:t>
      </w:r>
      <w:r>
        <w:t xml:space="preserve">(Vedovelli et al.</w:t>
      </w:r>
      <w:r>
        <w:t xml:space="preserve"> </w:t>
      </w:r>
      <w:hyperlink w:anchor="ref-lips">
        <w:r>
          <w:rPr>
            <w:rStyle w:val="Hyperlink"/>
          </w:rPr>
          <w:t xml:space="preserve">1993–2006</w:t>
        </w:r>
      </w:hyperlink>
      <w:r>
        <w:t xml:space="preserve">)</w:t>
      </w:r>
      <w:r>
        <w:br w:type="textWrapping"/>
      </w:r>
      <w:r>
        <w:t xml:space="preserve">The corpus contains the transcriptions of more than 2000 audio files by CILS - Certificazione di Italiano come Lingua Straniera (CILS) at the Università per Stranieri of Siena between the years 1993–2006.</w:t>
      </w:r>
      <w:r>
        <w:t xml:space="preserve"> </w:t>
      </w:r>
      <w:r>
        <w:t xml:space="preserve">With more than 700k of words divided in</w:t>
      </w:r>
      <w:r>
        <w:t xml:space="preserve"> </w:t>
      </w:r>
      <w:r>
        <w:rPr>
          <w:i/>
        </w:rPr>
        <w:t xml:space="preserve">monologues</w:t>
      </w:r>
      <w:r>
        <w:t xml:space="preserve"> </w:t>
      </w:r>
      <w:r>
        <w:t xml:space="preserve">and</w:t>
      </w:r>
      <w:r>
        <w:t xml:space="preserve"> </w:t>
      </w:r>
      <w:r>
        <w:rPr>
          <w:i/>
        </w:rPr>
        <w:t xml:space="preserve">dialogues</w:t>
      </w:r>
      <w:r>
        <w:t xml:space="preserve"> </w:t>
      </w:r>
      <w:r>
        <w:t xml:space="preserve">between the candidate and the examiner, it represents one of the biggest corpora of Italian L2. The corpus is POS annotated using the tool Treetagger</w:t>
      </w:r>
      <w:r>
        <w:t xml:space="preserve"> </w:t>
      </w:r>
      <w:r>
        <w:t xml:space="preserve">(Schmid</w:t>
      </w:r>
      <w:r>
        <w:t xml:space="preserve"> </w:t>
      </w:r>
      <w:hyperlink w:anchor="ref-schmid1994">
        <w:r>
          <w:rPr>
            <w:rStyle w:val="Hyperlink"/>
          </w:rPr>
          <w:t xml:space="preserve">1994</w:t>
        </w:r>
      </w:hyperlink>
      <w:r>
        <w:t xml:space="preserve">)</w:t>
      </w:r>
      <w:r>
        <w:t xml:space="preserve">.</w:t>
      </w:r>
    </w:p>
    <w:p>
      <w:pPr>
        <w:numPr>
          <w:numId w:val="1003"/>
          <w:ilvl w:val="0"/>
        </w:numPr>
      </w:pPr>
      <w:hyperlink r:id="rId36">
        <w:r>
          <w:rPr>
            <w:rStyle w:val="Hyperlink"/>
            <w:b/>
          </w:rPr>
          <w:t xml:space="preserve">Czech-IT</w:t>
        </w:r>
      </w:hyperlink>
      <w:r>
        <w:t xml:space="preserve"> </w:t>
      </w:r>
      <w:r>
        <w:t xml:space="preserve">(Petolicchio and Bolpagni</w:t>
      </w:r>
      <w:r>
        <w:t xml:space="preserve"> </w:t>
      </w:r>
      <w:hyperlink w:anchor="ref-czech-it">
        <w:r>
          <w:rPr>
            <w:rStyle w:val="Hyperlink"/>
          </w:rPr>
          <w:t xml:space="preserve">2017</w:t>
        </w:r>
      </w:hyperlink>
      <w:r>
        <w:t xml:space="preserve">)</w:t>
      </w:r>
      <w:r>
        <w:br w:type="textWrapping"/>
      </w:r>
      <w:r>
        <w:t xml:space="preserve">The Czech-IT corpus contains chat messages, emails, coversations, surveys and assignments by more than 70 Czech and Slovak learners of Italian language.</w:t>
      </w:r>
      <w:r>
        <w:t xml:space="preserve"> </w:t>
      </w:r>
      <w:r>
        <w:t xml:space="preserve">Started in 2017, it is fully accessible online while the data acquisition continues. The whole dataset is fully interrogable by an interactive interface and released with a Creative Commons license; POS and automatic tagging are in tune.</w:t>
      </w:r>
    </w:p>
    <w:p>
      <w:pPr>
        <w:numPr>
          <w:numId w:val="1003"/>
          <w:ilvl w:val="0"/>
        </w:numPr>
      </w:pPr>
      <w:hyperlink r:id="rId37">
        <w:r>
          <w:rPr>
            <w:rStyle w:val="Hyperlink"/>
            <w:b/>
          </w:rPr>
          <w:t xml:space="preserve">Corpus Italiano scritto L2</w:t>
        </w:r>
      </w:hyperlink>
      <w:r>
        <w:t xml:space="preserve"> </w:t>
      </w:r>
      <w:r>
        <w:t xml:space="preserve">(Voghera and Turco</w:t>
      </w:r>
      <w:r>
        <w:t xml:space="preserve"> </w:t>
      </w:r>
      <w:hyperlink w:anchor="ref-vogheraturco2010">
        <w:r>
          <w:rPr>
            <w:rStyle w:val="Hyperlink"/>
          </w:rPr>
          <w:t xml:space="preserve">2010</w:t>
        </w:r>
      </w:hyperlink>
      <w:r>
        <w:t xml:space="preserve">)</w:t>
      </w:r>
      <w:r>
        <w:br w:type="textWrapping"/>
      </w:r>
      <w:r>
        <w:t xml:space="preserve">The corpus retains 227 written texts by undergraduate students of different native languages, which study Italian as a foreign language for their courses at the University of Greenwich.</w:t>
      </w:r>
      <w:r>
        <w:t xml:space="preserve"> </w:t>
      </w:r>
      <w:r>
        <w:t xml:space="preserve">Learners’ L1 are: albanian, bosniac, chinese, french, greek, english, norwegian, portuguese, spanish, tigrinya.</w:t>
      </w:r>
      <w:r>
        <w:br w:type="textWrapping"/>
      </w:r>
      <w:r>
        <w:t xml:space="preserve">The type of texts are:</w:t>
      </w:r>
      <w:r>
        <w:t xml:space="preserve"> </w:t>
      </w:r>
      <w:r>
        <w:rPr>
          <w:i/>
        </w:rPr>
        <w:t xml:space="preserve">descriptive</w:t>
      </w:r>
      <w:r>
        <w:t xml:space="preserve">,</w:t>
      </w:r>
      <w:r>
        <w:t xml:space="preserve"> </w:t>
      </w:r>
      <w:r>
        <w:rPr>
          <w:i/>
        </w:rPr>
        <w:t xml:space="preserve">narrative</w:t>
      </w:r>
      <w:r>
        <w:t xml:space="preserve"> </w:t>
      </w:r>
      <w:r>
        <w:t xml:space="preserve">and</w:t>
      </w:r>
      <w:r>
        <w:t xml:space="preserve"> </w:t>
      </w:r>
      <w:r>
        <w:rPr>
          <w:i/>
        </w:rPr>
        <w:t xml:space="preserve">argumental</w:t>
      </w:r>
      <w:r>
        <w:t xml:space="preserve">.</w:t>
      </w:r>
      <w:r>
        <w:t xml:space="preserve"> </w:t>
      </w:r>
      <w:r>
        <w:t xml:space="preserve">The texts are syntactically annotated and the tagset is available in xml format.</w:t>
      </w:r>
    </w:p>
    <w:p>
      <w:pPr>
        <w:pStyle w:val="TableCaption"/>
      </w:pPr>
      <w:r>
        <w:t xml:space="preserve">Statistics of Italian L2 Corpora</w:t>
      </w:r>
    </w:p>
    <w:tbl>
      <w:tblPr>
        <w:tblStyle w:val="TableNormal"/>
        <w:tblW w:type="pct" w:w="0.0"/>
        <w:tblLook w:firstRow="1"/>
        <w:tblCaption w:val="Statistics of Italian L2 Corpora"/>
      </w:tblPr>
      <w:tblGrid/>
      <w:tr>
        <w:trPr>
          <w:cnfStyle w:firstRow="1"/>
        </w:trPr>
        <w:tc>
          <w:tcPr>
            <w:tcBorders>
              <w:bottom w:val="single"/>
            </w:tcBorders>
            <w:vAlign w:val="bottom"/>
          </w:tcPr>
          <w:p>
            <w:pPr>
              <w:pStyle w:val="Compact"/>
              <w:jc w:val="left"/>
            </w:pPr>
            <w:r>
              <w:t xml:space="preserve">Corpus</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right"/>
            </w:pPr>
            <w:r>
              <w:t xml:space="preserve">Texts</w:t>
            </w:r>
          </w:p>
        </w:tc>
        <w:tc>
          <w:tcPr>
            <w:tcBorders>
              <w:bottom w:val="single"/>
            </w:tcBorders>
            <w:vAlign w:val="bottom"/>
          </w:tcPr>
          <w:p>
            <w:pPr>
              <w:pStyle w:val="Compact"/>
              <w:jc w:val="right"/>
            </w:pPr>
            <w:r>
              <w:t xml:space="preserve">Tokens</w:t>
            </w:r>
          </w:p>
        </w:tc>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Years</w:t>
            </w:r>
          </w:p>
        </w:tc>
      </w:tr>
      <w:tr>
        <w:tc>
          <w:p>
            <w:pPr>
              <w:pStyle w:val="Compact"/>
              <w:jc w:val="left"/>
            </w:pPr>
            <w:r>
              <w:t xml:space="preserve">GranVALICO</w:t>
            </w:r>
          </w:p>
        </w:tc>
        <w:tc>
          <w:p>
            <w:pPr>
              <w:pStyle w:val="Compact"/>
              <w:jc w:val="left"/>
            </w:pPr>
            <w:r>
              <w:t xml:space="preserve">Various</w:t>
            </w:r>
          </w:p>
        </w:tc>
        <w:tc>
          <w:p>
            <w:pPr>
              <w:pStyle w:val="Compact"/>
              <w:jc w:val="right"/>
            </w:pPr>
            <w:r>
              <w:t xml:space="preserve">4778</w:t>
            </w:r>
          </w:p>
        </w:tc>
        <w:tc>
          <w:p>
            <w:pPr>
              <w:pStyle w:val="Compact"/>
              <w:jc w:val="right"/>
            </w:pPr>
            <w:r>
              <w:t xml:space="preserve">784217</w:t>
            </w:r>
          </w:p>
        </w:tc>
        <w:tc>
          <w:p>
            <w:pPr>
              <w:pStyle w:val="Compact"/>
              <w:jc w:val="right"/>
            </w:pPr>
            <w:r>
              <w:t xml:space="preserve">13057</w:t>
            </w:r>
          </w:p>
        </w:tc>
        <w:tc>
          <w:p>
            <w:pPr>
              <w:pStyle w:val="Compact"/>
              <w:jc w:val="right"/>
            </w:pPr>
            <w:r>
              <w:t xml:space="preserve">2002–2007</w:t>
            </w:r>
          </w:p>
        </w:tc>
      </w:tr>
      <w:tr>
        <w:tc>
          <w:p>
            <w:pPr>
              <w:pStyle w:val="Compact"/>
              <w:jc w:val="left"/>
            </w:pPr>
            <w:r>
              <w:t xml:space="preserve">VALICO</w:t>
            </w:r>
          </w:p>
        </w:tc>
        <w:tc>
          <w:p>
            <w:pPr>
              <w:pStyle w:val="Compact"/>
              <w:jc w:val="left"/>
            </w:pPr>
            <w:r>
              <w:t xml:space="preserve">Various</w:t>
            </w:r>
          </w:p>
        </w:tc>
        <w:tc>
          <w:p>
            <w:pPr>
              <w:pStyle w:val="Compact"/>
              <w:jc w:val="right"/>
            </w:pPr>
            <w:r>
              <w:t xml:space="preserve">2502</w:t>
            </w:r>
          </w:p>
        </w:tc>
        <w:tc>
          <w:p>
            <w:pPr>
              <w:pStyle w:val="Compact"/>
              <w:jc w:val="right"/>
            </w:pPr>
            <w:r>
              <w:t xml:space="preserve">382098</w:t>
            </w:r>
          </w:p>
        </w:tc>
        <w:tc>
          <w:p>
            <w:pPr>
              <w:pStyle w:val="Compact"/>
              <w:jc w:val="right"/>
            </w:pPr>
            <w:r>
              <w:t xml:space="preserve">6935</w:t>
            </w:r>
          </w:p>
        </w:tc>
        <w:tc>
          <w:p>
            <w:pPr>
              <w:pStyle w:val="Compact"/>
            </w:pPr>
          </w:p>
        </w:tc>
      </w:tr>
      <w:tr>
        <w:tc>
          <w:p>
            <w:pPr>
              <w:pStyle w:val="Compact"/>
              <w:jc w:val="left"/>
            </w:pPr>
            <w:r>
              <w:t xml:space="preserve">LIPS</w:t>
            </w:r>
          </w:p>
        </w:tc>
        <w:tc>
          <w:p>
            <w:pPr>
              <w:pStyle w:val="Compact"/>
              <w:jc w:val="left"/>
            </w:pPr>
            <w:r>
              <w:t xml:space="preserve">Various</w:t>
            </w:r>
          </w:p>
        </w:tc>
        <w:tc>
          <w:p>
            <w:pPr>
              <w:pStyle w:val="Compact"/>
              <w:jc w:val="right"/>
            </w:pPr>
            <w:r>
              <w:t xml:space="preserve">2198</w:t>
            </w:r>
          </w:p>
        </w:tc>
        <w:tc>
          <w:p>
            <w:pPr>
              <w:pStyle w:val="Compact"/>
              <w:jc w:val="right"/>
            </w:pPr>
            <w:r>
              <w:t xml:space="preserve">&gt; 700000</w:t>
            </w:r>
          </w:p>
        </w:tc>
        <w:tc>
          <w:p>
            <w:pPr>
              <w:pStyle w:val="Compact"/>
            </w:pPr>
          </w:p>
        </w:tc>
        <w:tc>
          <w:p>
            <w:pPr>
              <w:pStyle w:val="Compact"/>
              <w:jc w:val="right"/>
            </w:pPr>
            <w:r>
              <w:t xml:space="preserve">1993–2006</w:t>
            </w:r>
          </w:p>
        </w:tc>
      </w:tr>
      <w:tr>
        <w:tc>
          <w:p>
            <w:pPr>
              <w:pStyle w:val="Compact"/>
              <w:jc w:val="left"/>
            </w:pPr>
            <w:r>
              <w:t xml:space="preserve">MERLIN</w:t>
            </w:r>
          </w:p>
        </w:tc>
        <w:tc>
          <w:p>
            <w:pPr>
              <w:pStyle w:val="Compact"/>
              <w:jc w:val="left"/>
            </w:pPr>
            <w:r>
              <w:t xml:space="preserve">Various</w:t>
            </w:r>
          </w:p>
        </w:tc>
        <w:tc>
          <w:p>
            <w:pPr>
              <w:pStyle w:val="Compact"/>
              <w:jc w:val="right"/>
            </w:pPr>
            <w:r>
              <w:t xml:space="preserve">813</w:t>
            </w:r>
          </w:p>
        </w:tc>
        <w:tc>
          <w:p>
            <w:pPr>
              <w:pStyle w:val="Compact"/>
            </w:pPr>
          </w:p>
        </w:tc>
        <w:tc>
          <w:p>
            <w:pPr>
              <w:pStyle w:val="Compact"/>
            </w:pPr>
          </w:p>
        </w:tc>
        <w:tc>
          <w:p>
            <w:pPr>
              <w:pStyle w:val="Compact"/>
              <w:jc w:val="right"/>
            </w:pPr>
            <w:r>
              <w:t xml:space="preserve">2012–?</w:t>
            </w:r>
          </w:p>
        </w:tc>
      </w:tr>
      <w:tr>
        <w:tc>
          <w:p>
            <w:pPr>
              <w:pStyle w:val="Compact"/>
              <w:jc w:val="left"/>
            </w:pPr>
            <w:r>
              <w:t xml:space="preserve">Czech-IT</w:t>
            </w:r>
          </w:p>
        </w:tc>
        <w:tc>
          <w:p>
            <w:pPr>
              <w:pStyle w:val="Compact"/>
              <w:jc w:val="left"/>
            </w:pPr>
            <w:r>
              <w:t xml:space="preserve">cs,sk</w:t>
            </w:r>
          </w:p>
        </w:tc>
        <w:tc>
          <w:p>
            <w:pPr>
              <w:pStyle w:val="Compact"/>
              <w:jc w:val="right"/>
            </w:pPr>
            <w:r>
              <w:t xml:space="preserve">316</w:t>
            </w:r>
          </w:p>
        </w:tc>
        <w:tc>
          <w:p>
            <w:pPr>
              <w:pStyle w:val="Compact"/>
              <w:jc w:val="right"/>
            </w:pPr>
            <w:r>
              <w:t xml:space="preserve">17064</w:t>
            </w:r>
          </w:p>
        </w:tc>
        <w:tc>
          <w:p>
            <w:pPr>
              <w:pStyle w:val="Compact"/>
            </w:pPr>
          </w:p>
        </w:tc>
        <w:tc>
          <w:p>
            <w:pPr>
              <w:pStyle w:val="Compact"/>
              <w:jc w:val="right"/>
            </w:pPr>
            <w:r>
              <w:t xml:space="preserve">2017–present</w:t>
            </w:r>
          </w:p>
        </w:tc>
      </w:tr>
      <w:tr>
        <w:tc>
          <w:p>
            <w:pPr>
              <w:pStyle w:val="Compact"/>
              <w:jc w:val="left"/>
            </w:pPr>
            <w:r>
              <w:t xml:space="preserve">Corpus Italiano Scritto L2</w:t>
            </w:r>
          </w:p>
        </w:tc>
        <w:tc>
          <w:p>
            <w:pPr>
              <w:pStyle w:val="Compact"/>
              <w:jc w:val="left"/>
            </w:pPr>
            <w:r>
              <w:t xml:space="preserve">Various</w:t>
            </w:r>
          </w:p>
        </w:tc>
        <w:tc>
          <w:p>
            <w:pPr>
              <w:pStyle w:val="Compact"/>
              <w:jc w:val="right"/>
            </w:pPr>
            <w:r>
              <w:t xml:space="preserve">227</w:t>
            </w:r>
          </w:p>
        </w:tc>
        <w:tc>
          <w:p>
            <w:pPr>
              <w:pStyle w:val="Compact"/>
              <w:jc w:val="right"/>
            </w:pPr>
            <w:r>
              <w:t xml:space="preserve">22931</w:t>
            </w:r>
          </w:p>
        </w:tc>
        <w:tc>
          <w:p>
            <w:pPr>
              <w:pStyle w:val="Compact"/>
            </w:pPr>
          </w:p>
        </w:tc>
        <w:tc>
          <w:p>
            <w:pPr>
              <w:pStyle w:val="Compact"/>
              <w:jc w:val="right"/>
            </w:pPr>
            <w:r>
              <w:t xml:space="preserve">2010?</w:t>
            </w:r>
          </w:p>
        </w:tc>
      </w:tr>
    </w:tbl>
    <w:p>
      <w:pPr>
        <w:pStyle w:val="Heading2"/>
      </w:pPr>
      <w:bookmarkStart w:id="38" w:name="objectives-of-the-thesis"/>
      <w:bookmarkEnd w:id="38"/>
      <w:r>
        <w:t xml:space="preserve">Objectives of the thesis</w:t>
      </w:r>
    </w:p>
    <w:p>
      <w:pPr>
        <w:pStyle w:val="FirstParagraph"/>
      </w:pPr>
      <w:r>
        <w:t xml:space="preserve">The three main objectives of this thesis are methodological, empirical and theoretical.</w:t>
      </w:r>
    </w:p>
    <w:p>
      <w:pPr>
        <w:pStyle w:val="Compact"/>
        <w:numPr>
          <w:numId w:val="1004"/>
          <w:ilvl w:val="0"/>
        </w:numPr>
      </w:pPr>
      <w:r>
        <w:rPr>
          <w:b/>
        </w:rPr>
        <w:t xml:space="preserve">Methodological objectives</w:t>
      </w:r>
      <w:r>
        <w:br w:type="textWrapping"/>
      </w:r>
      <w:r>
        <w:t xml:space="preserve">To address the decisions and the methods raised by the compilation, the storage and the design of a learner based corpus, exploring the effective procedures for retrieving the relevant features for the analysis;</w:t>
      </w:r>
    </w:p>
    <w:p>
      <w:pPr>
        <w:pStyle w:val="Compact"/>
        <w:numPr>
          <w:numId w:val="1004"/>
          <w:ilvl w:val="0"/>
        </w:numPr>
      </w:pPr>
      <w:r>
        <w:rPr>
          <w:b/>
        </w:rPr>
        <w:t xml:space="preserve">Empirical objectives</w:t>
      </w:r>
      <w:r>
        <w:br w:type="textWrapping"/>
      </w:r>
      <w:r>
        <w:t xml:space="preserve">To explore the previous generalizations of the acquisitional path in SLA literature comparing with the amount of linguistic productions given by different learners;</w:t>
      </w:r>
    </w:p>
    <w:p>
      <w:pPr>
        <w:pStyle w:val="Compact"/>
        <w:numPr>
          <w:numId w:val="1004"/>
          <w:ilvl w:val="0"/>
        </w:numPr>
      </w:pPr>
      <w:r>
        <w:rPr>
          <w:b/>
        </w:rPr>
        <w:t xml:space="preserve">Theoretical objectives</w:t>
      </w:r>
      <w:r>
        <w:br w:type="textWrapping"/>
      </w:r>
      <w:r>
        <w:t xml:space="preserve">To describe the features which are relevant for characterise the language variety effect and the place of interlanguage.</w:t>
      </w:r>
    </w:p>
    <w:p>
      <w:pPr>
        <w:pStyle w:val="Heading3"/>
      </w:pPr>
      <w:bookmarkStart w:id="39" w:name="methodological-objectives"/>
      <w:bookmarkEnd w:id="39"/>
      <w:r>
        <w:t xml:space="preserve">Methodological objectives</w:t>
      </w:r>
    </w:p>
    <w:p>
      <w:pPr>
        <w:pStyle w:val="FirstParagraph"/>
      </w:pPr>
      <w:r>
        <w:t xml:space="preserve">While usually seen as a sussidary tool for linguistic investigations, corpus linguistics can be regarded with a certain degree of indipendence by such aims, and involves highly specialized sectors for what concerns the planning, the mantaining, the design and the scalarity in time of the corpora.</w:t>
      </w:r>
    </w:p>
    <w:p>
      <w:pPr>
        <w:pStyle w:val="BodyText"/>
      </w:pPr>
      <w:r>
        <w:rPr>
          <w:b/>
        </w:rPr>
        <w:t xml:space="preserve">Reproducible research</w:t>
      </w:r>
    </w:p>
    <w:p>
      <w:pPr>
        <w:pStyle w:val="Heading3"/>
      </w:pPr>
      <w:bookmarkStart w:id="40" w:name="empirical-objectives"/>
      <w:bookmarkEnd w:id="40"/>
      <w:r>
        <w:t xml:space="preserve">Empirical objectives</w:t>
      </w:r>
    </w:p>
    <w:p>
      <w:pPr>
        <w:pStyle w:val="FirstParagraph"/>
      </w:pPr>
      <w:r>
        <w:t xml:space="preserve">Amongst many scholar the role of the native language (L1) has been raised as a factor of possible conditionation in the way which the target language (L2) is acquired during the learning path: an emblematic case is the</w:t>
      </w:r>
      <w:r>
        <w:t xml:space="preserve"> </w:t>
      </w:r>
      <w:r>
        <w:rPr>
          <w:i/>
        </w:rPr>
        <w:t xml:space="preserve">transfer</w:t>
      </w:r>
      <w:r>
        <w:t xml:space="preserve"> </w:t>
      </w:r>
      <w:r>
        <w:t xml:space="preserve">of the knowledge about the structures of the L1 to the target, revealing the intermediate steps of the acquisitional path defined with the term</w:t>
      </w:r>
      <w:r>
        <w:t xml:space="preserve"> </w:t>
      </w:r>
      <w:r>
        <w:rPr>
          <w:i/>
        </w:rPr>
        <w:t xml:space="preserve">interlanguage</w:t>
      </w:r>
      <w:r>
        <w:t xml:space="preserve"> </w:t>
      </w:r>
      <w:r>
        <w:t xml:space="preserve">(Selinker</w:t>
      </w:r>
      <w:r>
        <w:t xml:space="preserve"> </w:t>
      </w:r>
      <w:hyperlink w:anchor="ref-selinker1972">
        <w:r>
          <w:rPr>
            <w:rStyle w:val="Hyperlink"/>
          </w:rPr>
          <w:t xml:space="preserve">1972</w:t>
        </w:r>
      </w:hyperlink>
      <w:r>
        <w:t xml:space="preserve">)</w:t>
      </w:r>
      <w:r>
        <w:t xml:space="preserve">, that we can refer as to</w:t>
      </w:r>
      <w:r>
        <w:t xml:space="preserve"> </w:t>
      </w:r>
      <w:r>
        <w:rPr>
          <w:b/>
        </w:rPr>
        <w:t xml:space="preserve">Interlanguage Hypothesis</w:t>
      </w:r>
      <w:r>
        <w:t xml:space="preserve"> </w:t>
      </w:r>
      <w:r>
        <w:t xml:space="preserve">(IlH). Different from this hypothesis –which recognizes a central place to the native language in the acquisitional path– is the</w:t>
      </w:r>
      <w:r>
        <w:t xml:space="preserve"> </w:t>
      </w:r>
      <w:r>
        <w:rPr>
          <w:b/>
        </w:rPr>
        <w:t xml:space="preserve">Monitor Model</w:t>
      </w:r>
      <w:r>
        <w:t xml:space="preserve"> </w:t>
      </w:r>
      <w:r>
        <w:t xml:space="preserve">(Krashen</w:t>
      </w:r>
      <w:r>
        <w:t xml:space="preserve"> </w:t>
      </w:r>
      <w:hyperlink w:anchor="ref-krashen1981">
        <w:r>
          <w:rPr>
            <w:rStyle w:val="Hyperlink"/>
          </w:rPr>
          <w:t xml:space="preserve">1981</w:t>
        </w:r>
      </w:hyperlink>
      <w:r>
        <w:t xml:space="preserve">)</w:t>
      </w:r>
      <w:r>
        <w:t xml:space="preserve">, a multi-focal perspective on language acquisition where different factors are described as involved in the process and where the L1 could not represent that conditionation.</w:t>
      </w:r>
    </w:p>
    <w:p>
      <w:pPr>
        <w:pStyle w:val="BodyText"/>
      </w:pPr>
      <w:r>
        <w:t xml:space="preserve">Since the last 20 years, a considerable part of linguistic activity is involved in developing some sort of models to describe how the faculty of language can work, in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(Ellis</w:t>
      </w:r>
      <w:r>
        <w:t xml:space="preserve"> </w:t>
      </w:r>
      <w:hyperlink w:anchor="ref-ellis1994">
        <w:r>
          <w:rPr>
            <w:rStyle w:val="Hyperlink"/>
          </w:rPr>
          <w:t xml:space="preserve">1994</w:t>
        </w:r>
      </w:hyperlink>
      <w:r>
        <w:t xml:space="preserve">)</w:t>
      </w:r>
      <w:r>
        <w:t xml:space="preserve"> </w:t>
      </w:r>
      <w:r>
        <w:t xml:space="preserve">than by theoretically grounded perspective focused on Generative framework (GenSLA)</w:t>
      </w:r>
      <w:r>
        <w:t xml:space="preserve"> </w:t>
      </w:r>
      <w:r>
        <w:t xml:space="preserve">(Guasti</w:t>
      </w:r>
      <w:r>
        <w:t xml:space="preserve"> </w:t>
      </w:r>
      <w:hyperlink w:anchor="ref-guasti2002">
        <w:r>
          <w:rPr>
            <w:rStyle w:val="Hyperlink"/>
          </w:rPr>
          <w:t xml:space="preserve">2002</w:t>
        </w:r>
      </w:hyperlink>
      <w:r>
        <w:t xml:space="preserve">; Hawkins</w:t>
      </w:r>
      <w:r>
        <w:t xml:space="preserve"> </w:t>
      </w:r>
      <w:hyperlink w:anchor="ref-hawkins2001">
        <w:r>
          <w:rPr>
            <w:rStyle w:val="Hyperlink"/>
          </w:rPr>
          <w:t xml:space="preserve">2001</w:t>
        </w:r>
      </w:hyperlink>
      <w:r>
        <w:t xml:space="preserve">; Rothman and Slabakova</w:t>
      </w:r>
      <w:r>
        <w:t xml:space="preserve"> </w:t>
      </w:r>
      <w:hyperlink w:anchor="ref-rothmanslabakova2017">
        <w:r>
          <w:rPr>
            <w:rStyle w:val="Hyperlink"/>
          </w:rPr>
          <w:t xml:space="preserve">2017</w:t>
        </w:r>
      </w:hyperlink>
      <w:r>
        <w:t xml:space="preserve">; Sorace</w:t>
      </w:r>
      <w:r>
        <w:t xml:space="preserve"> </w:t>
      </w:r>
      <w:hyperlink w:anchor="ref-sorace2011">
        <w:r>
          <w:rPr>
            <w:rStyle w:val="Hyperlink"/>
          </w:rPr>
          <w:t xml:space="preserve">2011</w:t>
        </w:r>
      </w:hyperlink>
      <w:r>
        <w:t xml:space="preserve">)</w:t>
      </w:r>
      <w:r>
        <w:t xml:space="preserve">.</w:t>
      </w:r>
      <w:r>
        <w:t xml:space="preserve"> </w:t>
      </w:r>
      <w:r>
        <w:t xml:space="preserve">In this sense appears that the adoption of a general picture in which analysing the variation in grammar into a</w:t>
      </w:r>
      <w:r>
        <w:t xml:space="preserve"> </w:t>
      </w:r>
      <w:r>
        <w:rPr>
          <w:i/>
        </w:rPr>
        <w:t xml:space="preserve">parametric</w:t>
      </w:r>
      <w:r>
        <w:t xml:space="preserve"> </w:t>
      </w:r>
      <w:r>
        <w:t xml:space="preserve">model</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can be suitable for long-standing researches on SLA and interlanguage.</w:t>
      </w:r>
    </w:p>
    <w:p>
      <w:pPr>
        <w:pStyle w:val="BodyText"/>
      </w:pPr>
      <w:r>
        <w:t xml:space="preserve">The dataset used in this thesis aims to display either the different linguistic outcomes in a wide range of communicative situations by the same learner, both than a sociolinguistic grained analysis where the variety of educational or age range can show different linguistic behaviors in the range of learners’ variety.</w:t>
      </w:r>
    </w:p>
    <w:p>
      <w:pPr>
        <w:pStyle w:val="Heading3"/>
      </w:pPr>
      <w:bookmarkStart w:id="41" w:name="theoretical-objectives"/>
      <w:bookmarkEnd w:id="41"/>
      <w:r>
        <w:t xml:space="preserve">Theoretical objectives</w:t>
      </w:r>
    </w:p>
    <w:p>
      <w:pPr>
        <w:pStyle w:val="FirstParagraph"/>
      </w:pPr>
      <w:r>
        <w:t xml:space="preserve">From a theoretical viewpoint, the research is inserted in the current theories that rely on the hierarchical functioning of the language faculty, for which the variation among languages are reconducted to a parametrizing of choice amongst the languages</w:t>
      </w:r>
      <w:r>
        <w:t xml:space="preserve"> </w:t>
      </w:r>
      <w:r>
        <w:t xml:space="preserve">(Adger</w:t>
      </w:r>
      <w:r>
        <w:t xml:space="preserve"> </w:t>
      </w:r>
      <w:hyperlink w:anchor="ref-adger2013">
        <w:r>
          <w:rPr>
            <w:rStyle w:val="Hyperlink"/>
          </w:rPr>
          <w:t xml:space="preserve">2013</w:t>
        </w:r>
      </w:hyperlink>
      <w:r>
        <w:t xml:space="preserve">; 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Chomsky</w:t>
      </w:r>
      <w:r>
        <w:t xml:space="preserve"> </w:t>
      </w:r>
      <w:hyperlink w:anchor="ref-chomsky2015">
        <w:r>
          <w:rPr>
            <w:rStyle w:val="Hyperlink"/>
          </w:rPr>
          <w:t xml:space="preserve">2015</w:t>
        </w:r>
      </w:hyperlink>
      <w:r>
        <w:t xml:space="preserve">; Rizzi</w:t>
      </w:r>
      <w:r>
        <w:t xml:space="preserve"> </w:t>
      </w:r>
      <w:hyperlink w:anchor="ref-rizzi2013">
        <w:r>
          <w:rPr>
            <w:rStyle w:val="Hyperlink"/>
          </w:rPr>
          <w:t xml:space="preserve">2013</w:t>
        </w:r>
      </w:hyperlink>
      <w:r>
        <w:t xml:space="preserve">)</w:t>
      </w:r>
      <w:r>
        <w:t xml:space="preserve">, which are structurally constant, despite of the wideness of the linguistic variation:</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r>
        <w:t xml:space="preserve"> </w:t>
      </w:r>
      <w:r>
        <w:t xml:space="preserve">(Chomsky</w:t>
      </w:r>
      <w:r>
        <w:t xml:space="preserve"> </w:t>
      </w:r>
      <w:hyperlink w:anchor="ref-chomsky1995">
        <w:r>
          <w:rPr>
            <w:rStyle w:val="Hyperlink"/>
          </w:rPr>
          <w:t xml:space="preserve">1995</w:t>
        </w:r>
      </w:hyperlink>
      <w:r>
        <w:t xml:space="preserve">)</w:t>
      </w:r>
    </w:p>
    <w:p>
      <w:pPr>
        <w:pStyle w:val="FirstParagraph"/>
      </w:pPr>
      <w:r>
        <w:t xml:space="preserve">This view permits on one side to compare the syntactic structures in a coherent and schematic way, while on the other it concentrates moreover on the hierarchical fashion of the language faculty than on the linear order displayed by the utterances</w:t>
      </w:r>
      <w:r>
        <w:t xml:space="preserve"> </w:t>
      </w:r>
      <w:r>
        <w:t xml:space="preserve">(Kayne</w:t>
      </w:r>
      <w:r>
        <w:t xml:space="preserve"> </w:t>
      </w:r>
      <w:hyperlink w:anchor="ref-kayne1994">
        <w:r>
          <w:rPr>
            <w:rStyle w:val="Hyperlink"/>
          </w:rPr>
          <w:t xml:space="preserve">1994</w:t>
        </w:r>
      </w:hyperlink>
      <w:r>
        <w:t xml:space="preserve">; Moro</w:t>
      </w:r>
      <w:r>
        <w:t xml:space="preserve"> </w:t>
      </w:r>
      <w:hyperlink w:anchor="ref-moro2000">
        <w:r>
          <w:rPr>
            <w:rStyle w:val="Hyperlink"/>
          </w:rPr>
          <w:t xml:space="preserve">2000</w:t>
        </w:r>
      </w:hyperlink>
      <w:r>
        <w:t xml:space="preserve">)</w:t>
      </w:r>
      <w:r>
        <w:t xml:space="preserve">. In this perspective is generally assumed that the hierarchical phrase structure plays a central role in syntactic computation, while the</w:t>
      </w:r>
      <w:r>
        <w:t xml:space="preserve"> </w:t>
      </w:r>
      <w:r>
        <w:rPr>
          <w:i/>
        </w:rPr>
        <w:t xml:space="preserve">flattering</w:t>
      </w:r>
      <w:r>
        <w:t xml:space="preserve"> </w:t>
      </w:r>
      <w:r>
        <w:t xml:space="preserve">of such structures into a mono-dimensional workspace is a matter of externalization constraints and interface conditions (e.g. the need to give an ordered array where every item of the sentence is present at one time in order to be spelled out).</w:t>
      </w:r>
      <w:r>
        <w:t xml:space="preserve"> </w:t>
      </w:r>
      <w:r>
        <w:t xml:space="preserve">I will summarize this in a representational way with the usual tree-diagram in Fig.</w:t>
      </w:r>
      <w:r>
        <w:t xml:space="preserve">1</w:t>
      </w:r>
      <w:r>
        <w:t xml:space="preserve">.</w:t>
      </w:r>
    </w:p>
    <w:p>
      <w:pPr>
        <w:pStyle w:val="FigureWithCaption"/>
      </w:pPr>
      <w:r>
        <w:drawing>
          <wp:inline>
            <wp:extent cx="3810000" cy="2540000"/>
            <wp:effectExtent b="0" l="0" r="0" t="0"/>
            <wp:docPr descr="Figure 1 Structural representation of a simple sentence" title="" id="1" name="Picture"/>
            <a:graphic>
              <a:graphicData uri="http://schemas.openxmlformats.org/drawingml/2006/picture">
                <pic:pic>
                  <pic:nvPicPr>
                    <pic:cNvPr descr="phdThesis_files/figure-docx/tree1-1.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Structural representation of a simple sentence</w:t>
      </w:r>
    </w:p>
    <w:p>
      <w:pPr>
        <w:pStyle w:val="BodyText"/>
      </w:pPr>
      <w:r>
        <w:t xml:space="preserve">Given this way to proceed, that assures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p>
      <w:pPr>
        <w:pStyle w:val="Heading2"/>
      </w:pPr>
      <w:bookmarkStart w:id="43" w:name="outline-of-the-thesis"/>
      <w:bookmarkEnd w:id="43"/>
      <w:r>
        <w:t xml:space="preserve">Outline of the thesis</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BodyText"/>
      </w:pPr>
      <w:r>
        <w:rPr>
          <w:b/>
        </w:rPr>
        <w:t xml:space="preserve">Chapter 2</w:t>
      </w:r>
      <w:r>
        <w:t xml:space="preserve"> </w:t>
      </w:r>
      <w:r>
        <w:t xml:space="preserve">introduces …</w:t>
      </w:r>
    </w:p>
    <w:p>
      <w:pPr>
        <w:pStyle w:val="BodyText"/>
      </w:pPr>
      <w:r>
        <w:rPr>
          <w:b/>
        </w:rPr>
        <w:t xml:space="preserve">Chapter 3</w:t>
      </w:r>
      <w:r>
        <w:t xml:space="preserve"> </w:t>
      </w:r>
      <w:r>
        <w:t xml:space="preserve">introduces …</w:t>
      </w:r>
    </w:p>
    <w:p>
      <w:pPr>
        <w:pStyle w:val="BodyText"/>
      </w:pPr>
      <w:r>
        <w:rPr>
          <w:b/>
        </w:rPr>
        <w:t xml:space="preserve">Chapter 4</w:t>
      </w:r>
      <w:r>
        <w:t xml:space="preserve"> </w:t>
      </w:r>
      <w:r>
        <w:t xml:space="preserve">introduces …</w:t>
      </w:r>
    </w:p>
    <w:p>
      <w:pPr>
        <w:pStyle w:val="BodyText"/>
      </w:pPr>
      <w:r>
        <w:rPr>
          <w:b/>
        </w:rPr>
        <w:t xml:space="preserve">Chapter 5</w:t>
      </w:r>
      <w:r>
        <w:t xml:space="preserve"> </w:t>
      </w:r>
      <w:r>
        <w:t xml:space="preserve">introduces …</w:t>
      </w:r>
    </w:p>
    <w:p>
      <w:pPr>
        <w:pStyle w:val="Heading1"/>
      </w:pPr>
      <w:bookmarkStart w:id="44" w:name="article-1-on-dp-acquisition-a-case-study-on-italian-l2-by-czech-ad-slovak-learners"/>
      <w:bookmarkEnd w:id="44"/>
      <w:r>
        <w:t xml:space="preserve">Article 1 | On DP acquisition: A case study on Italian L2 by Czech ad Slovak learners</w:t>
      </w:r>
    </w:p>
    <w:p>
      <w:pPr>
        <w:pStyle w:val="Heading2"/>
      </w:pPr>
      <w:bookmarkStart w:id="45" w:name="abstract-1"/>
      <w:bookmarkEnd w:id="45"/>
      <w:r>
        <w:t xml:space="preserve">Abstract</w:t>
      </w:r>
    </w:p>
    <w:p>
      <w:pPr>
        <w:pStyle w:val="FirstParagraph"/>
      </w:pPr>
      <w:r>
        <w:t xml:space="preserve">Czech and Slovak are languages which don’t exhibit a manifest position for the Determiner in the Noun Phrase. The aim of this paper is to show how a similar structure is accessed during the learning of Italian, a language which presents the Determiner as the standard behavior for noun phrases.</w:t>
      </w:r>
    </w:p>
    <w:p>
      <w:pPr>
        <w:pStyle w:val="Heading2"/>
      </w:pPr>
      <w:bookmarkStart w:id="46" w:name="keywords-1"/>
      <w:bookmarkEnd w:id="46"/>
      <w:r>
        <w:t xml:space="preserve">Keywords</w:t>
      </w:r>
    </w:p>
    <w:p>
      <w:pPr>
        <w:pStyle w:val="Compact"/>
        <w:numPr>
          <w:numId w:val="1005"/>
          <w:ilvl w:val="0"/>
        </w:numPr>
      </w:pPr>
      <w:r>
        <w:t xml:space="preserve">Determiner Phrase</w:t>
      </w:r>
    </w:p>
    <w:p>
      <w:pPr>
        <w:pStyle w:val="Compact"/>
        <w:numPr>
          <w:numId w:val="1005"/>
          <w:ilvl w:val="0"/>
        </w:numPr>
      </w:pPr>
      <w:r>
        <w:t xml:space="preserve">Second Language Acquisition</w:t>
      </w:r>
    </w:p>
    <w:p>
      <w:pPr>
        <w:pStyle w:val="Compact"/>
        <w:numPr>
          <w:numId w:val="1005"/>
          <w:ilvl w:val="0"/>
        </w:numPr>
      </w:pPr>
      <w:r>
        <w:t xml:space="preserve">Syntax</w:t>
      </w:r>
    </w:p>
    <w:p>
      <w:pPr>
        <w:pStyle w:val="Heading2"/>
      </w:pPr>
      <w:bookmarkStart w:id="47" w:name="acknowledgement"/>
      <w:bookmarkEnd w:id="47"/>
      <w:r>
        <w:t xml:space="preserve">Acknowledgement</w:t>
      </w:r>
    </w:p>
    <w:p>
      <w:pPr>
        <w:pStyle w:val="FirstParagraph"/>
      </w:pPr>
      <w:r>
        <w:t xml:space="preserve">This work was supported by the funding grant XXX.</w:t>
      </w:r>
    </w:p>
    <w:p>
      <w:pPr>
        <w:pStyle w:val="BodyText"/>
      </w:pPr>
    </w:p>
    <w:p>
      <w:pPr>
        <w:pStyle w:val="Heading1"/>
      </w:pPr>
      <w:bookmarkStart w:id="48" w:name="backmatter"/>
      <w:bookmarkEnd w:id="48"/>
      <w:r>
        <w:t xml:space="preserve">Backmatter</w:t>
      </w:r>
    </w:p>
    <w:p>
      <w:pPr>
        <w:pStyle w:val="Heading2"/>
      </w:pPr>
      <w:bookmarkStart w:id="49" w:name="credits"/>
      <w:bookmarkEnd w:id="49"/>
      <w:r>
        <w:t xml:space="preserve">Credits</w:t>
      </w:r>
    </w:p>
    <w:p>
      <w:pPr>
        <w:pStyle w:val="FirstParagraph"/>
      </w:pPr>
      <w:r>
        <w:t xml:space="preserve">This project is constituted by files written in Markdown syntax and exported either as a standalone website both as printer-ready product.</w:t>
      </w:r>
    </w:p>
    <w:p>
      <w:pPr>
        <w:pStyle w:val="BodyText"/>
      </w:pPr>
      <w:r>
        <w:t xml:space="preserve">This is due to the awesome work of the people behind different libraries:</w:t>
      </w:r>
    </w:p>
    <w:p>
      <w:pPr>
        <w:pStyle w:val="Compact"/>
        <w:numPr>
          <w:numId w:val="1006"/>
          <w:ilvl w:val="0"/>
        </w:numPr>
      </w:pPr>
      <w:hyperlink r:id="rId50">
        <w:r>
          <w:rPr>
            <w:rStyle w:val="Hyperlink"/>
          </w:rPr>
          <w:t xml:space="preserve">Pandoc</w:t>
        </w:r>
      </w:hyperlink>
    </w:p>
    <w:p>
      <w:pPr>
        <w:pStyle w:val="Compact"/>
        <w:numPr>
          <w:numId w:val="1006"/>
          <w:ilvl w:val="0"/>
        </w:numPr>
      </w:pPr>
      <w:hyperlink r:id="rId50">
        <w:r>
          <w:rPr>
            <w:rStyle w:val="Hyperlink"/>
          </w:rPr>
          <w:t xml:space="preserve">Bookdown</w:t>
        </w:r>
      </w:hyperlink>
    </w:p>
    <w:p>
      <w:pPr>
        <w:pStyle w:val="Compact"/>
        <w:numPr>
          <w:numId w:val="1006"/>
          <w:ilvl w:val="0"/>
        </w:numPr>
      </w:pPr>
      <w:hyperlink r:id="rId50">
        <w:r>
          <w:rPr>
            <w:rStyle w:val="Hyperlink"/>
          </w:rPr>
          <w:t xml:space="preserve">RMarkdown</w:t>
        </w:r>
      </w:hyperlink>
      <w:r>
        <w:t xml:space="preserve"> </w:t>
      </w:r>
      <w:r>
        <w:t xml:space="preserve">and</w:t>
      </w:r>
      <w:r>
        <w:t xml:space="preserve"> </w:t>
      </w:r>
      <w:hyperlink r:id="rId50">
        <w:r>
          <w:rPr>
            <w:rStyle w:val="Hyperlink"/>
          </w:rPr>
          <w:t xml:space="preserve">R</w:t>
        </w:r>
      </w:hyperlink>
      <w:r>
        <w:t xml:space="preserve"> </w:t>
      </w:r>
      <w:r>
        <w:t xml:space="preserve">environment.</w:t>
      </w:r>
    </w:p>
    <w:p>
      <w:pPr>
        <w:pStyle w:val="FirstParagraph"/>
      </w:pPr>
      <w:r>
        <w:t xml:space="preserve">As well, for the computational infrastructure, a lot of open source tools have been used:</w:t>
      </w:r>
    </w:p>
    <w:p>
      <w:pPr>
        <w:pStyle w:val="Compact"/>
        <w:numPr>
          <w:numId w:val="1007"/>
          <w:ilvl w:val="0"/>
        </w:numPr>
      </w:pPr>
      <w:hyperlink r:id="rId50">
        <w:r>
          <w:rPr>
            <w:rStyle w:val="Hyperlink"/>
          </w:rPr>
          <w:t xml:space="preserve">NLTK</w:t>
        </w:r>
      </w:hyperlink>
    </w:p>
    <w:p>
      <w:pPr>
        <w:pStyle w:val="FirstParagraph"/>
      </w:pPr>
      <w:r>
        <w:t xml:space="preserve">For the typographic setting, the print-ready file is composed on LaTeX with the usage of SCRBOOK class and some custom component. I am aware I can’t thank everyone on the web about that. By the way, thank you!</w:t>
      </w:r>
    </w:p>
    <w:p>
      <w:pPr>
        <w:pStyle w:val="Heading2"/>
      </w:pPr>
      <w:bookmarkStart w:id="51" w:name="about-the-author"/>
      <w:bookmarkEnd w:id="51"/>
      <w:r>
        <w:t xml:space="preserve">About the author</w:t>
      </w:r>
    </w:p>
    <w:p>
      <w:pPr>
        <w:pStyle w:val="FirstParagraph"/>
      </w:pPr>
      <w:r>
        <w:t xml:space="preserve">I am a Graduate Researcher involved in a Ph.D. Program in Italian Linguistics at the Department of Romance Studies in the Faculty of Philosophy at Palacky University in Olomouc, Czech Republic.</w:t>
      </w:r>
    </w:p>
    <w:p>
      <w:pPr>
        <w:pStyle w:val="BodyText"/>
      </w:pPr>
      <w:r>
        <w:t xml:space="preserve">My interests span across digital humanities, syntax theories and computational linguistics.</w:t>
      </w:r>
    </w:p>
    <w:p>
      <w:pPr>
        <w:pStyle w:val="BodyText"/>
      </w:pPr>
      <w:r>
        <w:t xml:space="preserve">Feel free to write me at</w:t>
      </w:r>
      <w:r>
        <w:t xml:space="preserve"> </w:t>
      </w:r>
      <w:hyperlink r:id="rId52">
        <w:r>
          <w:rPr>
            <w:rStyle w:val="Hyperlink"/>
          </w:rPr>
          <w:t xml:space="preserve">marco.petolicchio@gmail.com</w:t>
        </w:r>
      </w:hyperlink>
      <w:r>
        <w:t xml:space="preserve"> </w:t>
      </w:r>
      <w:r>
        <w:t xml:space="preserve">or visit</w:t>
      </w:r>
      <w:r>
        <w:t xml:space="preserve"> </w:t>
      </w:r>
      <w:hyperlink r:id="rId53">
        <w:r>
          <w:rPr>
            <w:rStyle w:val="Hyperlink"/>
          </w:rPr>
          <w:t xml:space="preserve">marcopetolicchio.com</w:t>
        </w:r>
      </w:hyperlink>
      <w:r>
        <w:t xml:space="preserve"> </w:t>
      </w:r>
      <w:r>
        <w:t xml:space="preserve">for the detailed contact list.</w:t>
      </w:r>
    </w:p>
    <w:p>
      <w:pPr>
        <w:pStyle w:val="Bibliography"/>
      </w:pPr>
      <w:r>
        <w:t xml:space="preserve">Abel, Andrea. 2014. “A Trilingual Learner Corpus Illustrating European Reference Levels.”</w:t>
      </w:r>
      <w:r>
        <w:t xml:space="preserve"> </w:t>
      </w:r>
      <w:r>
        <w:rPr>
          <w:i/>
        </w:rPr>
        <w:t xml:space="preserve">RiCOGNIZIONI. Rivista Di Lingue E Letterature Straniere E Culture Moderne</w:t>
      </w:r>
      <w:r>
        <w:t xml:space="preserve"> </w:t>
      </w:r>
      <w:r>
        <w:t xml:space="preserve">1 (2): 111–26. doi:</w:t>
      </w:r>
      <w:hyperlink r:id="rId54">
        <w:r>
          <w:rPr>
            <w:rStyle w:val="Hyperlink"/>
          </w:rPr>
          <w:t xml:space="preserve">10.13135/2384-8987/702</w:t>
        </w:r>
      </w:hyperlink>
      <w:r>
        <w:t xml:space="preserve">.</w:t>
      </w:r>
    </w:p>
    <w:p>
      <w:pPr>
        <w:pStyle w:val="Bibliography"/>
      </w:pPr>
      <w:r>
        <w:t xml:space="preserve">Adger, David. 2013.</w:t>
      </w:r>
      <w:r>
        <w:t xml:space="preserve"> </w:t>
      </w:r>
      <w:r>
        <w:rPr>
          <w:i/>
        </w:rPr>
        <w:t xml:space="preserve">A Syntax of Substance</w:t>
      </w:r>
      <w:r>
        <w:t xml:space="preserve">. Linguistic Inquiry Monographs. MIT Press.</w:t>
      </w:r>
      <w:r>
        <w:t xml:space="preserve"> </w:t>
      </w:r>
      <w:hyperlink r:id="rId55">
        <w:r>
          <w:rPr>
            <w:rStyle w:val="Hyperlink"/>
          </w:rPr>
          <w:t xml:space="preserve">https://books.google.cz/books?id=nfswKAqywTYC</w:t>
        </w:r>
      </w:hyperlink>
      <w:r>
        <w:t xml:space="preserve">.</w:t>
      </w:r>
    </w:p>
    <w:p>
      <w:pPr>
        <w:pStyle w:val="Bibliography"/>
      </w:pPr>
      <w:r>
        <w:t xml:space="preserve">Barbera, Manuel et al. 2003. “VALICO: Varietà Apprendimento Lingua Italiana Corpus Online.” Università di Torino.</w:t>
      </w:r>
      <w:r>
        <w:t xml:space="preserve"> </w:t>
      </w:r>
      <w:hyperlink r:id="rId56">
        <w:r>
          <w:rPr>
            <w:rStyle w:val="Hyperlink"/>
          </w:rPr>
          <w:t xml:space="preserve">http://www.valico.org/</w:t>
        </w:r>
      </w:hyperlink>
      <w:r>
        <w:t xml:space="preserve">.</w:t>
      </w:r>
    </w:p>
    <w:p>
      <w:pPr>
        <w:pStyle w:val="Bibliography"/>
      </w:pPr>
      <w:r>
        <w:t xml:space="preserve">Biber, D., S. Conrad, R. Reppen, and Cambridge University. 1998.</w:t>
      </w:r>
      <w:r>
        <w:t xml:space="preserve"> </w:t>
      </w:r>
      <w:r>
        <w:rPr>
          <w:i/>
        </w:rPr>
        <w:t xml:space="preserve">Corpus Linguistics: Investigating Language Structure and Use</w:t>
      </w:r>
      <w:r>
        <w:t xml:space="preserve">. Cambridge Approaches to Linguistics. Cambridge University Press.</w:t>
      </w:r>
      <w:r>
        <w:t xml:space="preserve"> </w:t>
      </w:r>
      <w:hyperlink r:id="rId57">
        <w:r>
          <w:rPr>
            <w:rStyle w:val="Hyperlink"/>
          </w:rPr>
          <w:t xml:space="preserve">https://books.google.cz/books?id=2h5F7TXa6psC</w:t>
        </w:r>
      </w:hyperlink>
      <w:r>
        <w:t xml:space="preserve">.</w:t>
      </w:r>
    </w:p>
    <w:p>
      <w:pPr>
        <w:pStyle w:val="Bibliography"/>
      </w:pPr>
      <w:r>
        <w:t xml:space="preserve">Chomsky, Noam. 1995.</w:t>
      </w:r>
      <w:r>
        <w:t xml:space="preserve"> </w:t>
      </w:r>
      <w:r>
        <w:rPr>
          <w:i/>
        </w:rPr>
        <w:t xml:space="preserve">The Minimalist Program</w:t>
      </w:r>
      <w:r>
        <w:t xml:space="preserve">. Current Studies in Linguistics Series. MIT Press.</w:t>
      </w:r>
    </w:p>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p>
      <w:pPr>
        <w:pStyle w:val="Bibliography"/>
      </w:pPr>
      <w:r>
        <w:t xml:space="preserve">———. 2013. “Problems of Projection.”</w:t>
      </w:r>
      <w:r>
        <w:t xml:space="preserve"> </w:t>
      </w:r>
      <w:r>
        <w:rPr>
          <w:i/>
        </w:rPr>
        <w:t xml:space="preserve">Lingua</w:t>
      </w:r>
      <w:r>
        <w:t xml:space="preserve"> </w:t>
      </w:r>
      <w:r>
        <w:t xml:space="preserve">130: 33–49. doi:</w:t>
      </w:r>
      <w:hyperlink r:id="rId58">
        <w:r>
          <w:rPr>
            <w:rStyle w:val="Hyperlink"/>
          </w:rPr>
          <w:t xml:space="preserve">http://dx.doi.org/10.1016/j.lingua.2012.12.003</w:t>
        </w:r>
      </w:hyperlink>
      <w:r>
        <w:t xml:space="preserve">.</w:t>
      </w:r>
    </w:p>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 doi:</w:t>
      </w:r>
      <w:hyperlink r:id="rId59">
        <w:r>
          <w:rPr>
            <w:rStyle w:val="Hyperlink"/>
          </w:rPr>
          <w:t xml:space="preserve">http://10.1075/la.223.01cho</w:t>
        </w:r>
      </w:hyperlink>
      <w:r>
        <w:t xml:space="preserve">.</w:t>
      </w:r>
    </w:p>
    <w:p>
      <w:pPr>
        <w:pStyle w:val="Bibliography"/>
      </w:pPr>
      <w:r>
        <w:t xml:space="preserve">Clark, Alexander. 2010.</w:t>
      </w:r>
      <w:r>
        <w:t xml:space="preserve"> </w:t>
      </w:r>
      <w:r>
        <w:rPr>
          <w:i/>
        </w:rPr>
        <w:t xml:space="preserve">The Handbook of Computational Linguistics and Natural Language Processing</w:t>
      </w:r>
      <w:r>
        <w:t xml:space="preserve">. Vol. 1.</w:t>
      </w:r>
    </w:p>
    <w:p>
      <w:pPr>
        <w:pStyle w:val="Bibliography"/>
      </w:pPr>
      <w:r>
        <w:t xml:space="preserve">Ellis, Rod. 1994.</w:t>
      </w:r>
      <w:r>
        <w:t xml:space="preserve"> </w:t>
      </w:r>
      <w:r>
        <w:rPr>
          <w:i/>
        </w:rPr>
        <w:t xml:space="preserve">The Study of Second Language Acquisition</w:t>
      </w:r>
      <w:r>
        <w:t xml:space="preserve">. Oxford Applied Linguistics. Oxford University Press.</w:t>
      </w:r>
      <w:r>
        <w:t xml:space="preserve"> </w:t>
      </w:r>
      <w:hyperlink r:id="rId60">
        <w:r>
          <w:rPr>
            <w:rStyle w:val="Hyperlink"/>
          </w:rPr>
          <w:t xml:space="preserve">https://books.google.cz/books?id=3KglibyrZ5sC</w:t>
        </w:r>
      </w:hyperlink>
      <w:r>
        <w:t xml:space="preserve">.</w:t>
      </w:r>
    </w:p>
    <w:p>
      <w:pPr>
        <w:pStyle w:val="Bibliography"/>
      </w:pPr>
      <w:r>
        <w:t xml:space="preserve">Fillmore, Charles J. 1992. “Corpus Linguistics Vs. Computer-Aided Armchair Linguistics.” In</w:t>
      </w:r>
      <w:r>
        <w:t xml:space="preserve"> </w:t>
      </w:r>
      <w:r>
        <w:rPr>
          <w:i/>
        </w:rPr>
        <w:t xml:space="preserve">Directions in Corpus Linguistics: Proceedings from a 1991 Nobel Symposium on Corpus Linguistics</w:t>
      </w:r>
      <w:r>
        <w:t xml:space="preserve">, 35–66. Stockholm: Mouton de Gruyter; Mouton de Gruyter.</w:t>
      </w:r>
    </w:p>
    <w:p>
      <w:pPr>
        <w:pStyle w:val="Bibliography"/>
      </w:pPr>
      <w:r>
        <w:t xml:space="preserve">Fodor, J.A. 2001.</w:t>
      </w:r>
      <w:r>
        <w:t xml:space="preserve"> </w:t>
      </w:r>
      <w:r>
        <w:rPr>
          <w:i/>
        </w:rPr>
        <w:t xml:space="preserve">The Mind Doesn’t Work That Way: The Scope and Limits of Computational Psychology</w:t>
      </w:r>
      <w:r>
        <w:t xml:space="preserve">. Bradford Book. MIT Press.</w:t>
      </w:r>
    </w:p>
    <w:p>
      <w:pPr>
        <w:pStyle w:val="Bibliography"/>
      </w:pPr>
      <w:r>
        <w:t xml:space="preserve">Guasti, Maria Teresa. 2002.</w:t>
      </w:r>
      <w:r>
        <w:t xml:space="preserve"> </w:t>
      </w:r>
      <w:r>
        <w:rPr>
          <w:i/>
        </w:rPr>
        <w:t xml:space="preserve">Language Acquisition: The Growth of Grammar</w:t>
      </w:r>
      <w:r>
        <w:t xml:space="preserve">. The MIT Press.</w:t>
      </w:r>
    </w:p>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 doi:</w:t>
      </w:r>
      <w:hyperlink r:id="rId61">
        <w:r>
          <w:rPr>
            <w:rStyle w:val="Hyperlink"/>
          </w:rPr>
          <w:t xml:space="preserve">10.1126/science.298.5598.1569</w:t>
        </w:r>
      </w:hyperlink>
      <w:r>
        <w:t xml:space="preserve">.</w:t>
      </w:r>
    </w:p>
    <w:p>
      <w:pPr>
        <w:pStyle w:val="Bibliography"/>
      </w:pPr>
      <w:r>
        <w:t xml:space="preserve">Hawkins, Roger. 2001.</w:t>
      </w:r>
      <w:r>
        <w:t xml:space="preserve"> </w:t>
      </w:r>
      <w:r>
        <w:rPr>
          <w:i/>
        </w:rPr>
        <w:t xml:space="preserve">Second Language Syntax: A Generative Introduction</w:t>
      </w:r>
      <w:r>
        <w:t xml:space="preserve">. Wiley-Blackwell.</w:t>
      </w:r>
    </w:p>
    <w:p>
      <w:pPr>
        <w:pStyle w:val="Bibliography"/>
      </w:pPr>
      <w:r>
        <w:t xml:space="preserve">Kayne, Richard S. 1994.</w:t>
      </w:r>
      <w:r>
        <w:t xml:space="preserve"> </w:t>
      </w:r>
      <w:r>
        <w:rPr>
          <w:i/>
        </w:rPr>
        <w:t xml:space="preserve">The Antisymmetry of Syntax</w:t>
      </w:r>
      <w:r>
        <w:t xml:space="preserve">. Linguistic Inquiry Monographs. MIT Press.</w:t>
      </w:r>
      <w:r>
        <w:t xml:space="preserve"> </w:t>
      </w:r>
      <w:hyperlink r:id="rId62">
        <w:r>
          <w:rPr>
            <w:rStyle w:val="Hyperlink"/>
          </w:rPr>
          <w:t xml:space="preserve">https://books.google.cz/books?id=tnXJVbGpMfEC</w:t>
        </w:r>
      </w:hyperlink>
      <w:r>
        <w:t xml:space="preserve">.</w:t>
      </w:r>
    </w:p>
    <w:p>
      <w:pPr>
        <w:pStyle w:val="Bibliography"/>
      </w:pPr>
      <w:r>
        <w:t xml:space="preserve">Krashen, S.D. 1981.</w:t>
      </w:r>
      <w:r>
        <w:t xml:space="preserve"> </w:t>
      </w:r>
      <w:r>
        <w:rPr>
          <w:i/>
        </w:rPr>
        <w:t xml:space="preserve">Second Language Acquisition and Second Language Learning</w:t>
      </w:r>
      <w:r>
        <w:t xml:space="preserve">. Language Teaching Methodology Series. Pergamon Press.</w:t>
      </w:r>
      <w:r>
        <w:t xml:space="preserve"> </w:t>
      </w:r>
      <w:hyperlink r:id="rId63">
        <w:r>
          <w:rPr>
            <w:rStyle w:val="Hyperlink"/>
          </w:rPr>
          <w:t xml:space="preserve">https://books.google.cz/books?id=7bohvgAACAAJ</w:t>
        </w:r>
      </w:hyperlink>
      <w:r>
        <w:t xml:space="preserve">.</w:t>
      </w:r>
    </w:p>
    <w:p>
      <w:pPr>
        <w:pStyle w:val="Bibliography"/>
      </w:pPr>
      <w:r>
        <w:t xml:space="preserve">Kuebler, Sandra, and Heike Zinsmeister. 2015.</w:t>
      </w:r>
      <w:r>
        <w:t xml:space="preserve"> </w:t>
      </w:r>
      <w:r>
        <w:rPr>
          <w:i/>
        </w:rPr>
        <w:t xml:space="preserve">Corpus Linguistics and Linguistically Annotated Corpora</w:t>
      </w:r>
      <w:r>
        <w:t xml:space="preserve">. Bloomsbury Academic.</w:t>
      </w:r>
    </w:p>
    <w:p>
      <w:pPr>
        <w:pStyle w:val="Bibliography"/>
      </w:pPr>
      <w:r>
        <w:t xml:space="preserve">Kurdi, Mohamed. 2016.</w:t>
      </w:r>
      <w:r>
        <w:t xml:space="preserve"> </w:t>
      </w:r>
      <w:r>
        <w:rPr>
          <w:i/>
        </w:rPr>
        <w:t xml:space="preserve">Natural Language Processing and Computational Linguistics: Speech, Morphology and Syntax</w:t>
      </w:r>
      <w:r>
        <w:t xml:space="preserve">. 1st ed. Wiley-ISTE. doi:</w:t>
      </w:r>
      <w:hyperlink r:id="rId64">
        <w:r>
          <w:rPr>
            <w:rStyle w:val="Hyperlink"/>
          </w:rPr>
          <w:t xml:space="preserve">10.1002/9781119145554</w:t>
        </w:r>
      </w:hyperlink>
      <w:r>
        <w:t xml:space="preserve">.</w:t>
      </w:r>
    </w:p>
    <w:p>
      <w:pPr>
        <w:pStyle w:val="Bibliography"/>
      </w:pPr>
      <w:r>
        <w:t xml:space="preserve">Moro, Andrea. 2000. “Dynamic Antisymmetry: Movement as a Symmetry-Breaking Phenomenon.”</w:t>
      </w:r>
      <w:r>
        <w:t xml:space="preserve"> </w:t>
      </w:r>
      <w:r>
        <w:rPr>
          <w:i/>
        </w:rPr>
        <w:t xml:space="preserve">Studia Linguistica</w:t>
      </w:r>
      <w:r>
        <w:t xml:space="preserve"> </w:t>
      </w:r>
      <w:r>
        <w:t xml:space="preserve">51 (1): 50–76. doi:</w:t>
      </w:r>
      <w:hyperlink r:id="rId65">
        <w:r>
          <w:rPr>
            <w:rStyle w:val="Hyperlink"/>
          </w:rPr>
          <w:t xml:space="preserve">10.1111/1467-9582.00017</w:t>
        </w:r>
      </w:hyperlink>
      <w:r>
        <w:t xml:space="preserve">.</w:t>
      </w:r>
    </w:p>
    <w:p>
      <w:pPr>
        <w:pStyle w:val="Bibliography"/>
      </w:pPr>
      <w:r>
        <w:t xml:space="preserve">Petolicchio, Marco, and Marcello Bolpagni. 2017. “Czech-IT! - Linguistic corpus of native Czech learners acquiring Italian language.” doi:</w:t>
      </w:r>
      <w:hyperlink r:id="rId66">
        <w:r>
          <w:rPr>
            <w:rStyle w:val="Hyperlink"/>
          </w:rPr>
          <w:t xml:space="preserve">10.5281/zenodo.824984</w:t>
        </w:r>
      </w:hyperlink>
      <w:r>
        <w:t xml:space="preserve">.</w:t>
      </w:r>
    </w:p>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 doi:</w:t>
      </w:r>
      <w:hyperlink r:id="rId67">
        <w:r>
          <w:rPr>
            <w:rStyle w:val="Hyperlink"/>
          </w:rPr>
          <w:t xml:space="preserve">https://doi.org/10.1016/j.lingua.2012.12.001</w:t>
        </w:r>
      </w:hyperlink>
      <w:r>
        <w:t xml:space="preserve">.</w:t>
      </w:r>
    </w:p>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Cambridge University Press, 1–26. doi:</w:t>
      </w:r>
      <w:hyperlink r:id="rId68">
        <w:r>
          <w:rPr>
            <w:rStyle w:val="Hyperlink"/>
          </w:rPr>
          <w:t xml:space="preserve">10.1017/S0272263117000134</w:t>
        </w:r>
      </w:hyperlink>
      <w:r>
        <w:t xml:space="preserve">.</w:t>
      </w:r>
    </w:p>
    <w:p>
      <w:pPr>
        <w:pStyle w:val="Bibliography"/>
      </w:pPr>
      <w:r>
        <w:t xml:space="preserve">Schmid, Helmut. 1994. “Probabilistic Part-of-Speech Tagging Using Decision Trees.” In</w:t>
      </w:r>
      <w:r>
        <w:t xml:space="preserve"> </w:t>
      </w:r>
      <w:r>
        <w:rPr>
          <w:i/>
        </w:rPr>
        <w:t xml:space="preserve">Proceedings of International Conference on New Methods in Language Processing</w:t>
      </w:r>
      <w:r>
        <w:t xml:space="preserve">.</w:t>
      </w:r>
    </w:p>
    <w:p>
      <w:pPr>
        <w:pStyle w:val="Bibliography"/>
      </w:pPr>
      <w:r>
        <w:t xml:space="preserve">Selinker, Larry. 1972. “Interlanguage.”</w:t>
      </w:r>
      <w:r>
        <w:t xml:space="preserve"> </w:t>
      </w:r>
      <w:r>
        <w:rPr>
          <w:i/>
        </w:rPr>
        <w:t xml:space="preserve">International Review of Applied Linguistics in Language Teaching</w:t>
      </w:r>
      <w:r>
        <w:t xml:space="preserve"> </w:t>
      </w:r>
      <w:r>
        <w:t xml:space="preserve">10 (1–4): 209–32.</w:t>
      </w:r>
    </w:p>
    <w:p>
      <w:pPr>
        <w:pStyle w:val="Bibliography"/>
      </w:pPr>
      <w:r>
        <w:t xml:space="preserve">Slabakova, Roumyana, Tania L. Leal, and Judith Liskin-Gasparro. 2014. “We Have Moved on: Current Concepts and Positions in Generative Sla.”</w:t>
      </w:r>
      <w:r>
        <w:t xml:space="preserve"> </w:t>
      </w:r>
      <w:r>
        <w:rPr>
          <w:i/>
        </w:rPr>
        <w:t xml:space="preserve">Applied Linguistics</w:t>
      </w:r>
      <w:r>
        <w:t xml:space="preserve"> </w:t>
      </w:r>
      <w:r>
        <w:t xml:space="preserve">35 (5): 601–6. doi:</w:t>
      </w:r>
      <w:hyperlink r:id="rId69">
        <w:r>
          <w:rPr>
            <w:rStyle w:val="Hyperlink"/>
          </w:rPr>
          <w:t xml:space="preserve">10.1093/applin/amu027</w:t>
        </w:r>
      </w:hyperlink>
      <w:r>
        <w:t xml:space="preserve">.</w:t>
      </w:r>
    </w:p>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John Benjamins Publishing Company: 1–33.</w:t>
      </w:r>
    </w:p>
    <w:p>
      <w:pPr>
        <w:pStyle w:val="Bibliography"/>
      </w:pPr>
      <w:r>
        <w:t xml:space="preserve">Tognini-Bonelli, Elena. 2001.</w:t>
      </w:r>
      <w:r>
        <w:t xml:space="preserve"> </w:t>
      </w:r>
      <w:r>
        <w:rPr>
          <w:i/>
        </w:rPr>
        <w:t xml:space="preserve">Corpus Linguistics at Work</w:t>
      </w:r>
      <w:r>
        <w:t xml:space="preserve">. Studies in Corpus Linguistics. John Benjamins Publishing Company.</w:t>
      </w:r>
    </w:p>
    <w:p>
      <w:pPr>
        <w:pStyle w:val="Bibliography"/>
      </w:pPr>
      <w:r>
        <w:t xml:space="preserve">Vedovelli, Massimo, Alessandro Pallassini, Sabrina Machetti, Monica Barni, Carla Bagna, Simone Pieroni, and Francesca Gallina. 1993–2006. “Corpus Lips.” Università per Stranieri di Siena.</w:t>
      </w:r>
      <w:r>
        <w:t xml:space="preserve"> </w:t>
      </w:r>
      <w:hyperlink r:id="rId70">
        <w:r>
          <w:rPr>
            <w:rStyle w:val="Hyperlink"/>
          </w:rPr>
          <w:t xml:space="preserve">http://www.parlaritaliano.it/index.php/en/data/653-corpus-lips</w:t>
        </w:r>
      </w:hyperlink>
      <w:r>
        <w:t xml:space="preserve">.</w:t>
      </w:r>
    </w:p>
    <w:p>
      <w:pPr>
        <w:pStyle w:val="Bibliography"/>
      </w:pPr>
      <w:r>
        <w:t xml:space="preserve">Voghera, Miriam, and Giuseppina Turco. 2010. “From Text to Lexicon: The Annotation of Pre-Target Structures in an Italian Learner Corpus.” In</w:t>
      </w:r>
      <w:r>
        <w:t xml:space="preserve"> </w:t>
      </w:r>
      <w:r>
        <w:rPr>
          <w:i/>
        </w:rPr>
        <w:t xml:space="preserve">Bootstrapping Information from Corpora in a Cross-Linguistic Perspective</w:t>
      </w:r>
      <w:r>
        <w:t xml:space="preserve">, edited by M. Moneglia and A. Panunzi, 141–73. Firenze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38eb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e3f2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8fb43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svg" /><Relationship Type="http://schemas.openxmlformats.org/officeDocument/2006/relationships/image" Id="rId25" Target="media/rId25.png" /><Relationship Type="http://schemas.openxmlformats.org/officeDocument/2006/relationships/hyperlink" Id="rId36" Target="http://czech-it.github.io" TargetMode="External" /><Relationship Type="http://schemas.openxmlformats.org/officeDocument/2006/relationships/hyperlink" Id="rId53" Target="http://marcopetolicchio.com" TargetMode="External" /><Relationship Type="http://schemas.openxmlformats.org/officeDocument/2006/relationships/hyperlink" Id="rId34" Target="http://merlin-platform.eu" TargetMode="External" /><Relationship Type="http://schemas.openxmlformats.org/officeDocument/2006/relationships/hyperlink" Id="rId35" Target="http://parlaritaliano.it/index.php/en/data/653-corpus-lips" TargetMode="External" /><Relationship Type="http://schemas.openxmlformats.org/officeDocument/2006/relationships/hyperlink" Id="rId70" Target="http://www.parlaritaliano.it/index.php/en/data/653-corpus-lips" TargetMode="External" /><Relationship Type="http://schemas.openxmlformats.org/officeDocument/2006/relationships/hyperlink" Id="rId37" Target="http://www.parlaritaliano.it/index.php/it/corpora-di-parlato/662-corpus-italiano-scritto-l2" TargetMode="External" /><Relationship Type="http://schemas.openxmlformats.org/officeDocument/2006/relationships/hyperlink" Id="rId56" Target="http://www.valico.org/" TargetMode="External" /><Relationship Type="http://schemas.openxmlformats.org/officeDocument/2006/relationships/hyperlink" Id="rId33" Target="http://www.valico.org/valico_CORPUS.html" TargetMode="External" /><Relationship Type="http://schemas.openxmlformats.org/officeDocument/2006/relationships/hyperlink" Id="rId32" Target="http://www.valico.org/valico_b_CORPUS.html" TargetMode="External" /><Relationship Type="http://schemas.openxmlformats.org/officeDocument/2006/relationships/hyperlink" Id="rId50" Target="https://bookdown.org" TargetMode="External" /><Relationship Type="http://schemas.openxmlformats.org/officeDocument/2006/relationships/hyperlink" Id="rId57" Target="https://books.google.cz/books?id=2h5F7TXa6psC" TargetMode="External" /><Relationship Type="http://schemas.openxmlformats.org/officeDocument/2006/relationships/hyperlink" Id="rId60" Target="https://books.google.cz/books?id=3KglibyrZ5sC" TargetMode="External" /><Relationship Type="http://schemas.openxmlformats.org/officeDocument/2006/relationships/hyperlink" Id="rId63" Target="https://books.google.cz/books?id=7bohvgAACAAJ" TargetMode="External" /><Relationship Type="http://schemas.openxmlformats.org/officeDocument/2006/relationships/hyperlink" Id="rId55" Target="https://books.google.cz/books?id=nfswKAqywTYC" TargetMode="External" /><Relationship Type="http://schemas.openxmlformats.org/officeDocument/2006/relationships/hyperlink" Id="rId62" Target="https://books.google.cz/books?id=tnXJVbGpMfEC" TargetMode="External" /><Relationship Type="http://schemas.openxmlformats.org/officeDocument/2006/relationships/hyperlink" Id="rId64" Target="https://doi.org/10.1002/9781119145554" TargetMode="External" /><Relationship Type="http://schemas.openxmlformats.org/officeDocument/2006/relationships/hyperlink" Id="rId68" Target="https://doi.org/10.1017/S0272263117000134" TargetMode="External" /><Relationship Type="http://schemas.openxmlformats.org/officeDocument/2006/relationships/hyperlink" Id="rId69" Target="https://doi.org/10.1093/applin/amu027" TargetMode="External" /><Relationship Type="http://schemas.openxmlformats.org/officeDocument/2006/relationships/hyperlink" Id="rId65" Target="https://doi.org/10.1111/1467-9582.00017" TargetMode="External" /><Relationship Type="http://schemas.openxmlformats.org/officeDocument/2006/relationships/hyperlink" Id="rId61" Target="https://doi.org/10.1126/science.298.5598.1569" TargetMode="External" /><Relationship Type="http://schemas.openxmlformats.org/officeDocument/2006/relationships/hyperlink" Id="rId54" Target="https://doi.org/10.13135/2384-8987/702" TargetMode="External" /><Relationship Type="http://schemas.openxmlformats.org/officeDocument/2006/relationships/hyperlink" Id="rId66" Target="https://doi.org/10.5281/zenodo.824984" TargetMode="External" /><Relationship Type="http://schemas.openxmlformats.org/officeDocument/2006/relationships/hyperlink" Id="rId59" Target="https://doi.org/http://10.1075/la.223.01cho" TargetMode="External" /><Relationship Type="http://schemas.openxmlformats.org/officeDocument/2006/relationships/hyperlink" Id="rId58" Target="https://doi.org/http://dx.doi.org/10.1016/j.lingua.2012.12.003" TargetMode="External" /><Relationship Type="http://schemas.openxmlformats.org/officeDocument/2006/relationships/hyperlink" Id="rId67" Target="https://doi.org/https://doi.org/10.1016/j.lingua.2012.12.001" TargetMode="External" /><Relationship Type="http://schemas.openxmlformats.org/officeDocument/2006/relationships/hyperlink" Id="rId30" Target="https://en.wikipedia.org/wiki/Charles_J._Fillmore" TargetMode="External" /><Relationship Type="http://schemas.openxmlformats.org/officeDocument/2006/relationships/hyperlink" Id="rId29" Target="https://en.wikipedia.org/wiki/Noam_Chomsky" TargetMode="External" /><Relationship Type="http://schemas.openxmlformats.org/officeDocument/2006/relationships/hyperlink" Id="rId52" Target="mailto:marco.petolicchio@gmail.com" TargetMode="External" /></Relationships>
</file>

<file path=word/_rels/footnotes.xml.rels><?xml version="1.0" encoding="UTF-8"?>
<Relationships xmlns="http://schemas.openxmlformats.org/package/2006/relationships"><Relationship Type="http://schemas.openxmlformats.org/officeDocument/2006/relationships/hyperlink" Id="rId36" Target="http://czech-it.github.io" TargetMode="External" /><Relationship Type="http://schemas.openxmlformats.org/officeDocument/2006/relationships/hyperlink" Id="rId53" Target="http://marcopetolicchio.com" TargetMode="External" /><Relationship Type="http://schemas.openxmlformats.org/officeDocument/2006/relationships/hyperlink" Id="rId34" Target="http://merlin-platform.eu" TargetMode="External" /><Relationship Type="http://schemas.openxmlformats.org/officeDocument/2006/relationships/hyperlink" Id="rId35" Target="http://parlaritaliano.it/index.php/en/data/653-corpus-lips" TargetMode="External" /><Relationship Type="http://schemas.openxmlformats.org/officeDocument/2006/relationships/hyperlink" Id="rId70" Target="http://www.parlaritaliano.it/index.php/en/data/653-corpus-lips" TargetMode="External" /><Relationship Type="http://schemas.openxmlformats.org/officeDocument/2006/relationships/hyperlink" Id="rId37" Target="http://www.parlaritaliano.it/index.php/it/corpora-di-parlato/662-corpus-italiano-scritto-l2" TargetMode="External" /><Relationship Type="http://schemas.openxmlformats.org/officeDocument/2006/relationships/hyperlink" Id="rId56" Target="http://www.valico.org/" TargetMode="External" /><Relationship Type="http://schemas.openxmlformats.org/officeDocument/2006/relationships/hyperlink" Id="rId33" Target="http://www.valico.org/valico_CORPUS.html" TargetMode="External" /><Relationship Type="http://schemas.openxmlformats.org/officeDocument/2006/relationships/hyperlink" Id="rId32" Target="http://www.valico.org/valico_b_CORPUS.html" TargetMode="External" /><Relationship Type="http://schemas.openxmlformats.org/officeDocument/2006/relationships/hyperlink" Id="rId50" Target="https://bookdown.org" TargetMode="External" /><Relationship Type="http://schemas.openxmlformats.org/officeDocument/2006/relationships/hyperlink" Id="rId57" Target="https://books.google.cz/books?id=2h5F7TXa6psC" TargetMode="External" /><Relationship Type="http://schemas.openxmlformats.org/officeDocument/2006/relationships/hyperlink" Id="rId60" Target="https://books.google.cz/books?id=3KglibyrZ5sC" TargetMode="External" /><Relationship Type="http://schemas.openxmlformats.org/officeDocument/2006/relationships/hyperlink" Id="rId63" Target="https://books.google.cz/books?id=7bohvgAACAAJ" TargetMode="External" /><Relationship Type="http://schemas.openxmlformats.org/officeDocument/2006/relationships/hyperlink" Id="rId55" Target="https://books.google.cz/books?id=nfswKAqywTYC" TargetMode="External" /><Relationship Type="http://schemas.openxmlformats.org/officeDocument/2006/relationships/hyperlink" Id="rId62" Target="https://books.google.cz/books?id=tnXJVbGpMfEC" TargetMode="External" /><Relationship Type="http://schemas.openxmlformats.org/officeDocument/2006/relationships/hyperlink" Id="rId64" Target="https://doi.org/10.1002/9781119145554" TargetMode="External" /><Relationship Type="http://schemas.openxmlformats.org/officeDocument/2006/relationships/hyperlink" Id="rId68" Target="https://doi.org/10.1017/S0272263117000134" TargetMode="External" /><Relationship Type="http://schemas.openxmlformats.org/officeDocument/2006/relationships/hyperlink" Id="rId69" Target="https://doi.org/10.1093/applin/amu027" TargetMode="External" /><Relationship Type="http://schemas.openxmlformats.org/officeDocument/2006/relationships/hyperlink" Id="rId65" Target="https://doi.org/10.1111/1467-9582.00017" TargetMode="External" /><Relationship Type="http://schemas.openxmlformats.org/officeDocument/2006/relationships/hyperlink" Id="rId61" Target="https://doi.org/10.1126/science.298.5598.1569" TargetMode="External" /><Relationship Type="http://schemas.openxmlformats.org/officeDocument/2006/relationships/hyperlink" Id="rId54" Target="https://doi.org/10.13135/2384-8987/702" TargetMode="External" /><Relationship Type="http://schemas.openxmlformats.org/officeDocument/2006/relationships/hyperlink" Id="rId66" Target="https://doi.org/10.5281/zenodo.824984" TargetMode="External" /><Relationship Type="http://schemas.openxmlformats.org/officeDocument/2006/relationships/hyperlink" Id="rId59" Target="https://doi.org/http://10.1075/la.223.01cho" TargetMode="External" /><Relationship Type="http://schemas.openxmlformats.org/officeDocument/2006/relationships/hyperlink" Id="rId58" Target="https://doi.org/http://dx.doi.org/10.1016/j.lingua.2012.12.003" TargetMode="External" /><Relationship Type="http://schemas.openxmlformats.org/officeDocument/2006/relationships/hyperlink" Id="rId67" Target="https://doi.org/https://doi.org/10.1016/j.lingua.2012.12.001" TargetMode="External" /><Relationship Type="http://schemas.openxmlformats.org/officeDocument/2006/relationships/hyperlink" Id="rId30" Target="https://en.wikipedia.org/wiki/Charles_J._Fillmore" TargetMode="External" /><Relationship Type="http://schemas.openxmlformats.org/officeDocument/2006/relationships/hyperlink" Id="rId29" Target="https://en.wikipedia.org/wiki/Noam_Chomsky" TargetMode="External" /><Relationship Type="http://schemas.openxmlformats.org/officeDocument/2006/relationships/hyperlink" Id="rId52" Target="mailto:marco.petolicch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Italian as Second Language in native Czechs and Slovaks</dc:title>
  <dc:creator>Marco Petolicchio</dc:creator>
  <dcterms:created xsi:type="dcterms:W3CDTF">2018-07-16T06:37:15Z</dcterms:created>
  <dcterms:modified xsi:type="dcterms:W3CDTF">2018-07-16T06:37:15Z</dcterms:modified>
</cp:coreProperties>
</file>