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2019-03-07</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3"/>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3"/>
          <w:ilvl w:val="0"/>
        </w:numPr>
      </w:pPr>
      <w:r>
        <w:t xml:space="preserve">psicologici (</w:t>
      </w:r>
      <w:r>
        <w:rPr>
          <w:i/>
        </w:rPr>
        <w:t xml:space="preserve">allarmare, divertire, interessare, disturbare, appassionare, seccare</w:t>
      </w:r>
      <w:r>
        <w:t xml:space="preserve">)</w:t>
      </w:r>
    </w:p>
    <w:p>
      <w:pPr>
        <w:pStyle w:val="Compact"/>
        <w:numPr>
          <w:numId w:val="1063"/>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3"/>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0" w:name="predicative"/>
      <w:r>
        <w:t xml:space="preserve">Predicative</w:t>
      </w:r>
      <w:bookmarkEnd w:id="80"/>
    </w:p>
    <w:p>
      <w:pPr>
        <w:pStyle w:val="Heading4"/>
      </w:pPr>
      <w:bookmarkStart w:id="81" w:name="con-aggettivo"/>
      <w:r>
        <w:t xml:space="preserve">Con aggettivo</w:t>
      </w:r>
      <w:bookmarkEnd w:id="81"/>
    </w:p>
    <w:p>
      <w:pPr>
        <w:pStyle w:val="FirstParagraph"/>
      </w:pPr>
      <w:r>
        <w:t xml:space="preserve">Nelle costruzioni copulari con aggettivo in cui la subordinata funge da soggetto, quest’ultima può precedere o seguire il predicato:</w:t>
      </w:r>
    </w:p>
    <w:p>
      <w:pPr>
        <w:pStyle w:val="Compact"/>
        <w:numPr>
          <w:numId w:val="1065"/>
          <w:ilvl w:val="1"/>
        </w:numPr>
      </w:pPr>
      <w:r>
        <w:t xml:space="preserve">È chiaro [che tu non ti sia preparato a sufficienza]</w:t>
      </w:r>
    </w:p>
    <w:p>
      <w:pPr>
        <w:pStyle w:val="Compact"/>
        <w:numPr>
          <w:numId w:val="1065"/>
          <w:ilvl w:val="1"/>
        </w:numPr>
      </w:pPr>
      <w:r>
        <w:t xml:space="preserve">È inutile [affaticarsi tanto]</w:t>
      </w:r>
    </w:p>
    <w:p>
      <w:pPr>
        <w:pStyle w:val="Compact"/>
        <w:numPr>
          <w:numId w:val="1066"/>
          <w:ilvl w:val="1"/>
        </w:numPr>
      </w:pPr>
      <w:r>
        <w:t xml:space="preserve">[Che gli studenti non studino filosofia] è inammissibile</w:t>
      </w:r>
    </w:p>
    <w:p>
      <w:pPr>
        <w:pStyle w:val="Compact"/>
        <w:numPr>
          <w:numId w:val="1066"/>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68"/>
          <w:ilvl w:val="1"/>
        </w:numPr>
      </w:pPr>
      <w:r>
        <w:t xml:space="preserve">(*) È inutile di affaticarsi tanto</w:t>
      </w:r>
    </w:p>
    <w:p>
      <w:pPr>
        <w:pStyle w:val="Compact"/>
        <w:numPr>
          <w:numId w:val="1068"/>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2" w:name="con-avverbio-o-sp"/>
      <w:r>
        <w:t xml:space="preserve">Con avverbio o SP</w:t>
      </w:r>
      <w:bookmarkEnd w:id="82"/>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0"/>
          <w:ilvl w:val="1"/>
        </w:numPr>
      </w:pPr>
      <w:r>
        <w:t xml:space="preserve">È bene [che ci intendiamo subito]</w:t>
      </w:r>
    </w:p>
    <w:p>
      <w:pPr>
        <w:pStyle w:val="Compact"/>
        <w:numPr>
          <w:numId w:val="1070"/>
          <w:ilvl w:val="1"/>
        </w:numPr>
      </w:pPr>
      <w:r>
        <w:t xml:space="preserve">[Rassegnarsi al peggio] non è da lui</w:t>
      </w:r>
    </w:p>
    <w:p>
      <w:pPr>
        <w:pStyle w:val="Heading4"/>
      </w:pPr>
      <w:bookmarkStart w:id="83" w:name="con-sn"/>
      <w:r>
        <w:t xml:space="preserve">Con SN</w:t>
      </w:r>
      <w:bookmarkEnd w:id="83"/>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2"/>
          <w:ilvl w:val="1"/>
        </w:numPr>
      </w:pPr>
      <w:r>
        <w:t xml:space="preserve">[Acquistare una casa così costosa] è una follia</w:t>
      </w:r>
    </w:p>
    <w:p>
      <w:pPr>
        <w:pStyle w:val="Compact"/>
        <w:numPr>
          <w:numId w:val="1072"/>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4"/>
          <w:ilvl w:val="1"/>
        </w:numPr>
      </w:pPr>
      <w:r>
        <w:t xml:space="preserve">[Acquistare una casa così costosa] lo è</w:t>
      </w:r>
    </w:p>
    <w:p>
      <w:pPr>
        <w:pStyle w:val="Compact"/>
        <w:numPr>
          <w:numId w:val="1074"/>
          <w:ilvl w:val="1"/>
        </w:numPr>
      </w:pPr>
      <w:r>
        <w:t xml:space="preserve">[Che Fabio abbia smesso di suonare] lo è</w:t>
      </w:r>
    </w:p>
    <w:p>
      <w:pPr>
        <w:pStyle w:val="Heading3"/>
      </w:pPr>
      <w:bookmarkStart w:id="84" w:name="specificative"/>
      <w:r>
        <w:t xml:space="preserve">Specificative</w:t>
      </w:r>
      <w:bookmarkEnd w:id="84"/>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6"/>
          <w:ilvl w:val="1"/>
        </w:numPr>
      </w:pPr>
      <w:r>
        <w:t xml:space="preserve">La decisione è (di) rimanere qui</w:t>
      </w:r>
    </w:p>
    <w:p>
      <w:pPr>
        <w:pStyle w:val="Compact"/>
        <w:numPr>
          <w:numId w:val="1076"/>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78"/>
          <w:ilvl w:val="1"/>
        </w:numPr>
      </w:pPr>
      <w:r>
        <w:t xml:space="preserve">(*) La decisione lo è</w:t>
      </w:r>
    </w:p>
    <w:p>
      <w:pPr>
        <w:pStyle w:val="Compact"/>
        <w:numPr>
          <w:numId w:val="1078"/>
          <w:ilvl w:val="1"/>
        </w:numPr>
      </w:pPr>
      <w:r>
        <w:t xml:space="preserve">(*) L’ospite lo è</w:t>
      </w:r>
    </w:p>
    <w:p>
      <w:pPr>
        <w:pStyle w:val="Heading3"/>
      </w:pPr>
      <w:bookmarkStart w:id="85" w:name="identificative"/>
      <w:r>
        <w:t xml:space="preserve">Identificative</w:t>
      </w:r>
      <w:bookmarkEnd w:id="85"/>
    </w:p>
    <w:p>
      <w:pPr>
        <w:pStyle w:val="FirstParagraph"/>
      </w:pPr>
      <w:r>
        <w:t xml:space="preserve">Qui le subordinate hanno la funzione di soggetto di un’identità:</w:t>
      </w:r>
    </w:p>
    <w:p>
      <w:pPr>
        <w:pStyle w:val="Compact"/>
        <w:numPr>
          <w:numId w:val="1080"/>
          <w:ilvl w:val="1"/>
        </w:numPr>
      </w:pPr>
      <w:r>
        <w:t xml:space="preserve">[Fare certe domande] significa non aver capito l’esame</w:t>
      </w:r>
    </w:p>
    <w:p>
      <w:pPr>
        <w:pStyle w:val="Compact"/>
        <w:numPr>
          <w:numId w:val="1080"/>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1"/>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3"/>
          <w:ilvl w:val="1"/>
        </w:numPr>
      </w:pPr>
      <w:r>
        <w:t xml:space="preserve">[La promozione] implica di aver studiato molto</w:t>
      </w:r>
    </w:p>
    <w:p>
      <w:pPr>
        <w:pStyle w:val="Compact"/>
        <w:numPr>
          <w:numId w:val="1083"/>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4"/>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6"/>
          <w:ilvl w:val="1"/>
        </w:numPr>
      </w:pPr>
      <w:r>
        <w:t xml:space="preserve">(*) [Fare certe domande] è [che non si capisca l’esame]</w:t>
      </w:r>
    </w:p>
    <w:p>
      <w:pPr>
        <w:pStyle w:val="Compact"/>
        <w:numPr>
          <w:numId w:val="1086"/>
          <w:ilvl w:val="1"/>
        </w:numPr>
      </w:pPr>
      <w:r>
        <w:t xml:space="preserve">(*) [Che tu faccia certe domande] è [che non hai capito l’esame]</w:t>
      </w:r>
    </w:p>
    <w:p>
      <w:pPr>
        <w:pStyle w:val="Compact"/>
        <w:numPr>
          <w:numId w:val="1086"/>
          <w:ilvl w:val="1"/>
        </w:numPr>
      </w:pPr>
      <w:r>
        <w:t xml:space="preserve">(*) [Che tu faccia queste domande] è [non capire l’esame]</w:t>
      </w:r>
    </w:p>
    <w:p>
      <w:pPr>
        <w:pStyle w:val="Heading3"/>
      </w:pPr>
      <w:bookmarkStart w:id="86" w:name="verbi-impersonali"/>
      <w:r>
        <w:t xml:space="preserve">Verbi impersonali</w:t>
      </w:r>
      <w:bookmarkEnd w:id="86"/>
    </w:p>
    <w:p>
      <w:pPr>
        <w:pStyle w:val="FirstParagraph"/>
      </w:pPr>
      <w:r>
        <w:t xml:space="preserve">Con i verbi impersonali la subordinata si comporta da soggetto sintattico ma non è il soggetto della predicazione:</w:t>
      </w:r>
    </w:p>
    <w:p>
      <w:pPr>
        <w:pStyle w:val="Compact"/>
        <w:numPr>
          <w:numId w:val="1088"/>
          <w:ilvl w:val="1"/>
        </w:numPr>
      </w:pPr>
      <w:r>
        <w:t xml:space="preserve">Succede [di sbagliare]</w:t>
      </w:r>
    </w:p>
    <w:p>
      <w:pPr>
        <w:pStyle w:val="Compact"/>
        <w:numPr>
          <w:numId w:val="1088"/>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7" w:name="soggetti-di-verbi-transitivi"/>
      <w:r>
        <w:t xml:space="preserve">Soggetti di verbi transitivi</w:t>
      </w:r>
      <w:bookmarkEnd w:id="87"/>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0"/>
          <w:ilvl w:val="1"/>
        </w:numPr>
      </w:pPr>
      <w:r>
        <w:t xml:space="preserve">[Il tuo aiuto] mi disturba</w:t>
      </w:r>
    </w:p>
    <w:p>
      <w:pPr>
        <w:pStyle w:val="Compact"/>
        <w:numPr>
          <w:numId w:val="1090"/>
          <w:ilvl w:val="1"/>
        </w:numPr>
      </w:pPr>
      <w:r>
        <w:t xml:space="preserve">Mi disturba [che tu sia sempre pronto ad aiutare]</w:t>
      </w:r>
    </w:p>
    <w:p>
      <w:pPr>
        <w:pStyle w:val="Heading4"/>
      </w:pPr>
      <w:bookmarkStart w:id="88" w:name="soggetti-di-verbi-inaccusativi"/>
      <w:r>
        <w:t xml:space="preserve">Soggetti di verbi inaccusativi</w:t>
      </w:r>
      <w:bookmarkEnd w:id="88"/>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1"/>
          <w:ilvl w:val="0"/>
        </w:numPr>
      </w:pPr>
      <w:r>
        <w:t xml:space="preserve">A Mario è bastato [aver detto quelle cose]</w:t>
      </w:r>
    </w:p>
    <w:p>
      <w:pPr>
        <w:pStyle w:val="Heading4"/>
      </w:pPr>
      <w:bookmarkStart w:id="89" w:name="complementi-di-verbi-inaccusativi"/>
      <w:r>
        <w:t xml:space="preserve">Complementi di verbi inaccusativi</w:t>
      </w:r>
      <w:bookmarkEnd w:id="89"/>
    </w:p>
    <w:p>
      <w:pPr>
        <w:pStyle w:val="FirstParagraph"/>
      </w:pPr>
      <w:r>
        <w:t xml:space="preserve">Appare in genere in posizione postverbale, preceduta da</w:t>
      </w:r>
      <w:r>
        <w:t xml:space="preserve"> </w:t>
      </w:r>
      <w:r>
        <w:rPr>
          <w:i/>
        </w:rPr>
        <w:t xml:space="preserve">di</w:t>
      </w:r>
      <w:r>
        <w:t xml:space="preserve">:</w:t>
      </w:r>
    </w:p>
    <w:p>
      <w:pPr>
        <w:pStyle w:val="Compact"/>
        <w:numPr>
          <w:numId w:val="1093"/>
          <w:ilvl w:val="1"/>
        </w:numPr>
      </w:pPr>
      <w:r>
        <w:t xml:space="preserve">Mi pare [di aver capito bene]</w:t>
      </w:r>
    </w:p>
    <w:p>
      <w:pPr>
        <w:pStyle w:val="Compact"/>
        <w:numPr>
          <w:numId w:val="1093"/>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5"/>
          <w:ilvl w:val="1"/>
        </w:numPr>
      </w:pPr>
      <w:r>
        <w:t xml:space="preserve">[Di dover decidere in fretta] capita a tutti</w:t>
      </w:r>
    </w:p>
    <w:p>
      <w:pPr>
        <w:pStyle w:val="Compact"/>
        <w:numPr>
          <w:numId w:val="1095"/>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6"/>
          <w:ilvl w:val="0"/>
        </w:numPr>
      </w:pPr>
      <w:r>
        <w:t xml:space="preserve">Mi dispiace [(di) aver detto quelle cose]</w:t>
      </w:r>
    </w:p>
    <w:p>
      <w:pPr>
        <w:pStyle w:val="Heading4"/>
      </w:pPr>
      <w:bookmarkStart w:id="90" w:name="rapporti-tra-soggettive-e-sn"/>
      <w:r>
        <w:t xml:space="preserve">Rapporti tra soggettive e SN</w:t>
      </w:r>
      <w:bookmarkEnd w:id="90"/>
    </w:p>
    <w:p>
      <w:pPr>
        <w:pStyle w:val="FirstParagraph"/>
      </w:pPr>
      <w:r>
        <w:t xml:space="preserve">Con la maggioranza degli impersonali può apparire un SN dal valore proposizionale al posto della frase:</w:t>
      </w:r>
    </w:p>
    <w:p>
      <w:pPr>
        <w:pStyle w:val="Compact"/>
        <w:numPr>
          <w:numId w:val="1098"/>
          <w:ilvl w:val="1"/>
        </w:numPr>
      </w:pPr>
      <w:r>
        <w:t xml:space="preserve">È accaduto [un fatto inatteso]</w:t>
      </w:r>
    </w:p>
    <w:p>
      <w:pPr>
        <w:pStyle w:val="Compact"/>
        <w:numPr>
          <w:numId w:val="1098"/>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0"/>
          <w:ilvl w:val="1"/>
        </w:numPr>
      </w:pPr>
      <w:r>
        <w:t xml:space="preserve">(*) Bisogna [una persona esperta]</w:t>
      </w:r>
    </w:p>
    <w:p>
      <w:pPr>
        <w:pStyle w:val="Compact"/>
        <w:numPr>
          <w:numId w:val="1100"/>
          <w:ilvl w:val="1"/>
        </w:numPr>
      </w:pPr>
      <w:r>
        <w:t xml:space="preserve">Bisogna [che arrivi una persona esperta]</w:t>
      </w:r>
    </w:p>
    <w:p>
      <w:pPr>
        <w:pStyle w:val="Compact"/>
        <w:numPr>
          <w:numId w:val="1101"/>
          <w:ilvl w:val="1"/>
        </w:numPr>
      </w:pPr>
      <w:r>
        <w:t xml:space="preserve">(*) Mi pare [l’incapacità di Gianni]</w:t>
      </w:r>
    </w:p>
    <w:p>
      <w:pPr>
        <w:pStyle w:val="Compact"/>
        <w:numPr>
          <w:numId w:val="1101"/>
          <w:ilvl w:val="1"/>
        </w:numPr>
      </w:pPr>
      <w:r>
        <w:t xml:space="preserve">Mi pare [che Gianni sia incapace]</w:t>
      </w:r>
    </w:p>
    <w:p>
      <w:pPr>
        <w:pStyle w:val="Heading2"/>
      </w:pPr>
      <w:bookmarkStart w:id="91" w:name="oggettive"/>
      <w:r>
        <w:t xml:space="preserve">Oggettive</w:t>
      </w:r>
      <w:bookmarkEnd w:id="91"/>
    </w:p>
    <w:p>
      <w:pPr>
        <w:pStyle w:val="Compact"/>
        <w:numPr>
          <w:numId w:val="1102"/>
          <w:ilvl w:val="0"/>
        </w:numPr>
      </w:pPr>
      <w:r>
        <w:t xml:space="preserve">Morivo e non volevo non morire (Giudici,</w:t>
      </w:r>
      <w:r>
        <w:t xml:space="preserve"> </w:t>
      </w:r>
      <w:r>
        <w:rPr>
          <w:i/>
        </w:rPr>
        <w:t xml:space="preserve">Stalinista</w:t>
      </w:r>
      <w:r>
        <w:t xml:space="preserve">, poesie 1991)</w:t>
      </w:r>
    </w:p>
    <w:p>
      <w:pPr>
        <w:pStyle w:val="Heading2"/>
      </w:pPr>
      <w:bookmarkStart w:id="92" w:name="indirette"/>
      <w:r>
        <w:t xml:space="preserve">Indirette</w:t>
      </w:r>
      <w:bookmarkEnd w:id="92"/>
    </w:p>
    <w:p>
      <w:pPr>
        <w:pStyle w:val="Heading1"/>
      </w:pPr>
      <w:bookmarkStart w:id="93" w:name="frasi-soggettive"/>
      <w:r>
        <w:t xml:space="preserve">Frasi soggettive</w:t>
      </w:r>
      <w:bookmarkEnd w:id="93"/>
    </w:p>
    <w:p>
      <w:pPr>
        <w:pStyle w:val="Heading2"/>
      </w:pPr>
      <w:bookmarkStart w:id="94" w:name="funzione"/>
      <w:r>
        <w:t xml:space="preserve">Funzione</w:t>
      </w:r>
      <w:bookmarkEnd w:id="94"/>
    </w:p>
    <w:p>
      <w:pPr>
        <w:pStyle w:val="Heading2"/>
      </w:pPr>
      <w:bookmarkStart w:id="95" w:name="soggettive-esplicite"/>
      <w:r>
        <w:t xml:space="preserve">Soggettive esplicite</w:t>
      </w:r>
      <w:bookmarkEnd w:id="95"/>
    </w:p>
    <w:p>
      <w:pPr>
        <w:pStyle w:val="Heading2"/>
      </w:pPr>
      <w:bookmarkStart w:id="96" w:name="soggettive-implicite"/>
      <w:r>
        <w:t xml:space="preserve">Soggettive implicite</w:t>
      </w:r>
      <w:bookmarkEnd w:id="96"/>
    </w:p>
    <w:p>
      <w:pPr>
        <w:pStyle w:val="Heading1"/>
      </w:pPr>
      <w:bookmarkStart w:id="97" w:name="frasi-oggettive"/>
      <w:r>
        <w:t xml:space="preserve">Frasi oggettive</w:t>
      </w:r>
      <w:bookmarkEnd w:id="97"/>
    </w:p>
    <w:p>
      <w:pPr>
        <w:pStyle w:val="Heading2"/>
      </w:pPr>
      <w:bookmarkStart w:id="98" w:name="funzione-1"/>
      <w:r>
        <w:t xml:space="preserve">Funzione</w:t>
      </w:r>
      <w:bookmarkEnd w:id="98"/>
    </w:p>
    <w:p>
      <w:pPr>
        <w:pStyle w:val="Heading2"/>
      </w:pPr>
      <w:bookmarkStart w:id="99" w:name="oggettive-esplicite"/>
      <w:r>
        <w:t xml:space="preserve">Oggettive esplicite</w:t>
      </w:r>
      <w:bookmarkEnd w:id="99"/>
    </w:p>
    <w:p>
      <w:pPr>
        <w:pStyle w:val="Heading2"/>
      </w:pPr>
      <w:bookmarkStart w:id="100" w:name="oggettive-implicite"/>
      <w:r>
        <w:t xml:space="preserve">Oggettive implicite</w:t>
      </w:r>
      <w:bookmarkEnd w:id="100"/>
    </w:p>
    <w:p>
      <w:pPr>
        <w:pStyle w:val="Heading1"/>
      </w:pPr>
      <w:bookmarkStart w:id="101" w:name="frasi-interrogative"/>
      <w:r>
        <w:t xml:space="preserve">Frasi Interrogative</w:t>
      </w:r>
      <w:bookmarkEnd w:id="101"/>
    </w:p>
    <w:p>
      <w:pPr>
        <w:pStyle w:val="Heading2"/>
      </w:pPr>
      <w:bookmarkStart w:id="102" w:name="funzione-2"/>
      <w:r>
        <w:t xml:space="preserve">Funzione</w:t>
      </w:r>
      <w:bookmarkEnd w:id="102"/>
    </w:p>
    <w:p>
      <w:pPr>
        <w:pStyle w:val="Heading2"/>
      </w:pPr>
      <w:bookmarkStart w:id="103" w:name="dirette"/>
      <w:r>
        <w:t xml:space="preserve">Dirette</w:t>
      </w:r>
      <w:bookmarkEnd w:id="103"/>
    </w:p>
    <w:p>
      <w:pPr>
        <w:pStyle w:val="Heading2"/>
      </w:pPr>
      <w:bookmarkStart w:id="104" w:name="indirette-1"/>
      <w:r>
        <w:t xml:space="preserve">Indirette</w:t>
      </w:r>
      <w:bookmarkEnd w:id="104"/>
    </w:p>
    <w:p>
      <w:pPr>
        <w:pStyle w:val="Heading2"/>
      </w:pPr>
      <w:bookmarkStart w:id="105" w:name="esplicite"/>
      <w:r>
        <w:t xml:space="preserve">Esplicite</w:t>
      </w:r>
      <w:bookmarkEnd w:id="105"/>
    </w:p>
    <w:p>
      <w:pPr>
        <w:pStyle w:val="Heading2"/>
      </w:pPr>
      <w:bookmarkStart w:id="106" w:name="implicite"/>
      <w:r>
        <w:t xml:space="preserve">Implicite</w:t>
      </w:r>
      <w:bookmarkEnd w:id="106"/>
    </w:p>
    <w:p>
      <w:pPr>
        <w:pStyle w:val="Heading1"/>
      </w:pPr>
      <w:bookmarkStart w:id="107" w:name="frasi-relative"/>
      <w:r>
        <w:t xml:space="preserve">Frasi Relative</w:t>
      </w:r>
      <w:bookmarkEnd w:id="107"/>
    </w:p>
    <w:p>
      <w:pPr>
        <w:pStyle w:val="Heading2"/>
      </w:pPr>
      <w:bookmarkStart w:id="108" w:name="tipi"/>
      <w:r>
        <w:t xml:space="preserve">Tipi</w:t>
      </w:r>
      <w:bookmarkEnd w:id="108"/>
    </w:p>
    <w:p>
      <w:pPr>
        <w:pStyle w:val="Heading2"/>
      </w:pPr>
      <w:bookmarkStart w:id="109" w:name="esplicite-1"/>
      <w:r>
        <w:t xml:space="preserve">Esplicite</w:t>
      </w:r>
      <w:bookmarkEnd w:id="109"/>
    </w:p>
    <w:p>
      <w:pPr>
        <w:pStyle w:val="Heading2"/>
      </w:pPr>
      <w:bookmarkStart w:id="110" w:name="implicite-1"/>
      <w:r>
        <w:t xml:space="preserve">Implicite</w:t>
      </w:r>
      <w:bookmarkEnd w:id="110"/>
    </w:p>
    <w:p>
      <w:pPr>
        <w:pStyle w:val="Heading1"/>
      </w:pPr>
      <w:bookmarkStart w:id="111" w:name="frasi-temporali"/>
      <w:r>
        <w:t xml:space="preserve">Frasi temporali</w:t>
      </w:r>
      <w:bookmarkEnd w:id="111"/>
    </w:p>
    <w:p>
      <w:pPr>
        <w:pStyle w:val="Heading2"/>
      </w:pPr>
      <w:bookmarkStart w:id="112" w:name="definizione"/>
      <w:r>
        <w:t xml:space="preserve">Definizione</w:t>
      </w:r>
      <w:bookmarkEnd w:id="112"/>
    </w:p>
    <w:p>
      <w:pPr>
        <w:pStyle w:val="Heading2"/>
      </w:pPr>
      <w:bookmarkStart w:id="113" w:name="tipi-1"/>
      <w:r>
        <w:t xml:space="preserve">Tipi</w:t>
      </w:r>
      <w:bookmarkEnd w:id="113"/>
    </w:p>
    <w:p>
      <w:pPr>
        <w:pStyle w:val="Heading2"/>
      </w:pPr>
      <w:bookmarkStart w:id="114" w:name="esplicite-2"/>
      <w:r>
        <w:t xml:space="preserve">Esplicite</w:t>
      </w:r>
      <w:bookmarkEnd w:id="114"/>
    </w:p>
    <w:p>
      <w:pPr>
        <w:pStyle w:val="Heading2"/>
      </w:pPr>
      <w:bookmarkStart w:id="115" w:name="implicite-2"/>
      <w:r>
        <w:t xml:space="preserve">Implicite</w:t>
      </w:r>
      <w:bookmarkEnd w:id="115"/>
    </w:p>
    <w:p>
      <w:pPr>
        <w:pStyle w:val="Heading1"/>
      </w:pPr>
      <w:bookmarkStart w:id="116" w:name="frasi-comparative-e-modali"/>
      <w:r>
        <w:t xml:space="preserve">Frasi comparative e modali</w:t>
      </w:r>
      <w:bookmarkEnd w:id="116"/>
    </w:p>
    <w:p>
      <w:pPr>
        <w:pStyle w:val="Heading2"/>
      </w:pPr>
      <w:bookmarkStart w:id="117" w:name="definizione-1"/>
      <w:r>
        <w:t xml:space="preserve">Definizione</w:t>
      </w:r>
      <w:bookmarkEnd w:id="117"/>
    </w:p>
    <w:p>
      <w:pPr>
        <w:pStyle w:val="Heading2"/>
      </w:pPr>
      <w:bookmarkStart w:id="118" w:name="tipi-2"/>
      <w:r>
        <w:t xml:space="preserve">Tipi</w:t>
      </w:r>
      <w:bookmarkEnd w:id="118"/>
    </w:p>
    <w:p>
      <w:pPr>
        <w:pStyle w:val="Heading2"/>
      </w:pPr>
      <w:bookmarkStart w:id="119" w:name="esplicite-3"/>
      <w:r>
        <w:t xml:space="preserve">Esplicite</w:t>
      </w:r>
      <w:bookmarkEnd w:id="119"/>
    </w:p>
    <w:p>
      <w:pPr>
        <w:pStyle w:val="Heading2"/>
      </w:pPr>
      <w:bookmarkStart w:id="120" w:name="implicite-3"/>
      <w:r>
        <w:t xml:space="preserve">Implicite</w:t>
      </w:r>
      <w:bookmarkEnd w:id="120"/>
    </w:p>
    <w:p>
      <w:pPr>
        <w:pStyle w:val="Heading1"/>
      </w:pPr>
      <w:bookmarkStart w:id="121" w:name="frasi-causali-e-finali"/>
      <w:r>
        <w:t xml:space="preserve">Frasi causali e finali</w:t>
      </w:r>
      <w:bookmarkEnd w:id="121"/>
    </w:p>
    <w:p>
      <w:pPr>
        <w:pStyle w:val="Heading2"/>
      </w:pPr>
      <w:bookmarkStart w:id="122" w:name="definizione-2"/>
      <w:r>
        <w:t xml:space="preserve">Definizione</w:t>
      </w:r>
      <w:bookmarkEnd w:id="122"/>
    </w:p>
    <w:p>
      <w:pPr>
        <w:pStyle w:val="Heading2"/>
      </w:pPr>
      <w:bookmarkStart w:id="123" w:name="esplicite-4"/>
      <w:r>
        <w:t xml:space="preserve">Esplicite</w:t>
      </w:r>
      <w:bookmarkEnd w:id="123"/>
    </w:p>
    <w:p>
      <w:pPr>
        <w:pStyle w:val="Heading2"/>
      </w:pPr>
      <w:bookmarkStart w:id="124" w:name="implicite-4"/>
      <w:r>
        <w:t xml:space="preserve">Implicite</w:t>
      </w:r>
      <w:bookmarkEnd w:id="124"/>
    </w:p>
    <w:p>
      <w:pPr>
        <w:pStyle w:val="Heading1"/>
      </w:pPr>
      <w:bookmarkStart w:id="125" w:name="frasi-consecutive-e-concessive"/>
      <w:r>
        <w:t xml:space="preserve">Frasi consecutive e concessive</w:t>
      </w:r>
      <w:bookmarkEnd w:id="125"/>
    </w:p>
    <w:p>
      <w:pPr>
        <w:pStyle w:val="Heading2"/>
      </w:pPr>
      <w:bookmarkStart w:id="126" w:name="definizione-3"/>
      <w:r>
        <w:t xml:space="preserve">Definizione</w:t>
      </w:r>
      <w:bookmarkEnd w:id="126"/>
    </w:p>
    <w:p>
      <w:pPr>
        <w:pStyle w:val="Heading2"/>
      </w:pPr>
      <w:bookmarkStart w:id="127" w:name="esplicite-5"/>
      <w:r>
        <w:t xml:space="preserve">Esplicite</w:t>
      </w:r>
      <w:bookmarkEnd w:id="127"/>
    </w:p>
    <w:p>
      <w:pPr>
        <w:pStyle w:val="Heading2"/>
      </w:pPr>
      <w:bookmarkStart w:id="128" w:name="implicite-5"/>
      <w:r>
        <w:t xml:space="preserve">Implicite</w:t>
      </w:r>
      <w:bookmarkEnd w:id="128"/>
    </w:p>
    <w:p>
      <w:pPr>
        <w:pStyle w:val="Heading1"/>
      </w:pPr>
      <w:bookmarkStart w:id="129" w:name="frasi-condizionali"/>
      <w:r>
        <w:t xml:space="preserve">Frasi condizionali</w:t>
      </w:r>
      <w:bookmarkEnd w:id="129"/>
    </w:p>
    <w:p>
      <w:pPr>
        <w:pStyle w:val="Heading2"/>
      </w:pPr>
      <w:bookmarkStart w:id="130" w:name="definizione-4"/>
      <w:r>
        <w:t xml:space="preserve">Definizione</w:t>
      </w:r>
      <w:bookmarkEnd w:id="130"/>
    </w:p>
    <w:p>
      <w:pPr>
        <w:pStyle w:val="Heading2"/>
      </w:pPr>
      <w:bookmarkStart w:id="131" w:name="esplicite-6"/>
      <w:r>
        <w:t xml:space="preserve">Esplicite</w:t>
      </w:r>
      <w:bookmarkEnd w:id="131"/>
    </w:p>
    <w:p>
      <w:pPr>
        <w:pStyle w:val="Heading2"/>
      </w:pPr>
      <w:bookmarkStart w:id="132" w:name="implicite-6"/>
      <w:r>
        <w:t xml:space="preserve">Implicite</w:t>
      </w:r>
      <w:bookmarkEnd w:id="132"/>
    </w:p>
    <w:p>
      <w:pPr>
        <w:pStyle w:val="Heading1"/>
      </w:pPr>
      <w:bookmarkStart w:id="133" w:name="discorso-diretto-e-indiretto"/>
      <w:r>
        <w:t xml:space="preserve">Discorso diretto e indiretto</w:t>
      </w:r>
      <w:bookmarkEnd w:id="133"/>
    </w:p>
    <w:p>
      <w:pPr>
        <w:pStyle w:val="Heading2"/>
      </w:pPr>
      <w:bookmarkStart w:id="134" w:name="definizione-5"/>
      <w:r>
        <w:t xml:space="preserve">Definizione</w:t>
      </w:r>
      <w:bookmarkEnd w:id="134"/>
    </w:p>
    <w:p>
      <w:pPr>
        <w:pStyle w:val="Heading2"/>
      </w:pPr>
      <w:bookmarkStart w:id="135" w:name="esplicite-7"/>
      <w:r>
        <w:t xml:space="preserve">Esplicite</w:t>
      </w:r>
      <w:bookmarkEnd w:id="135"/>
    </w:p>
    <w:p>
      <w:pPr>
        <w:pStyle w:val="Heading2"/>
      </w:pPr>
      <w:bookmarkStart w:id="136" w:name="implicite-7"/>
      <w:r>
        <w:t xml:space="preserve">Implicite</w:t>
      </w:r>
      <w:bookmarkEnd w:id="136"/>
    </w:p>
    <w:bookmarkStart w:id="160" w:name="refs"/>
    <w:bookmarkStart w:id="137"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7"/>
    <w:bookmarkStart w:id="138"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38"/>
    <w:bookmarkStart w:id="139" w:name="ref-leipzigGlossingRules"/>
    <w:p>
      <w:pPr>
        <w:pStyle w:val="Bibliography"/>
      </w:pPr>
      <w:r>
        <w:t xml:space="preserve">Comrie, Bernard, Martin Haspelmath, and Balthasar Bickel. 2008. “The Leipzig Glossing Rules: Conventions for Interlinear Morpheme-by-Morpheme Glosses.”</w:t>
      </w:r>
    </w:p>
    <w:bookmarkEnd w:id="139"/>
    <w:bookmarkStart w:id="141"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0">
        <w:r>
          <w:rPr>
            <w:rStyle w:val="Hyperlink"/>
          </w:rPr>
          <w:t xml:space="preserve">https://books.google.cz/books?id=7sF-NwAACAAJ</w:t>
        </w:r>
      </w:hyperlink>
      <w:r>
        <w:t xml:space="preserve">.</w:t>
      </w:r>
    </w:p>
    <w:bookmarkEnd w:id="141"/>
    <w:bookmarkStart w:id="142" w:name="ref-fibra2017"/>
    <w:p>
      <w:pPr>
        <w:pStyle w:val="Bibliography"/>
      </w:pPr>
      <w:r>
        <w:t xml:space="preserve">Fibra, Fabri. 2017. “Fenomeno.” Universal Music Italy.</w:t>
      </w:r>
    </w:p>
    <w:bookmarkEnd w:id="142"/>
    <w:bookmarkStart w:id="144"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3">
        <w:r>
          <w:rPr>
            <w:rStyle w:val="Hyperlink"/>
          </w:rPr>
          <w:t xml:space="preserve">https://books.google.it/books?id=K2eOQgAACAAJ</w:t>
        </w:r>
      </w:hyperlink>
      <w:r>
        <w:t xml:space="preserve">.</w:t>
      </w:r>
    </w:p>
    <w:bookmarkEnd w:id="144"/>
    <w:bookmarkStart w:id="146"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5">
        <w:r>
          <w:rPr>
            <w:rStyle w:val="Hyperlink"/>
          </w:rPr>
          <w:t xml:space="preserve">http://www.treccani.it/enciclopedia/articolo_(Enciclopedia-dell%27Italiano)/</w:t>
        </w:r>
      </w:hyperlink>
      <w:r>
        <w:t xml:space="preserve">.</w:t>
      </w:r>
    </w:p>
    <w:bookmarkEnd w:id="146"/>
    <w:bookmarkStart w:id="148"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7">
        <w:r>
          <w:rPr>
            <w:rStyle w:val="Hyperlink"/>
          </w:rPr>
          <w:t xml:space="preserve">https://books.google.cz/books?id=rEQqAQAAIAAJ</w:t>
        </w:r>
      </w:hyperlink>
      <w:r>
        <w:t xml:space="preserve">.</w:t>
      </w:r>
    </w:p>
    <w:bookmarkEnd w:id="148"/>
    <w:bookmarkStart w:id="150"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49">
        <w:r>
          <w:rPr>
            <w:rStyle w:val="Hyperlink"/>
          </w:rPr>
          <w:t xml:space="preserve">https://books.google.cz/books?id=agkquwEACAAJ</w:t>
        </w:r>
      </w:hyperlink>
      <w:r>
        <w:t xml:space="preserve">.</w:t>
      </w:r>
    </w:p>
    <w:bookmarkEnd w:id="150"/>
    <w:bookmarkStart w:id="152"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1">
        <w:r>
          <w:rPr>
            <w:rStyle w:val="Hyperlink"/>
          </w:rPr>
          <w:t xml:space="preserve">https://books.google.cz/books?id=Xk8dAQAAIAAJ</w:t>
        </w:r>
      </w:hyperlink>
      <w:r>
        <w:t xml:space="preserve">.</w:t>
      </w:r>
    </w:p>
    <w:bookmarkEnd w:id="152"/>
    <w:bookmarkStart w:id="154"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3">
        <w:r>
          <w:rPr>
            <w:rStyle w:val="Hyperlink"/>
          </w:rPr>
          <w:t xml:space="preserve">https://books.google.cz/books?id=RyN0mgEACAAJ</w:t>
        </w:r>
      </w:hyperlink>
      <w:r>
        <w:t xml:space="preserve">.</w:t>
      </w:r>
    </w:p>
    <w:bookmarkEnd w:id="154"/>
    <w:bookmarkStart w:id="155" w:name="ref-sanguineti1956"/>
    <w:p>
      <w:pPr>
        <w:pStyle w:val="Bibliography"/>
      </w:pPr>
      <w:r>
        <w:t xml:space="preserve">Sanguineti, Edoardo. 1956.</w:t>
      </w:r>
      <w:r>
        <w:t xml:space="preserve"> </w:t>
      </w:r>
      <w:r>
        <w:rPr>
          <w:i/>
        </w:rPr>
        <w:t xml:space="preserve">Laborintus</w:t>
      </w:r>
      <w:r>
        <w:t xml:space="preserve">. Magenta.</w:t>
      </w:r>
    </w:p>
    <w:bookmarkEnd w:id="155"/>
    <w:bookmarkStart w:id="157" w:name="ref-simone1995"/>
    <w:p>
      <w:pPr>
        <w:pStyle w:val="Bibliography"/>
      </w:pPr>
      <w:r>
        <w:t xml:space="preserve">Simone, R. 1995.</w:t>
      </w:r>
      <w:r>
        <w:t xml:space="preserve"> </w:t>
      </w:r>
      <w:r>
        <w:rPr>
          <w:i/>
        </w:rPr>
        <w:t xml:space="preserve">Fondamenti Di Linguistica</w:t>
      </w:r>
      <w:r>
        <w:t xml:space="preserve">. Laterza.</w:t>
      </w:r>
      <w:r>
        <w:t xml:space="preserve"> </w:t>
      </w:r>
      <w:hyperlink r:id="rId156">
        <w:r>
          <w:rPr>
            <w:rStyle w:val="Hyperlink"/>
          </w:rPr>
          <w:t xml:space="preserve">https://books.google.cz/books?id=9kRjmgEACAAJ</w:t>
        </w:r>
      </w:hyperlink>
      <w:r>
        <w:t xml:space="preserve">.</w:t>
      </w:r>
    </w:p>
    <w:bookmarkEnd w:id="157"/>
    <w:bookmarkStart w:id="159"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58">
        <w:r>
          <w:rPr>
            <w:rStyle w:val="Hyperlink"/>
          </w:rPr>
          <w:t xml:space="preserve">https://books.google.cz/books?id=\_Cu3AAAAIAAJ</w:t>
        </w:r>
      </w:hyperlink>
      <w:r>
        <w:t xml:space="preserve">.</w:t>
      </w:r>
    </w:p>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1">
    <w:nsid w:val="2b45298e"/>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2">
    <w:nsid w:val="59b0f1bf"/>
    <w:multiLevelType w:val="multilevel"/>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start w:val="32"/>
      <w:numFmt w:val="decimal"/>
      <w:lvlText w:val="(%8)"/>
      <w:lvlJc w:val="left"/>
      <w:pPr>
        <w:tabs>
          <w:tab w:val="num" w:pos="5040"/>
        </w:tabs>
        <w:ind w:left="5520" w:hanging="480"/>
      </w:pPr>
    </w:lvl>
    <w:lvl w:ilvl="8">
      <w:start w:val="32"/>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1">
    <w:nsid w:val="a19a335a"/>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2">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5">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2">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7">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5" Target="http://www.treccani.it/enciclopedia/articolo_(Enciclopedia-dell%27Italiano)/" TargetMode="External" /><Relationship Type="http://schemas.openxmlformats.org/officeDocument/2006/relationships/hyperlink" Id="rId140" Target="https://books.google.cz/books?id=7sF-NwAACAAJ" TargetMode="External" /><Relationship Type="http://schemas.openxmlformats.org/officeDocument/2006/relationships/hyperlink" Id="rId156" Target="https://books.google.cz/books?id=9kRjmgEACAAJ" TargetMode="External" /><Relationship Type="http://schemas.openxmlformats.org/officeDocument/2006/relationships/hyperlink" Id="rId153" Target="https://books.google.cz/books?id=RyN0mgEACAAJ" TargetMode="External" /><Relationship Type="http://schemas.openxmlformats.org/officeDocument/2006/relationships/hyperlink" Id="rId151" Target="https://books.google.cz/books?id=Xk8dAQAAIAAJ" TargetMode="External" /><Relationship Type="http://schemas.openxmlformats.org/officeDocument/2006/relationships/hyperlink" Id="rId158" Target="https://books.google.cz/books?id=\_Cu3AAAAIAAJ" TargetMode="External" /><Relationship Type="http://schemas.openxmlformats.org/officeDocument/2006/relationships/hyperlink" Id="rId149" Target="https://books.google.cz/books?id=agkquwEACAAJ" TargetMode="External" /><Relationship Type="http://schemas.openxmlformats.org/officeDocument/2006/relationships/hyperlink" Id="rId147" Target="https://books.google.cz/books?id=rEQqAQAAIAAJ" TargetMode="External" /><Relationship Type="http://schemas.openxmlformats.org/officeDocument/2006/relationships/hyperlink" Id="rId143"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5" Target="http://www.treccani.it/enciclopedia/articolo_(Enciclopedia-dell%27Italiano)/" TargetMode="External" /><Relationship Type="http://schemas.openxmlformats.org/officeDocument/2006/relationships/hyperlink" Id="rId140" Target="https://books.google.cz/books?id=7sF-NwAACAAJ" TargetMode="External" /><Relationship Type="http://schemas.openxmlformats.org/officeDocument/2006/relationships/hyperlink" Id="rId156" Target="https://books.google.cz/books?id=9kRjmgEACAAJ" TargetMode="External" /><Relationship Type="http://schemas.openxmlformats.org/officeDocument/2006/relationships/hyperlink" Id="rId153" Target="https://books.google.cz/books?id=RyN0mgEACAAJ" TargetMode="External" /><Relationship Type="http://schemas.openxmlformats.org/officeDocument/2006/relationships/hyperlink" Id="rId151" Target="https://books.google.cz/books?id=Xk8dAQAAIAAJ" TargetMode="External" /><Relationship Type="http://schemas.openxmlformats.org/officeDocument/2006/relationships/hyperlink" Id="rId158" Target="https://books.google.cz/books?id=\_Cu3AAAAIAAJ" TargetMode="External" /><Relationship Type="http://schemas.openxmlformats.org/officeDocument/2006/relationships/hyperlink" Id="rId149" Target="https://books.google.cz/books?id=agkquwEACAAJ" TargetMode="External" /><Relationship Type="http://schemas.openxmlformats.org/officeDocument/2006/relationships/hyperlink" Id="rId147" Target="https://books.google.cz/books?id=rEQqAQAAIAAJ" TargetMode="External" /><Relationship Type="http://schemas.openxmlformats.org/officeDocument/2006/relationships/hyperlink" Id="rId143"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2019-03-07T11:45:55Z</dcterms:created>
  <dcterms:modified xsi:type="dcterms:W3CDTF">2019-03-07T11:45:55Z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2019-03-07</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