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Sintassi</w:t>
      </w:r>
      <w:r>
        <w:t xml:space="preserve"> </w:t>
      </w:r>
      <w:r>
        <w:t xml:space="preserve">Italiana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Dispense</w:t>
      </w:r>
      <w:r>
        <w:t xml:space="preserve"> </w:t>
      </w:r>
      <w:r>
        <w:t xml:space="preserve">per</w:t>
      </w:r>
      <w:r>
        <w:t xml:space="preserve"> </w:t>
      </w:r>
      <w:r>
        <w:t xml:space="preserve">gli</w:t>
      </w:r>
      <w:r>
        <w:t xml:space="preserve"> </w:t>
      </w:r>
      <w:r>
        <w:t xml:space="preserve">studenti</w:t>
      </w:r>
      <w:r>
        <w:t xml:space="preserve"> </w:t>
      </w:r>
      <w:r>
        <w:t xml:space="preserve">del</w:t>
      </w:r>
      <w:r>
        <w:t xml:space="preserve"> </w:t>
      </w:r>
      <w:r>
        <w:t xml:space="preserve">corso</w:t>
      </w:r>
      <w:r>
        <w:t xml:space="preserve"> </w:t>
      </w:r>
      <w:r>
        <w:t xml:space="preserve">KRI/SYNT2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Petolicchio</w:t>
      </w:r>
    </w:p>
    <w:p>
      <w:pPr>
        <w:pStyle w:val="Date"/>
      </w:pPr>
      <w:r>
        <w:t xml:space="preserve">2018-12-22</w:t>
      </w:r>
    </w:p>
    <w:p>
      <w:pPr>
        <w:pStyle w:val="Heading1"/>
      </w:pPr>
      <w:bookmarkStart w:id="20" w:name="introduzione"/>
      <w:r>
        <w:t xml:space="preserve">Introduzione</w:t>
      </w:r>
      <w:bookmarkEnd w:id="20"/>
    </w:p>
    <w:p>
      <w:pPr>
        <w:pStyle w:val="FirstParagraph"/>
      </w:pPr>
      <w:r>
        <w:t xml:space="preserve">Questa dispensa nasce come materiale di studio per l’esame di Sintassi Italiana 2 per gli studenti triennali dell’Università Palacky di Olomouc, pensata in maniera specifica per studenti non madrelingua. Si fa riferimento a nozioni</w:t>
      </w:r>
      <w:r>
        <w:t xml:space="preserve"> </w:t>
      </w:r>
      <w:r>
        <w:rPr>
          <w:i/>
        </w:rPr>
        <w:t xml:space="preserve">tradizionali</w:t>
      </w:r>
      <w:r>
        <w:t xml:space="preserve"> </w:t>
      </w:r>
      <w:r>
        <w:t xml:space="preserve">della linguistica e degli studi sintattici rimandando, laddove si è ritenuto più pertinente, a degli studi più recenti in maniera da poter stimolare ulteriormente lo studente.</w:t>
      </w:r>
    </w:p>
    <w:p>
      <w:pPr>
        <w:pStyle w:val="BodyText"/>
      </w:pPr>
      <w:r>
        <w:t xml:space="preserve">Per qualsiasi informazione è possibile scrivere direttamente all’autore all’indirizzo</w:t>
      </w:r>
      <w:r>
        <w:t xml:space="preserve"> </w:t>
      </w:r>
      <w:r>
        <w:rPr>
          <w:rStyle w:val="VerbatimChar"/>
        </w:rPr>
        <w:t xml:space="preserve">marco.petolicchio01@upol.cz</w:t>
      </w:r>
      <w:r>
        <w:t xml:space="preserve">.</w:t>
      </w:r>
    </w:p>
    <w:p>
      <w:pPr>
        <w:pStyle w:val="BodyText"/>
      </w:pPr>
      <w:r>
        <w:t xml:space="preserve">Quest’opera è rilasciata con licenza Creative Commons BY 4.0. Il codice sorgente è disponibile all’indirizzo</w:t>
      </w:r>
      <w:r>
        <w:t xml:space="preserve"> </w:t>
      </w:r>
      <w:r>
        <w:rPr>
          <w:rStyle w:val="VerbatimChar"/>
        </w:rPr>
        <w:t xml:space="preserve">http://github.com/p-marco/sintassiIta2</w:t>
      </w:r>
      <w:r>
        <w:t xml:space="preserve"> </w:t>
      </w:r>
      <w:r>
        <w:t xml:space="preserve">e le versioni del progetto sono rilasciate in DOI attraverso la piattaforma Zenodo (</w:t>
      </w:r>
      <w:hyperlink r:id="rId21">
        <w:r>
          <w:rPr>
            <w:rStyle w:val="Hyperlink"/>
          </w:rPr>
          <w:t xml:space="preserve">DOI:10.5281/zenodo.2355707</w:t>
        </w:r>
      </w:hyperlink>
      <w:r>
        <w:t xml:space="preserve">).</w:t>
      </w:r>
    </w:p>
    <w:p>
      <w:pPr>
        <w:pStyle w:val="Heading1"/>
      </w:pPr>
      <w:bookmarkStart w:id="22" w:name="le-parti-del-discorso"/>
      <w:r>
        <w:t xml:space="preserve">Le parti del discorso</w:t>
      </w:r>
      <w:bookmarkEnd w:id="22"/>
    </w:p>
    <w:p>
      <w:pPr>
        <w:pStyle w:val="FirstParagraph"/>
      </w:pPr>
      <w:r>
        <w:t xml:space="preserve">Le parole di una lingua vengono divise all’interno di categorie grammaticali. In italiano –una lingua flessiva come buona parte delle lingue indoeuropee</w:t>
      </w:r>
      <w:r>
        <w:t xml:space="preserve"> </w:t>
      </w:r>
      <w:r>
        <w:t xml:space="preserve">(Graffi and Scalise</w:t>
      </w:r>
      <w:r>
        <w:t xml:space="preserve"> </w:t>
      </w:r>
      <w:hyperlink w:anchor="ref-graffiScalise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– queste suddivisioni avvengono per criteri di natura sintattica, ovvero la posizione ed il ruolo delle parole all’interno della frase. Tradizionalmente possiamo riconoscere 9 diverse</w:t>
      </w:r>
      <w:r>
        <w:t xml:space="preserve"> </w:t>
      </w:r>
      <w:r>
        <w:rPr>
          <w:b/>
        </w:rPr>
        <w:t xml:space="preserve">parti del discorso</w:t>
      </w:r>
      <w:r>
        <w:t xml:space="preserve"> </w:t>
      </w:r>
      <w:r>
        <w:t xml:space="preserve">(Salvi</w:t>
      </w:r>
      <w:r>
        <w:t xml:space="preserve"> </w:t>
      </w:r>
      <w:hyperlink w:anchor="ref-salvi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, tra cui possiamo operare una ulteriore suddivisione: quelle (parti)</w:t>
      </w:r>
      <w:r>
        <w:t xml:space="preserve"> </w:t>
      </w:r>
      <w:r>
        <w:rPr>
          <w:i/>
        </w:rPr>
        <w:t xml:space="preserve">variabili</w:t>
      </w:r>
      <w:r>
        <w:t xml:space="preserve"> </w:t>
      </w:r>
      <w:r>
        <w:t xml:space="preserve">e quelle</w:t>
      </w:r>
      <w:r>
        <w:t xml:space="preserve"> </w:t>
      </w:r>
      <w:r>
        <w:rPr>
          <w:i/>
        </w:rPr>
        <w:t xml:space="preserve">invariabili</w:t>
      </w:r>
      <w:r>
        <w:t xml:space="preserve">.</w:t>
      </w:r>
    </w:p>
    <w:p>
      <w:pPr>
        <w:pStyle w:val="Heading2"/>
      </w:pPr>
      <w:bookmarkStart w:id="23" w:name="le-parti-variabili"/>
      <w:r>
        <w:t xml:space="preserve">Le parti variabili</w:t>
      </w:r>
      <w:bookmarkEnd w:id="23"/>
    </w:p>
    <w:p>
      <w:pPr>
        <w:pStyle w:val="FirstParagraph"/>
      </w:pPr>
      <w:r>
        <w:t xml:space="preserve">In italiano si definiscono parti</w:t>
      </w:r>
      <w:r>
        <w:t xml:space="preserve"> </w:t>
      </w:r>
      <w:r>
        <w:rPr>
          <w:b/>
        </w:rPr>
        <w:t xml:space="preserve">variabili</w:t>
      </w:r>
      <w:r>
        <w:t xml:space="preserve"> </w:t>
      </w:r>
      <w:r>
        <w:t xml:space="preserve">del discorso quelle che hanno la possibilità di modificarsi sulla base di alcuni</w:t>
      </w:r>
      <w:r>
        <w:t xml:space="preserve"> </w:t>
      </w:r>
      <w:r>
        <w:rPr>
          <w:i/>
        </w:rPr>
        <w:t xml:space="preserve">tratti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categorie grammaticali</w:t>
      </w:r>
      <w:r>
        <w:t xml:space="preserve"> </w:t>
      </w:r>
      <w:r>
        <w:t xml:space="preserve">(Simone</w:t>
      </w:r>
      <w:r>
        <w:t xml:space="preserve"> </w:t>
      </w:r>
      <w:hyperlink w:anchor="ref-simone1995">
        <w:r>
          <w:rPr>
            <w:rStyle w:val="Hyperlink"/>
          </w:rPr>
          <w:t xml:space="preserve">1995</w:t>
        </w:r>
      </w:hyperlink>
      <w:r>
        <w:t xml:space="preserve">, Cap.9)</w:t>
      </w:r>
      <w:r>
        <w:t xml:space="preserve"> </w:t>
      </w:r>
      <w:r>
        <w:t xml:space="preserve">come il Genere, il Numero, la Persona, il Caso, il Tempo, l’Aspetto, il Modo ecc..</w:t>
      </w:r>
    </w:p>
    <w:p>
      <w:pPr>
        <w:pStyle w:val="Heading3"/>
      </w:pPr>
      <w:bookmarkStart w:id="24" w:name="aggettivo"/>
      <w:r>
        <w:t xml:space="preserve">Aggettivo</w:t>
      </w:r>
      <w:bookmarkEnd w:id="24"/>
    </w:p>
    <w:p>
      <w:pPr>
        <w:pStyle w:val="FirstParagraph"/>
      </w:pPr>
      <w:r>
        <w:t xml:space="preserve">L’aggettivo è un</w:t>
      </w:r>
      <w:r>
        <w:t xml:space="preserve"> </w:t>
      </w:r>
      <w:r>
        <w:rPr>
          <w:i/>
        </w:rPr>
        <w:t xml:space="preserve">modificatore</w:t>
      </w:r>
      <w:r>
        <w:t xml:space="preserve"> </w:t>
      </w:r>
      <w:r>
        <w:t xml:space="preserve">di altri elementi del discorso, soprattutto del sostantivo, con cui instaura un rapporto sintattico che si manifesta, nella maggior parte dei casi, nella concordanza grammaticale (Brutto</w:t>
      </w:r>
      <w:r>
        <w:t xml:space="preserve"> </w:t>
      </w:r>
      <w:r>
        <w:rPr>
          <w:i/>
        </w:rPr>
        <w:t xml:space="preserve">stamani il</w:t>
      </w:r>
      <w:r>
        <w:t xml:space="preserve"> </w:t>
      </w:r>
      <w:r>
        <w:t xml:space="preserve">tempo</w:t>
      </w:r>
      <w:r>
        <w:t xml:space="preserve"> </w:t>
      </w:r>
      <w:r>
        <w:rPr>
          <w:i/>
        </w:rPr>
        <w:t xml:space="preserve">e ancora più</w:t>
      </w:r>
      <w:r>
        <w:t xml:space="preserve"> </w:t>
      </w:r>
      <w:r>
        <w:t xml:space="preserve">pestifero</w:t>
      </w:r>
      <w:r>
        <w:t xml:space="preserve"> </w:t>
      </w:r>
      <w:r>
        <w:rPr>
          <w:i/>
        </w:rPr>
        <w:t xml:space="preserve">il</w:t>
      </w:r>
      <w:r>
        <w:t xml:space="preserve"> </w:t>
      </w:r>
      <w:r>
        <w:t xml:space="preserve">Tempo</w:t>
      </w:r>
      <w:r>
        <w:t xml:space="preserve"> </w:t>
      </w:r>
      <w:r>
        <w:t xml:space="preserve">(Montale and Castellana</w:t>
      </w:r>
      <w:r>
        <w:t xml:space="preserve"> </w:t>
      </w:r>
      <w:hyperlink w:anchor="ref-montale-satura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,</w:t>
      </w:r>
      <w:r>
        <w:t xml:space="preserve"> </w:t>
      </w:r>
      <w:r>
        <w:rPr>
          <w:i/>
        </w:rPr>
        <w:t xml:space="preserve">Le</w:t>
      </w:r>
      <w:r>
        <w:t xml:space="preserve"> </w:t>
      </w:r>
      <w:r>
        <w:t xml:space="preserve">lasagne scaldate</w:t>
      </w:r>
      <w:r>
        <w:t xml:space="preserve"> </w:t>
      </w:r>
      <w:r>
        <w:rPr>
          <w:i/>
        </w:rPr>
        <w:t xml:space="preserve">nel micro che da solo mi sento</w:t>
      </w:r>
      <w:r>
        <w:t xml:space="preserve"> </w:t>
      </w:r>
      <w:r>
        <w:t xml:space="preserve">cattivo</w:t>
      </w:r>
      <w:r>
        <w:t xml:space="preserve"> </w:t>
      </w:r>
      <w:r>
        <w:t xml:space="preserve">(Fibra</w:t>
      </w:r>
      <w:r>
        <w:t xml:space="preserve"> </w:t>
      </w:r>
      <w:hyperlink w:anchor="ref-fibra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).</w:t>
      </w:r>
    </w:p>
    <w:p>
      <w:pPr>
        <w:pStyle w:val="BodyText"/>
      </w:pPr>
      <w:r>
        <w:t xml:space="preserve">Tradizionalmente possiamo suddividere la classe di aggettivi in due categorie:</w:t>
      </w:r>
    </w:p>
    <w:p>
      <w:pPr>
        <w:pStyle w:val="Compact"/>
        <w:numPr>
          <w:numId w:val="1001"/>
          <w:ilvl w:val="0"/>
        </w:numPr>
      </w:pPr>
      <w:r>
        <w:t xml:space="preserve">Determinativi:</w:t>
      </w:r>
    </w:p>
    <w:p>
      <w:pPr>
        <w:pStyle w:val="Compact"/>
        <w:numPr>
          <w:numId w:val="1002"/>
          <w:ilvl w:val="1"/>
        </w:numPr>
      </w:pPr>
      <w:r>
        <w:t xml:space="preserve">Possessivi (</w:t>
      </w:r>
      <w:r>
        <w:rPr>
          <w:i/>
        </w:rPr>
        <w:t xml:space="preserve">mia, vostre, suo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Numerali:</w:t>
      </w:r>
    </w:p>
    <w:p>
      <w:pPr>
        <w:pStyle w:val="Compact"/>
        <w:numPr>
          <w:numId w:val="1003"/>
          <w:ilvl w:val="2"/>
        </w:numPr>
      </w:pPr>
      <w:r>
        <w:t xml:space="preserve">Cardinali (</w:t>
      </w:r>
      <w:r>
        <w:rPr>
          <w:i/>
        </w:rPr>
        <w:t xml:space="preserve">due, trentatré</w:t>
      </w:r>
      <w:r>
        <w:t xml:space="preserve">)</w:t>
      </w:r>
    </w:p>
    <w:p>
      <w:pPr>
        <w:pStyle w:val="Compact"/>
        <w:numPr>
          <w:numId w:val="1003"/>
          <w:ilvl w:val="2"/>
        </w:numPr>
      </w:pPr>
      <w:r>
        <w:t xml:space="preserve">Ordinali (</w:t>
      </w:r>
      <w:r>
        <w:rPr>
          <w:i/>
        </w:rPr>
        <w:t xml:space="preserve">primo, quarantatreesimo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Dimostrativi (</w:t>
      </w:r>
      <w:r>
        <w:rPr>
          <w:i/>
        </w:rPr>
        <w:t xml:space="preserve">questo, quello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Indefiniti (</w:t>
      </w:r>
      <w:r>
        <w:rPr>
          <w:i/>
        </w:rPr>
        <w:t xml:space="preserve">alcuni, tutti, nessuna</w:t>
      </w:r>
      <w:r>
        <w:t xml:space="preserve">)</w:t>
      </w:r>
    </w:p>
    <w:p>
      <w:pPr>
        <w:pStyle w:val="Compact"/>
        <w:numPr>
          <w:numId w:val="1002"/>
          <w:ilvl w:val="1"/>
        </w:numPr>
      </w:pPr>
      <w:r>
        <w:t xml:space="preserve">Interrogativi ed esclamativi (</w:t>
      </w:r>
      <w:r>
        <w:rPr>
          <w:i/>
        </w:rPr>
        <w:t xml:space="preserve">quale?, quanti?, quale gioia!, ma che onore!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Qualificativi (</w:t>
      </w:r>
      <w:r>
        <w:rPr>
          <w:i/>
        </w:rPr>
        <w:t xml:space="preserve">forte, grande, bello, rettangolare, goloso, verde, vecchio</w:t>
      </w:r>
      <w:r>
        <w:t xml:space="preserve">)</w:t>
      </w:r>
    </w:p>
    <w:p>
      <w:pPr>
        <w:pStyle w:val="FirstParagraph"/>
      </w:pPr>
      <w:r>
        <w:t xml:space="preserve">I determinativi esprimono alcune funzioni della referenza (per esempio il possesso), mentre i qualificativi esprimono dei caratteri quali il colore, la forma, l’aspetto, le qualità. Quella dei determinativi è una classe</w:t>
      </w:r>
      <w:r>
        <w:t xml:space="preserve"> </w:t>
      </w:r>
      <w:r>
        <w:rPr>
          <w:i/>
        </w:rPr>
        <w:t xml:space="preserve">chiusa</w:t>
      </w:r>
      <w:r>
        <w:t xml:space="preserve">, mentre quella dei qualificativi è una classe</w:t>
      </w:r>
      <w:r>
        <w:t xml:space="preserve"> </w:t>
      </w:r>
      <w:r>
        <w:rPr>
          <w:i/>
        </w:rPr>
        <w:t xml:space="preserve">aperta</w:t>
      </w:r>
      <w:r>
        <w:t xml:space="preserve"> </w:t>
      </w:r>
      <w:r>
        <w:t xml:space="preserve">che prevede cioè la possibilità di espandersi in maniera indefinita.</w:t>
      </w:r>
    </w:p>
    <w:p>
      <w:pPr>
        <w:pStyle w:val="Heading3"/>
      </w:pPr>
      <w:bookmarkStart w:id="25" w:name="articolo"/>
      <w:r>
        <w:t xml:space="preserve">Articolo</w:t>
      </w:r>
      <w:bookmarkEnd w:id="25"/>
    </w:p>
    <w:p>
      <w:pPr>
        <w:pStyle w:val="FirstParagraph"/>
      </w:pPr>
      <w:r>
        <w:t xml:space="preserve">L’articolo è quella particella che si accompagna al nome o ad altre parti del discorso in funzione sostantivata. In italiano esso concorda nei tratti di Numero, Persona, Genere con il sostantivo di riferimento</w:t>
      </w:r>
      <w:r>
        <w:t xml:space="preserve"> </w:t>
      </w:r>
      <w:r>
        <w:t xml:space="preserve">(Grandi</w:t>
      </w:r>
      <w:r>
        <w:t xml:space="preserve"> </w:t>
      </w:r>
      <w:hyperlink w:anchor="ref-grandi2010">
        <w:r>
          <w:rPr>
            <w:rStyle w:val="Hyperlink"/>
          </w:rPr>
          <w:t xml:space="preserve">2010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Le lingue del mondo non presentano tutte lo stesso comportamento nei riguardi della posizione e/o della presenza dell’articolo e possiamo trovare:</w:t>
      </w:r>
    </w:p>
    <w:p>
      <w:pPr>
        <w:pStyle w:val="Compact"/>
        <w:numPr>
          <w:numId w:val="1004"/>
          <w:ilvl w:val="0"/>
        </w:numPr>
      </w:pPr>
      <w:r>
        <w:t xml:space="preserve">Lingue senza articoli (</w:t>
      </w:r>
      <w:r>
        <w:rPr>
          <w:i/>
        </w:rPr>
        <w:t xml:space="preserve">ceco, slovacco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Lingue con articoli</w:t>
      </w:r>
    </w:p>
    <w:p>
      <w:pPr>
        <w:pStyle w:val="Compact"/>
        <w:numPr>
          <w:numId w:val="1005"/>
          <w:ilvl w:val="1"/>
        </w:numPr>
      </w:pPr>
      <w:r>
        <w:t xml:space="preserve">Proclitici (</w:t>
      </w:r>
      <w:r>
        <w:rPr>
          <w:i/>
        </w:rPr>
        <w:t xml:space="preserve">italiano, inglese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Enclitici (</w:t>
      </w:r>
      <w:r>
        <w:rPr>
          <w:i/>
        </w:rPr>
        <w:t xml:space="preserve">bulgaro, macedone</w:t>
      </w:r>
      <w:r>
        <w:t xml:space="preserve">)</w:t>
      </w:r>
    </w:p>
    <w:p>
      <w:pPr>
        <w:pStyle w:val="FirstParagraph"/>
      </w:pPr>
      <w:r>
        <w:t xml:space="preserve">In una lingua come l’italiano, la presenza dell’articolo è lo</w:t>
      </w:r>
      <w:r>
        <w:t xml:space="preserve"> </w:t>
      </w:r>
      <w:r>
        <w:rPr>
          <w:i/>
        </w:rPr>
        <w:t xml:space="preserve">standard</w:t>
      </w:r>
      <w:r>
        <w:t xml:space="preserve">, ovvero non ha una funzione specifica mentre la sua assenza assume significato. Così, per esempio, in</w:t>
      </w:r>
      <w:r>
        <w:t xml:space="preserve"> </w:t>
      </w:r>
      <w:r>
        <w:rPr>
          <w:b/>
        </w:rPr>
        <w:t xml:space="preserve">italiano standard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i nomi propri escludono l’articolo (</w:t>
      </w:r>
      <w:r>
        <w:rPr>
          <w:i/>
        </w:rPr>
        <w:t xml:space="preserve">Marta va in città</w:t>
      </w:r>
      <w:r>
        <w:t xml:space="preserve"> </w:t>
      </w:r>
      <w:r>
        <w:t xml:space="preserve">vs. </w:t>
      </w:r>
      <w:r>
        <w:rPr>
          <w:i/>
        </w:rPr>
        <w:t xml:space="preserve">*La Marta va in città</w:t>
      </w:r>
      <w:r>
        <w:t xml:space="preserve">) così come è esclusa la possibilità di trovare l’articolo in combinazione con il possessivo nei nomi di famiglia (</w:t>
      </w:r>
      <w:r>
        <w:rPr>
          <w:i/>
        </w:rPr>
        <w:t xml:space="preserve">mio figlio si chiama Luigi</w:t>
      </w:r>
      <w:r>
        <w:t xml:space="preserve"> </w:t>
      </w:r>
      <w:r>
        <w:t xml:space="preserve">vs. </w:t>
      </w:r>
      <w:r>
        <w:rPr>
          <w:i/>
        </w:rPr>
        <w:t xml:space="preserve">* Il mio figlio si chiama Luigi</w:t>
      </w:r>
      <w:r>
        <w:t xml:space="preserve">).</w:t>
      </w:r>
    </w:p>
    <w:p>
      <w:pPr>
        <w:pStyle w:val="Heading4"/>
      </w:pPr>
      <w:bookmarkStart w:id="27" w:name="definito"/>
      <w:r>
        <w:t xml:space="preserve">Definito</w:t>
      </w:r>
      <w:bookmarkEnd w:id="27"/>
    </w:p>
    <w:p>
      <w:pPr>
        <w:pStyle w:val="FirstParagraph"/>
      </w:pPr>
      <w:r>
        <w:t xml:space="preserve">L’articolo definito o</w:t>
      </w:r>
      <w:r>
        <w:t xml:space="preserve"> </w:t>
      </w:r>
      <w:r>
        <w:rPr>
          <w:i/>
        </w:rPr>
        <w:t xml:space="preserve">determinativo</w:t>
      </w:r>
      <w:r>
        <w:t xml:space="preserve"> </w:t>
      </w:r>
      <w:r>
        <w:t xml:space="preserve">può indicare un referente determinato, ovvero noto (</w:t>
      </w:r>
      <w:r>
        <w:rPr>
          <w:i/>
        </w:rPr>
        <w:t xml:space="preserve">Sto cercando il libro</w:t>
      </w:r>
      <w:r>
        <w:t xml:space="preserve">,</w:t>
      </w:r>
      <w:r>
        <w:t xml:space="preserve"> </w:t>
      </w:r>
      <w:r>
        <w:rPr>
          <w:i/>
        </w:rPr>
        <w:t xml:space="preserve">hai visto la mia maglietta?</w:t>
      </w:r>
      <w:r>
        <w:t xml:space="preserve">).</w:t>
      </w:r>
    </w:p>
    <w:p>
      <w:pPr>
        <w:pStyle w:val="Heading4"/>
      </w:pPr>
      <w:bookmarkStart w:id="28" w:name="indefinito"/>
      <w:r>
        <w:t xml:space="preserve">Indefinito</w:t>
      </w:r>
      <w:bookmarkEnd w:id="28"/>
    </w:p>
    <w:p>
      <w:pPr>
        <w:pStyle w:val="FirstParagraph"/>
      </w:pPr>
      <w:r>
        <w:t xml:space="preserve">Quello indefinito o indeterminativo può essere usato per indicare un sostantivo indefinito specifico (</w:t>
      </w:r>
      <w:r>
        <w:rPr>
          <w:i/>
        </w:rPr>
        <w:t xml:space="preserve">non trovo un libro che avevo lasciato a casa</w:t>
      </w:r>
      <w:r>
        <w:t xml:space="preserve">) oppure non specifico (</w:t>
      </w:r>
      <w:r>
        <w:rPr>
          <w:i/>
        </w:rPr>
        <w:t xml:space="preserve">per la nuova casa vorrei trovare un inquilino simpatico</w:t>
      </w:r>
      <w:r>
        <w:t xml:space="preserve">). Gli articoli indefiniti non possono essere usati al plurale e la loro forma è la stessa del numero</w:t>
      </w:r>
      <w:r>
        <w:t xml:space="preserve"> </w:t>
      </w:r>
      <w:r>
        <w:t xml:space="preserve">“</w:t>
      </w:r>
      <w:r>
        <w:t xml:space="preserve">uno</w:t>
      </w:r>
      <w:r>
        <w:t xml:space="preserve">”</w:t>
      </w:r>
      <w:r>
        <w:t xml:space="preserve"> </w:t>
      </w:r>
      <w:r>
        <w:t xml:space="preserve">(1).</w:t>
      </w:r>
    </w:p>
    <w:p>
      <w:pPr>
        <w:pStyle w:val="Heading4"/>
      </w:pPr>
      <w:bookmarkStart w:id="29" w:name="partitivo"/>
      <w:r>
        <w:t xml:space="preserve">Partitivo</w:t>
      </w:r>
      <w:bookmarkEnd w:id="29"/>
    </w:p>
    <w:p>
      <w:pPr>
        <w:pStyle w:val="FirstParagraph"/>
      </w:pPr>
      <w:r>
        <w:t xml:space="preserve">L’articolo partitivo si usa per indicare quantità indefinite o parti di un insieme (</w:t>
      </w:r>
      <w:r>
        <w:rPr>
          <w:i/>
        </w:rPr>
        <w:t xml:space="preserve">vorrei del pane</w:t>
      </w:r>
      <w:r>
        <w:t xml:space="preserve">,</w:t>
      </w:r>
      <w:r>
        <w:t xml:space="preserve"> </w:t>
      </w:r>
      <w:r>
        <w:rPr>
          <w:i/>
        </w:rPr>
        <w:t xml:space="preserve">sto cercando dei libri</w:t>
      </w:r>
      <w:r>
        <w:t xml:space="preserve">,</w:t>
      </w:r>
      <w:r>
        <w:t xml:space="preserve"> </w:t>
      </w:r>
      <w:r>
        <w:rPr>
          <w:i/>
        </w:rPr>
        <w:t xml:space="preserve">la maggior parte dei ragazzi pensa solo a una cosa</w:t>
      </w:r>
      <w:r>
        <w:t xml:space="preserve">). Si forma dall’unione delle forme</w:t>
      </w:r>
      <w:r>
        <w:t xml:space="preserve"> </w:t>
      </w:r>
      <w:r>
        <w:t xml:space="preserve">“</w:t>
      </w:r>
      <w:r>
        <w:t xml:space="preserve">di</w:t>
      </w:r>
      <w:r>
        <w:t xml:space="preserve">”</w:t>
      </w:r>
      <w:r>
        <w:t xml:space="preserve"> </w:t>
      </w:r>
      <w:r>
        <w:t xml:space="preserve">con l’articolo definito (</w:t>
      </w:r>
      <w:r>
        <w:rPr>
          <w:i/>
        </w:rPr>
        <w:t xml:space="preserve">del</w:t>
      </w:r>
      <w:r>
        <w:t xml:space="preserve">,</w:t>
      </w:r>
      <w:r>
        <w:t xml:space="preserve"> </w:t>
      </w:r>
      <w:r>
        <w:rPr>
          <w:i/>
        </w:rPr>
        <w:t xml:space="preserve">dello</w:t>
      </w:r>
      <w:r>
        <w:t xml:space="preserve">,</w:t>
      </w:r>
      <w:r>
        <w:t xml:space="preserve"> </w:t>
      </w:r>
      <w:r>
        <w:rPr>
          <w:i/>
        </w:rPr>
        <w:t xml:space="preserve">della</w:t>
      </w:r>
      <w:r>
        <w:t xml:space="preserve">,</w:t>
      </w:r>
      <w:r>
        <w:t xml:space="preserve"> </w:t>
      </w:r>
      <w:r>
        <w:rPr>
          <w:i/>
        </w:rPr>
        <w:t xml:space="preserve">dei</w:t>
      </w:r>
      <w:r>
        <w:t xml:space="preserve">,</w:t>
      </w:r>
      <w:r>
        <w:t xml:space="preserve"> </w:t>
      </w:r>
      <w:r>
        <w:rPr>
          <w:i/>
        </w:rPr>
        <w:t xml:space="preserve">degli</w:t>
      </w:r>
      <w:r>
        <w:t xml:space="preserve">,</w:t>
      </w:r>
      <w:r>
        <w:t xml:space="preserve"> </w:t>
      </w:r>
      <w:r>
        <w:rPr>
          <w:i/>
        </w:rPr>
        <w:t xml:space="preserve">delle</w:t>
      </w:r>
      <w:r>
        <w:t xml:space="preserve">).</w:t>
      </w:r>
    </w:p>
    <w:p>
      <w:pPr>
        <w:pStyle w:val="Heading3"/>
      </w:pPr>
      <w:bookmarkStart w:id="30" w:name="nome"/>
      <w:r>
        <w:t xml:space="preserve">Nome</w:t>
      </w:r>
      <w:bookmarkEnd w:id="30"/>
    </w:p>
    <w:p>
      <w:pPr>
        <w:pStyle w:val="Heading3"/>
      </w:pPr>
      <w:bookmarkStart w:id="31" w:name="pronome"/>
      <w:r>
        <w:t xml:space="preserve">Pronome</w:t>
      </w:r>
      <w:bookmarkEnd w:id="31"/>
    </w:p>
    <w:p>
      <w:pPr>
        <w:pStyle w:val="Heading3"/>
      </w:pPr>
      <w:bookmarkStart w:id="32" w:name="verbo"/>
      <w:r>
        <w:t xml:space="preserve">Verbo</w:t>
      </w:r>
      <w:bookmarkEnd w:id="32"/>
    </w:p>
    <w:p>
      <w:pPr>
        <w:pStyle w:val="Heading2"/>
      </w:pPr>
      <w:bookmarkStart w:id="33" w:name="le-parti-invariabili"/>
      <w:r>
        <w:t xml:space="preserve">Le parti invariabili</w:t>
      </w:r>
      <w:bookmarkEnd w:id="33"/>
    </w:p>
    <w:p>
      <w:pPr>
        <w:pStyle w:val="Heading3"/>
      </w:pPr>
      <w:bookmarkStart w:id="34" w:name="avverbio"/>
      <w:r>
        <w:t xml:space="preserve">Avverbio</w:t>
      </w:r>
      <w:bookmarkEnd w:id="34"/>
    </w:p>
    <w:p>
      <w:pPr>
        <w:pStyle w:val="Heading3"/>
      </w:pPr>
      <w:bookmarkStart w:id="35" w:name="congiunzione"/>
      <w:r>
        <w:t xml:space="preserve">Congiunzione</w:t>
      </w:r>
      <w:bookmarkEnd w:id="35"/>
    </w:p>
    <w:p>
      <w:pPr>
        <w:pStyle w:val="Heading3"/>
      </w:pPr>
      <w:bookmarkStart w:id="36" w:name="interiezione"/>
      <w:r>
        <w:t xml:space="preserve">Interiezione</w:t>
      </w:r>
      <w:bookmarkEnd w:id="36"/>
    </w:p>
    <w:p>
      <w:pPr>
        <w:pStyle w:val="Heading3"/>
      </w:pPr>
      <w:bookmarkStart w:id="37" w:name="preposizione"/>
      <w:r>
        <w:t xml:space="preserve">Preposizione</w:t>
      </w:r>
      <w:bookmarkEnd w:id="37"/>
    </w:p>
    <w:p>
      <w:pPr>
        <w:pStyle w:val="Heading1"/>
      </w:pPr>
      <w:bookmarkStart w:id="38" w:name="la-frase"/>
      <w:r>
        <w:t xml:space="preserve">La frase</w:t>
      </w:r>
      <w:bookmarkEnd w:id="38"/>
    </w:p>
    <w:p>
      <w:pPr>
        <w:pStyle w:val="Heading2"/>
      </w:pPr>
      <w:bookmarkStart w:id="39" w:name="coordinazione"/>
      <w:r>
        <w:t xml:space="preserve">Coordinazione</w:t>
      </w:r>
      <w:bookmarkEnd w:id="39"/>
    </w:p>
    <w:p>
      <w:pPr>
        <w:pStyle w:val="Heading2"/>
      </w:pPr>
      <w:bookmarkStart w:id="40" w:name="giustapposizione"/>
      <w:r>
        <w:t xml:space="preserve">Giustapposizione</w:t>
      </w:r>
      <w:bookmarkEnd w:id="40"/>
    </w:p>
    <w:p>
      <w:pPr>
        <w:pStyle w:val="Heading2"/>
      </w:pPr>
      <w:bookmarkStart w:id="41" w:name="connettori"/>
      <w:r>
        <w:t xml:space="preserve">Connettori</w:t>
      </w:r>
      <w:bookmarkEnd w:id="41"/>
    </w:p>
    <w:p>
      <w:pPr>
        <w:pStyle w:val="Heading2"/>
      </w:pPr>
      <w:bookmarkStart w:id="42" w:name="esempi"/>
      <w:r>
        <w:t xml:space="preserve">Esempi</w:t>
      </w:r>
      <w:bookmarkEnd w:id="42"/>
    </w:p>
    <w:p>
      <w:pPr>
        <w:pStyle w:val="Heading1"/>
      </w:pPr>
      <w:bookmarkStart w:id="43" w:name="frasi-soggettive"/>
      <w:r>
        <w:t xml:space="preserve">Frasi soggettive</w:t>
      </w:r>
      <w:bookmarkEnd w:id="43"/>
    </w:p>
    <w:p>
      <w:pPr>
        <w:pStyle w:val="Heading2"/>
      </w:pPr>
      <w:bookmarkStart w:id="44" w:name="funzione"/>
      <w:r>
        <w:t xml:space="preserve">Funzione</w:t>
      </w:r>
      <w:bookmarkEnd w:id="44"/>
    </w:p>
    <w:p>
      <w:pPr>
        <w:pStyle w:val="Heading2"/>
      </w:pPr>
      <w:bookmarkStart w:id="45" w:name="soggettive-esplicite"/>
      <w:r>
        <w:t xml:space="preserve">Soggettive esplicite</w:t>
      </w:r>
      <w:bookmarkEnd w:id="45"/>
    </w:p>
    <w:p>
      <w:pPr>
        <w:pStyle w:val="Heading2"/>
      </w:pPr>
      <w:bookmarkStart w:id="46" w:name="soggettive-implicite"/>
      <w:r>
        <w:t xml:space="preserve">Soggettive implicite</w:t>
      </w:r>
      <w:bookmarkEnd w:id="46"/>
    </w:p>
    <w:p>
      <w:pPr>
        <w:pStyle w:val="Heading1"/>
      </w:pPr>
      <w:bookmarkStart w:id="47" w:name="frasi-oggettive"/>
      <w:r>
        <w:t xml:space="preserve">Frasi oggettive</w:t>
      </w:r>
      <w:bookmarkEnd w:id="47"/>
    </w:p>
    <w:p>
      <w:pPr>
        <w:pStyle w:val="Heading2"/>
      </w:pPr>
      <w:bookmarkStart w:id="48" w:name="funzione-1"/>
      <w:r>
        <w:t xml:space="preserve">Funzione</w:t>
      </w:r>
      <w:bookmarkEnd w:id="48"/>
    </w:p>
    <w:p>
      <w:pPr>
        <w:pStyle w:val="Heading2"/>
      </w:pPr>
      <w:bookmarkStart w:id="49" w:name="oggettive-esplicite"/>
      <w:r>
        <w:t xml:space="preserve">Oggettive esplicite</w:t>
      </w:r>
      <w:bookmarkEnd w:id="49"/>
    </w:p>
    <w:p>
      <w:pPr>
        <w:pStyle w:val="Heading2"/>
      </w:pPr>
      <w:bookmarkStart w:id="50" w:name="oggettive-implicite"/>
      <w:r>
        <w:t xml:space="preserve">Oggettive implicite</w:t>
      </w:r>
      <w:bookmarkEnd w:id="50"/>
    </w:p>
    <w:p>
      <w:pPr>
        <w:pStyle w:val="Heading1"/>
      </w:pPr>
      <w:bookmarkStart w:id="51" w:name="frasi-interrogative"/>
      <w:r>
        <w:t xml:space="preserve">Frasi Interrogative</w:t>
      </w:r>
      <w:bookmarkEnd w:id="51"/>
    </w:p>
    <w:p>
      <w:pPr>
        <w:pStyle w:val="Heading2"/>
      </w:pPr>
      <w:bookmarkStart w:id="52" w:name="funzione-2"/>
      <w:r>
        <w:t xml:space="preserve">Funzione</w:t>
      </w:r>
      <w:bookmarkEnd w:id="52"/>
    </w:p>
    <w:p>
      <w:pPr>
        <w:pStyle w:val="Heading2"/>
      </w:pPr>
      <w:bookmarkStart w:id="53" w:name="dirette"/>
      <w:r>
        <w:t xml:space="preserve">Dirette</w:t>
      </w:r>
      <w:bookmarkEnd w:id="53"/>
    </w:p>
    <w:p>
      <w:pPr>
        <w:pStyle w:val="Heading2"/>
      </w:pPr>
      <w:bookmarkStart w:id="54" w:name="indirette"/>
      <w:r>
        <w:t xml:space="preserve">Indirette</w:t>
      </w:r>
      <w:bookmarkEnd w:id="54"/>
    </w:p>
    <w:p>
      <w:pPr>
        <w:pStyle w:val="Heading2"/>
      </w:pPr>
      <w:bookmarkStart w:id="55" w:name="esplicite"/>
      <w:r>
        <w:t xml:space="preserve">Esplicite</w:t>
      </w:r>
      <w:bookmarkEnd w:id="55"/>
    </w:p>
    <w:p>
      <w:pPr>
        <w:pStyle w:val="Heading2"/>
      </w:pPr>
      <w:bookmarkStart w:id="56" w:name="implicite"/>
      <w:r>
        <w:t xml:space="preserve">Implicite</w:t>
      </w:r>
      <w:bookmarkEnd w:id="56"/>
    </w:p>
    <w:p>
      <w:pPr>
        <w:pStyle w:val="Heading1"/>
      </w:pPr>
      <w:bookmarkStart w:id="57" w:name="frasi-relative"/>
      <w:r>
        <w:t xml:space="preserve">Frasi Relative</w:t>
      </w:r>
      <w:bookmarkEnd w:id="57"/>
    </w:p>
    <w:p>
      <w:pPr>
        <w:pStyle w:val="Heading2"/>
      </w:pPr>
      <w:bookmarkStart w:id="58" w:name="tipi"/>
      <w:r>
        <w:t xml:space="preserve">Tipi</w:t>
      </w:r>
      <w:bookmarkEnd w:id="58"/>
    </w:p>
    <w:p>
      <w:pPr>
        <w:pStyle w:val="Heading2"/>
      </w:pPr>
      <w:bookmarkStart w:id="59" w:name="esplicite-1"/>
      <w:r>
        <w:t xml:space="preserve">Esplicite</w:t>
      </w:r>
      <w:bookmarkEnd w:id="59"/>
    </w:p>
    <w:p>
      <w:pPr>
        <w:pStyle w:val="Heading2"/>
      </w:pPr>
      <w:bookmarkStart w:id="60" w:name="implicite-1"/>
      <w:r>
        <w:t xml:space="preserve">Implicite</w:t>
      </w:r>
      <w:bookmarkEnd w:id="60"/>
    </w:p>
    <w:p>
      <w:pPr>
        <w:pStyle w:val="Heading1"/>
      </w:pPr>
      <w:bookmarkStart w:id="61" w:name="frasi-temporali"/>
      <w:r>
        <w:t xml:space="preserve">Frasi temporali</w:t>
      </w:r>
      <w:bookmarkEnd w:id="61"/>
    </w:p>
    <w:p>
      <w:pPr>
        <w:pStyle w:val="Heading2"/>
      </w:pPr>
      <w:bookmarkStart w:id="62" w:name="definizione"/>
      <w:r>
        <w:t xml:space="preserve">Definizione</w:t>
      </w:r>
      <w:bookmarkEnd w:id="62"/>
    </w:p>
    <w:p>
      <w:pPr>
        <w:pStyle w:val="Heading2"/>
      </w:pPr>
      <w:bookmarkStart w:id="63" w:name="tipi-1"/>
      <w:r>
        <w:t xml:space="preserve">Tipi</w:t>
      </w:r>
      <w:bookmarkEnd w:id="63"/>
    </w:p>
    <w:p>
      <w:pPr>
        <w:pStyle w:val="Heading2"/>
      </w:pPr>
      <w:bookmarkStart w:id="64" w:name="esplicite-2"/>
      <w:r>
        <w:t xml:space="preserve">Esplicite</w:t>
      </w:r>
      <w:bookmarkEnd w:id="64"/>
    </w:p>
    <w:p>
      <w:pPr>
        <w:pStyle w:val="Heading2"/>
      </w:pPr>
      <w:bookmarkStart w:id="65" w:name="implicite-2"/>
      <w:r>
        <w:t xml:space="preserve">Implicite</w:t>
      </w:r>
      <w:bookmarkEnd w:id="65"/>
    </w:p>
    <w:p>
      <w:pPr>
        <w:pStyle w:val="Heading1"/>
      </w:pPr>
      <w:bookmarkStart w:id="66" w:name="frasi-comparative-e-modali"/>
      <w:r>
        <w:t xml:space="preserve">Frasi comparative e modali</w:t>
      </w:r>
      <w:bookmarkEnd w:id="66"/>
    </w:p>
    <w:p>
      <w:pPr>
        <w:pStyle w:val="Heading2"/>
      </w:pPr>
      <w:bookmarkStart w:id="67" w:name="definizione-1"/>
      <w:r>
        <w:t xml:space="preserve">Definizione</w:t>
      </w:r>
      <w:bookmarkEnd w:id="67"/>
    </w:p>
    <w:p>
      <w:pPr>
        <w:pStyle w:val="Heading2"/>
      </w:pPr>
      <w:bookmarkStart w:id="68" w:name="tipi-2"/>
      <w:r>
        <w:t xml:space="preserve">Tipi</w:t>
      </w:r>
      <w:bookmarkEnd w:id="68"/>
    </w:p>
    <w:p>
      <w:pPr>
        <w:pStyle w:val="Heading2"/>
      </w:pPr>
      <w:bookmarkStart w:id="69" w:name="esplicite-3"/>
      <w:r>
        <w:t xml:space="preserve">Esplicite</w:t>
      </w:r>
      <w:bookmarkEnd w:id="69"/>
    </w:p>
    <w:p>
      <w:pPr>
        <w:pStyle w:val="Heading2"/>
      </w:pPr>
      <w:bookmarkStart w:id="70" w:name="implicite-3"/>
      <w:r>
        <w:t xml:space="preserve">Implicite</w:t>
      </w:r>
      <w:bookmarkEnd w:id="70"/>
    </w:p>
    <w:p>
      <w:pPr>
        <w:pStyle w:val="Heading1"/>
      </w:pPr>
      <w:bookmarkStart w:id="71" w:name="frasi-causali-e-finali"/>
      <w:r>
        <w:t xml:space="preserve">Frasi causali e finali</w:t>
      </w:r>
      <w:bookmarkEnd w:id="71"/>
    </w:p>
    <w:p>
      <w:pPr>
        <w:pStyle w:val="Heading2"/>
      </w:pPr>
      <w:bookmarkStart w:id="72" w:name="definizione-2"/>
      <w:r>
        <w:t xml:space="preserve">Definizione</w:t>
      </w:r>
      <w:bookmarkEnd w:id="72"/>
    </w:p>
    <w:p>
      <w:pPr>
        <w:pStyle w:val="Heading2"/>
      </w:pPr>
      <w:bookmarkStart w:id="73" w:name="esplicite-4"/>
      <w:r>
        <w:t xml:space="preserve">Esplicite</w:t>
      </w:r>
      <w:bookmarkEnd w:id="73"/>
    </w:p>
    <w:p>
      <w:pPr>
        <w:pStyle w:val="Heading2"/>
      </w:pPr>
      <w:bookmarkStart w:id="74" w:name="implicite-4"/>
      <w:r>
        <w:t xml:space="preserve">Implicite</w:t>
      </w:r>
      <w:bookmarkEnd w:id="74"/>
    </w:p>
    <w:p>
      <w:pPr>
        <w:pStyle w:val="Heading1"/>
      </w:pPr>
      <w:bookmarkStart w:id="75" w:name="frasi-consecutive-e-concessive"/>
      <w:r>
        <w:t xml:space="preserve">Frasi consecutive e concessive</w:t>
      </w:r>
      <w:bookmarkEnd w:id="75"/>
    </w:p>
    <w:p>
      <w:pPr>
        <w:pStyle w:val="Heading2"/>
      </w:pPr>
      <w:bookmarkStart w:id="76" w:name="definizione-3"/>
      <w:r>
        <w:t xml:space="preserve">Definizione</w:t>
      </w:r>
      <w:bookmarkEnd w:id="76"/>
    </w:p>
    <w:p>
      <w:pPr>
        <w:pStyle w:val="Heading2"/>
      </w:pPr>
      <w:bookmarkStart w:id="77" w:name="esplicite-5"/>
      <w:r>
        <w:t xml:space="preserve">Esplicite</w:t>
      </w:r>
      <w:bookmarkEnd w:id="77"/>
    </w:p>
    <w:p>
      <w:pPr>
        <w:pStyle w:val="Heading2"/>
      </w:pPr>
      <w:bookmarkStart w:id="78" w:name="implicite-5"/>
      <w:r>
        <w:t xml:space="preserve">Implicite</w:t>
      </w:r>
      <w:bookmarkEnd w:id="78"/>
    </w:p>
    <w:p>
      <w:pPr>
        <w:pStyle w:val="Heading1"/>
      </w:pPr>
      <w:bookmarkStart w:id="79" w:name="frasi-codizionali"/>
      <w:r>
        <w:t xml:space="preserve">Frasi codizionali</w:t>
      </w:r>
      <w:bookmarkEnd w:id="79"/>
    </w:p>
    <w:p>
      <w:pPr>
        <w:pStyle w:val="Heading2"/>
      </w:pPr>
      <w:bookmarkStart w:id="80" w:name="definizione-4"/>
      <w:r>
        <w:t xml:space="preserve">Definizione</w:t>
      </w:r>
      <w:bookmarkEnd w:id="80"/>
    </w:p>
    <w:p>
      <w:pPr>
        <w:pStyle w:val="Heading2"/>
      </w:pPr>
      <w:bookmarkStart w:id="81" w:name="esplicite-6"/>
      <w:r>
        <w:t xml:space="preserve">Esplicite</w:t>
      </w:r>
      <w:bookmarkEnd w:id="81"/>
    </w:p>
    <w:p>
      <w:pPr>
        <w:pStyle w:val="Heading2"/>
      </w:pPr>
      <w:bookmarkStart w:id="82" w:name="implicite-6"/>
      <w:r>
        <w:t xml:space="preserve">Implicite</w:t>
      </w:r>
      <w:bookmarkEnd w:id="82"/>
    </w:p>
    <w:p>
      <w:pPr>
        <w:pStyle w:val="Heading1"/>
      </w:pPr>
      <w:bookmarkStart w:id="83" w:name="discorso-diretto-e-indiretto"/>
      <w:r>
        <w:t xml:space="preserve">Discorso diretto e indiretto</w:t>
      </w:r>
      <w:bookmarkEnd w:id="83"/>
    </w:p>
    <w:p>
      <w:pPr>
        <w:pStyle w:val="Heading2"/>
      </w:pPr>
      <w:bookmarkStart w:id="84" w:name="definizione-5"/>
      <w:r>
        <w:t xml:space="preserve">Definizione</w:t>
      </w:r>
      <w:bookmarkEnd w:id="84"/>
    </w:p>
    <w:p>
      <w:pPr>
        <w:pStyle w:val="Heading2"/>
      </w:pPr>
      <w:bookmarkStart w:id="85" w:name="esplicite-7"/>
      <w:r>
        <w:t xml:space="preserve">Esplicite</w:t>
      </w:r>
      <w:bookmarkEnd w:id="85"/>
    </w:p>
    <w:p>
      <w:pPr>
        <w:pStyle w:val="Heading2"/>
      </w:pPr>
      <w:bookmarkStart w:id="86" w:name="implicite-7"/>
      <w:r>
        <w:t xml:space="preserve">Implicite</w:t>
      </w:r>
      <w:bookmarkEnd w:id="86"/>
    </w:p>
    <w:bookmarkStart w:id="100" w:name="refs"/>
    <w:bookmarkStart w:id="87" w:name="ref-fibra2017"/>
    <w:p>
      <w:pPr>
        <w:pStyle w:val="Bibliography"/>
      </w:pPr>
      <w:r>
        <w:t xml:space="preserve">Fibra, Fabri. 2017. “Fenomeno.” Universal Music Italy.</w:t>
      </w:r>
    </w:p>
    <w:bookmarkEnd w:id="87"/>
    <w:bookmarkStart w:id="89" w:name="ref-graffiScalise2009"/>
    <w:p>
      <w:pPr>
        <w:pStyle w:val="Bibliography"/>
      </w:pPr>
      <w:r>
        <w:t xml:space="preserve">Graffi, G., and S. Scalise. 2009.</w:t>
      </w:r>
      <w:r>
        <w:t xml:space="preserve"> </w:t>
      </w:r>
      <w:r>
        <w:rPr>
          <w:i/>
        </w:rPr>
        <w:t xml:space="preserve">Le Lingue E Il Linguaggio. Introduzione Alla Linguistica</w:t>
      </w:r>
      <w:r>
        <w:t xml:space="preserve">. Manuali. Linguistica. Il Mulino.</w:t>
      </w:r>
      <w:r>
        <w:t xml:space="preserve"> </w:t>
      </w:r>
      <w:hyperlink r:id="rId88">
        <w:r>
          <w:rPr>
            <w:rStyle w:val="Hyperlink"/>
          </w:rPr>
          <w:t xml:space="preserve">https://books.google.it/books?id=K2eOQgAACAAJ</w:t>
        </w:r>
      </w:hyperlink>
      <w:r>
        <w:t xml:space="preserve">.</w:t>
      </w:r>
    </w:p>
    <w:bookmarkEnd w:id="89"/>
    <w:bookmarkStart w:id="91" w:name="ref-grandi2010"/>
    <w:p>
      <w:pPr>
        <w:pStyle w:val="Bibliography"/>
      </w:pPr>
      <w:r>
        <w:t xml:space="preserve">Grandi, Nicola. 2010. “Articolo.”</w:t>
      </w:r>
      <w:r>
        <w:t xml:space="preserve"> </w:t>
      </w:r>
      <w:r>
        <w:rPr>
          <w:i/>
        </w:rPr>
        <w:t xml:space="preserve">Enciclopedia Dell’Italiano</w:t>
      </w:r>
      <w:r>
        <w:t xml:space="preserve">. Treccani.</w:t>
      </w:r>
      <w:r>
        <w:t xml:space="preserve"> </w:t>
      </w:r>
      <w:hyperlink r:id="rId90">
        <w:r>
          <w:rPr>
            <w:rStyle w:val="Hyperlink"/>
          </w:rPr>
          <w:t xml:space="preserve">http://www.treccani.it/enciclopedia/articolo_(Enciclopedia-dell%27Italiano)/</w:t>
        </w:r>
      </w:hyperlink>
      <w:r>
        <w:t xml:space="preserve">.</w:t>
      </w:r>
    </w:p>
    <w:bookmarkEnd w:id="91"/>
    <w:bookmarkStart w:id="93" w:name="ref-loporcaro2009"/>
    <w:p>
      <w:pPr>
        <w:pStyle w:val="Bibliography"/>
      </w:pPr>
      <w:r>
        <w:t xml:space="preserve">Loporcaro, M. 2009.</w:t>
      </w:r>
      <w:r>
        <w:t xml:space="preserve"> </w:t>
      </w:r>
      <w:r>
        <w:rPr>
          <w:i/>
        </w:rPr>
        <w:t xml:space="preserve">Profilo Linguistico Dei Dialetti Italiani</w:t>
      </w:r>
      <w:r>
        <w:t xml:space="preserve">. Manuali Laterza. Laterza.</w:t>
      </w:r>
      <w:r>
        <w:t xml:space="preserve"> </w:t>
      </w:r>
      <w:hyperlink r:id="rId92">
        <w:r>
          <w:rPr>
            <w:rStyle w:val="Hyperlink"/>
          </w:rPr>
          <w:t xml:space="preserve">https://books.google.cz/books?id=rEQqAQAAIAAJ</w:t>
        </w:r>
      </w:hyperlink>
      <w:r>
        <w:t xml:space="preserve">.</w:t>
      </w:r>
    </w:p>
    <w:bookmarkEnd w:id="93"/>
    <w:bookmarkStart w:id="95" w:name="ref-montale-satura"/>
    <w:p>
      <w:pPr>
        <w:pStyle w:val="Bibliography"/>
      </w:pPr>
      <w:r>
        <w:t xml:space="preserve">Montale, E., and R. Castellana. 2018.</w:t>
      </w:r>
      <w:r>
        <w:t xml:space="preserve"> </w:t>
      </w:r>
      <w:r>
        <w:rPr>
          <w:i/>
        </w:rPr>
        <w:t xml:space="preserve">Satura</w:t>
      </w:r>
      <w:r>
        <w:t xml:space="preserve">. Lo Specchio. Mondadori.</w:t>
      </w:r>
      <w:r>
        <w:t xml:space="preserve"> </w:t>
      </w:r>
      <w:hyperlink r:id="rId94">
        <w:r>
          <w:rPr>
            <w:rStyle w:val="Hyperlink"/>
          </w:rPr>
          <w:t xml:space="preserve">https://books.google.cz/books?id=agkquwEACAAJ</w:t>
        </w:r>
      </w:hyperlink>
      <w:r>
        <w:t xml:space="preserve">.</w:t>
      </w:r>
    </w:p>
    <w:bookmarkEnd w:id="95"/>
    <w:bookmarkStart w:id="97" w:name="ref-salvi2013"/>
    <w:p>
      <w:pPr>
        <w:pStyle w:val="Bibliography"/>
      </w:pPr>
      <w:r>
        <w:t xml:space="preserve">Salvi, G. 2013.</w:t>
      </w:r>
      <w:r>
        <w:t xml:space="preserve"> </w:t>
      </w:r>
      <w:r>
        <w:rPr>
          <w:i/>
        </w:rPr>
        <w:t xml:space="preserve">Le Parti Del Discorso</w:t>
      </w:r>
      <w:r>
        <w:t xml:space="preserve">. Bussole (Roma). Carocci.</w:t>
      </w:r>
      <w:r>
        <w:t xml:space="preserve"> </w:t>
      </w:r>
      <w:hyperlink r:id="rId96">
        <w:r>
          <w:rPr>
            <w:rStyle w:val="Hyperlink"/>
          </w:rPr>
          <w:t xml:space="preserve">https://books.google.cz/books?id=RyN0mgEACAAJ</w:t>
        </w:r>
      </w:hyperlink>
      <w:r>
        <w:t xml:space="preserve">.</w:t>
      </w:r>
    </w:p>
    <w:bookmarkEnd w:id="97"/>
    <w:bookmarkStart w:id="99" w:name="ref-simone1995"/>
    <w:p>
      <w:pPr>
        <w:pStyle w:val="Bibliography"/>
      </w:pPr>
      <w:r>
        <w:t xml:space="preserve">Simone, R. 1995.</w:t>
      </w:r>
      <w:r>
        <w:t xml:space="preserve"> </w:t>
      </w:r>
      <w:r>
        <w:rPr>
          <w:i/>
        </w:rPr>
        <w:t xml:space="preserve">Fondamenti Di Linguistica</w:t>
      </w:r>
      <w:r>
        <w:t xml:space="preserve">. Laterza.</w:t>
      </w:r>
      <w:r>
        <w:t xml:space="preserve"> </w:t>
      </w:r>
      <w:hyperlink r:id="rId98">
        <w:r>
          <w:rPr>
            <w:rStyle w:val="Hyperlink"/>
          </w:rPr>
          <w:t xml:space="preserve">https://books.google.cz/books?id=9kRjmgEACAAJ</w:t>
        </w:r>
      </w:hyperlink>
      <w:r>
        <w:t xml:space="preserve">.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Alcune varietà di italiano, quali i dialetti settentrionali, hanno invece gli articoli in questi contesti</w:t>
      </w:r>
      <w:r>
        <w:t xml:space="preserve"> </w:t>
      </w:r>
      <w:r>
        <w:t xml:space="preserve">(Loporcaro</w:t>
      </w:r>
      <w:r>
        <w:t xml:space="preserve"> </w:t>
      </w:r>
      <w:hyperlink w:anchor="ref-loporcaro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DOI:10.5281/zenodo.2355707" TargetMode="External" /><Relationship Type="http://schemas.openxmlformats.org/officeDocument/2006/relationships/hyperlink" Id="rId90" Target="http://www.treccani.it/enciclopedia/articolo_(Enciclopedia-dell%27Italiano)/" TargetMode="External" /><Relationship Type="http://schemas.openxmlformats.org/officeDocument/2006/relationships/hyperlink" Id="rId98" Target="https://books.google.cz/books?id=9kRjmgEACAAJ" TargetMode="External" /><Relationship Type="http://schemas.openxmlformats.org/officeDocument/2006/relationships/hyperlink" Id="rId96" Target="https://books.google.cz/books?id=RyN0mgEACAAJ" TargetMode="External" /><Relationship Type="http://schemas.openxmlformats.org/officeDocument/2006/relationships/hyperlink" Id="rId94" Target="https://books.google.cz/books?id=agkquwEACAAJ" TargetMode="External" /><Relationship Type="http://schemas.openxmlformats.org/officeDocument/2006/relationships/hyperlink" Id="rId92" Target="https://books.google.cz/books?id=rEQqAQAAIAAJ" TargetMode="External" /><Relationship Type="http://schemas.openxmlformats.org/officeDocument/2006/relationships/hyperlink" Id="rId88" Target="https://books.google.it/books?id=K2eOQgAACAAJ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DOI:10.5281/zenodo.2355707" TargetMode="External" /><Relationship Type="http://schemas.openxmlformats.org/officeDocument/2006/relationships/hyperlink" Id="rId90" Target="http://www.treccani.it/enciclopedia/articolo_(Enciclopedia-dell%27Italiano)/" TargetMode="External" /><Relationship Type="http://schemas.openxmlformats.org/officeDocument/2006/relationships/hyperlink" Id="rId98" Target="https://books.google.cz/books?id=9kRjmgEACAAJ" TargetMode="External" /><Relationship Type="http://schemas.openxmlformats.org/officeDocument/2006/relationships/hyperlink" Id="rId96" Target="https://books.google.cz/books?id=RyN0mgEACAAJ" TargetMode="External" /><Relationship Type="http://schemas.openxmlformats.org/officeDocument/2006/relationships/hyperlink" Id="rId94" Target="https://books.google.cz/books?id=agkquwEACAAJ" TargetMode="External" /><Relationship Type="http://schemas.openxmlformats.org/officeDocument/2006/relationships/hyperlink" Id="rId92" Target="https://books.google.cz/books?id=rEQqAQAAIAAJ" TargetMode="External" /><Relationship Type="http://schemas.openxmlformats.org/officeDocument/2006/relationships/hyperlink" Id="rId88" Target="https://books.google.it/books?id=K2eOQgAACAA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Sintassi Italiana 2</dc:title>
  <dc:creator>Marco Petolicchio</dc:creator>
  <cp:keywords/>
  <dcterms:created xsi:type="dcterms:W3CDTF">2018-12-22T11:13:47Z</dcterms:created>
  <dcterms:modified xsi:type="dcterms:W3CDTF">2018-12-22T11:13:47Z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