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5EE8AC" w14:textId="77777777" w:rsidR="00D0363C" w:rsidRDefault="00D0363C" w:rsidP="00D0363C">
      <w:pPr>
        <w:spacing w:before="100" w:beforeAutospacing="1" w:after="100" w:afterAutospacing="1"/>
        <w:jc w:val="center"/>
        <w:outlineLvl w:val="0"/>
        <w:rPr>
          <w:rFonts w:ascii="Times New Roman" w:eastAsia="Times New Roman" w:hAnsi="Times New Roman" w:cs="Times New Roman"/>
          <w:b/>
          <w:bCs/>
          <w:kern w:val="36"/>
          <w:sz w:val="48"/>
          <w:szCs w:val="48"/>
          <w:lang w:eastAsia="en-GB" w:bidi="hi-IN"/>
          <w14:ligatures w14:val="none"/>
        </w:rPr>
      </w:pPr>
      <w:r w:rsidRPr="00D0363C">
        <w:rPr>
          <w:rFonts w:ascii="Times New Roman" w:eastAsia="Times New Roman" w:hAnsi="Times New Roman" w:cs="Times New Roman"/>
          <w:b/>
          <w:bCs/>
          <w:kern w:val="36"/>
          <w:sz w:val="48"/>
          <w:szCs w:val="48"/>
          <w:lang w:eastAsia="en-GB" w:bidi="hi-IN"/>
          <w14:ligatures w14:val="none"/>
        </w:rPr>
        <w:t>Credit Risk Prediction using Machine Learning</w:t>
      </w:r>
    </w:p>
    <w:p w14:paraId="386A704D" w14:textId="3A195338" w:rsidR="00D0363C" w:rsidRPr="00D0363C" w:rsidRDefault="00D0363C" w:rsidP="00D0363C">
      <w:pPr>
        <w:spacing w:before="100" w:beforeAutospacing="1" w:after="100" w:afterAutospacing="1"/>
        <w:outlineLvl w:val="2"/>
        <w:rPr>
          <w:rFonts w:ascii="Times New Roman" w:eastAsia="Times New Roman" w:hAnsi="Times New Roman" w:cs="Times New Roman"/>
          <w:b/>
          <w:bCs/>
          <w:kern w:val="0"/>
          <w:sz w:val="36"/>
          <w:szCs w:val="36"/>
          <w:lang w:eastAsia="en-GB" w:bidi="hi-IN"/>
          <w14:ligatures w14:val="none"/>
        </w:rPr>
      </w:pPr>
      <w:r w:rsidRPr="00D0363C">
        <w:rPr>
          <w:rFonts w:ascii="Times New Roman" w:eastAsia="Times New Roman" w:hAnsi="Times New Roman" w:cs="Times New Roman"/>
          <w:b/>
          <w:bCs/>
          <w:kern w:val="0"/>
          <w:sz w:val="36"/>
          <w:szCs w:val="36"/>
          <w:lang w:eastAsia="en-GB" w:bidi="hi-IN"/>
          <w14:ligatures w14:val="none"/>
        </w:rPr>
        <w:t xml:space="preserve">Executive Summary </w:t>
      </w:r>
    </w:p>
    <w:p w14:paraId="67EABBA6" w14:textId="6C4F472D" w:rsidR="00D0363C" w:rsidRPr="00D0363C" w:rsidRDefault="00D0363C" w:rsidP="00D0363C">
      <w:pPr>
        <w:spacing w:before="100" w:beforeAutospacing="1" w:after="100" w:afterAutospacing="1"/>
        <w:outlineLvl w:val="2"/>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This project develops and compares three supervised machine learning models to predict loan default using borrower and loan characteristics. Among the evaluated models, Random Forest demonstrated the strongest predictive performance and was selected as the final classifier for credit risk assessment.</w:t>
      </w:r>
    </w:p>
    <w:p w14:paraId="6A10BAB1" w14:textId="77777777" w:rsidR="00D0363C" w:rsidRPr="00D0363C" w:rsidRDefault="00D0363C" w:rsidP="00D0363C">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D0363C">
        <w:rPr>
          <w:rFonts w:ascii="Times New Roman" w:eastAsia="Times New Roman" w:hAnsi="Times New Roman" w:cs="Times New Roman"/>
          <w:b/>
          <w:bCs/>
          <w:kern w:val="0"/>
          <w:sz w:val="36"/>
          <w:szCs w:val="36"/>
          <w:lang w:eastAsia="en-GB" w:bidi="hi-IN"/>
          <w14:ligatures w14:val="none"/>
        </w:rPr>
        <w:t>1. Introduction</w:t>
      </w:r>
    </w:p>
    <w:p w14:paraId="1ED6F896" w14:textId="77777777" w:rsidR="00D0363C" w:rsidRPr="00D0363C" w:rsidRDefault="00D0363C" w:rsidP="00D0363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0363C">
        <w:rPr>
          <w:rFonts w:ascii="Times New Roman" w:eastAsia="Times New Roman" w:hAnsi="Times New Roman" w:cs="Times New Roman"/>
          <w:b/>
          <w:bCs/>
          <w:kern w:val="0"/>
          <w:sz w:val="27"/>
          <w:szCs w:val="27"/>
          <w:lang w:eastAsia="en-GB" w:bidi="hi-IN"/>
          <w14:ligatures w14:val="none"/>
        </w:rPr>
        <w:t>Background</w:t>
      </w:r>
    </w:p>
    <w:p w14:paraId="380B55A1" w14:textId="77777777" w:rsidR="00D0363C" w:rsidRPr="00D0363C" w:rsidRDefault="00D0363C" w:rsidP="00D0363C">
      <w:pPr>
        <w:spacing w:before="100" w:beforeAutospacing="1" w:after="100" w:afterAutospacing="1"/>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Credit risk refers to the possibility that a borrower will fail to meet their debt repayment obligations, resulting in financial losses for lending institutions. Accurate assessment of credit risk is therefore a critical component of banking and financial decision-making. Traditionally, credit evaluation relied heavily on manual assessment of borrower profiles. However, the increasing availability of financial data has enabled the use of machine learning techniques to support faster, more consistent, and data-driven lending decisions.</w:t>
      </w:r>
    </w:p>
    <w:p w14:paraId="25E0D1BD" w14:textId="49D295A7" w:rsidR="00D0363C" w:rsidRPr="00D0363C" w:rsidRDefault="00D0363C" w:rsidP="00D0363C">
      <w:pPr>
        <w:rPr>
          <w:rFonts w:ascii="Times New Roman" w:eastAsia="Times New Roman" w:hAnsi="Times New Roman" w:cs="Times New Roman"/>
          <w:kern w:val="0"/>
          <w:lang w:eastAsia="en-GB" w:bidi="hi-IN"/>
          <w14:ligatures w14:val="none"/>
        </w:rPr>
      </w:pPr>
    </w:p>
    <w:p w14:paraId="3CDB07BE" w14:textId="77777777" w:rsidR="00D0363C" w:rsidRPr="00D0363C" w:rsidRDefault="00D0363C" w:rsidP="00D0363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0363C">
        <w:rPr>
          <w:rFonts w:ascii="Times New Roman" w:eastAsia="Times New Roman" w:hAnsi="Times New Roman" w:cs="Times New Roman"/>
          <w:b/>
          <w:bCs/>
          <w:kern w:val="0"/>
          <w:sz w:val="27"/>
          <w:szCs w:val="27"/>
          <w:lang w:eastAsia="en-GB" w:bidi="hi-IN"/>
          <w14:ligatures w14:val="none"/>
        </w:rPr>
        <w:t>Problem Statement</w:t>
      </w:r>
    </w:p>
    <w:p w14:paraId="39C4D3D3" w14:textId="77777777" w:rsidR="00D0363C" w:rsidRPr="00D0363C" w:rsidRDefault="00D0363C" w:rsidP="00D0363C">
      <w:pPr>
        <w:spacing w:before="100" w:beforeAutospacing="1" w:after="100" w:afterAutospacing="1"/>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Financial institutions must evaluate thousands of loan applications while balancing profitability with credit risk. Incorrect lending decisions can lead to significant financial losses through borrower defaults, whereas overly conservative lending may result in the rejection of creditworthy applicants. Developing predictive models that accurately identify high-risk loan applications can improve credit assessment and support more informed lending decisions.</w:t>
      </w:r>
    </w:p>
    <w:p w14:paraId="4EFF0A49" w14:textId="2EC40B19" w:rsidR="00D0363C" w:rsidRPr="00D0363C" w:rsidRDefault="00D0363C" w:rsidP="00D0363C">
      <w:pPr>
        <w:rPr>
          <w:rFonts w:ascii="Times New Roman" w:eastAsia="Times New Roman" w:hAnsi="Times New Roman" w:cs="Times New Roman"/>
          <w:kern w:val="0"/>
          <w:lang w:eastAsia="en-GB" w:bidi="hi-IN"/>
          <w14:ligatures w14:val="none"/>
        </w:rPr>
      </w:pPr>
    </w:p>
    <w:p w14:paraId="293A7B0C" w14:textId="77777777" w:rsidR="00D0363C" w:rsidRPr="00D0363C" w:rsidRDefault="00D0363C" w:rsidP="00D0363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0363C">
        <w:rPr>
          <w:rFonts w:ascii="Times New Roman" w:eastAsia="Times New Roman" w:hAnsi="Times New Roman" w:cs="Times New Roman"/>
          <w:b/>
          <w:bCs/>
          <w:kern w:val="0"/>
          <w:sz w:val="27"/>
          <w:szCs w:val="27"/>
          <w:lang w:eastAsia="en-GB" w:bidi="hi-IN"/>
          <w14:ligatures w14:val="none"/>
        </w:rPr>
        <w:t>Project Objective</w:t>
      </w:r>
    </w:p>
    <w:p w14:paraId="438F3DBF" w14:textId="77777777" w:rsidR="00D0363C" w:rsidRPr="00D0363C" w:rsidRDefault="00D0363C" w:rsidP="00D0363C">
      <w:pPr>
        <w:spacing w:before="100" w:beforeAutospacing="1" w:after="100" w:afterAutospacing="1"/>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The objective of this project is to develop and compare multiple supervised machine learning models for predicting loan default using borrower and loan characteristics. Specifically, the study compares Logistic Regression, Decision Tree, and Random Forest classifiers, evaluates their predictive performance using standard classification metrics, and identifies the most suitable model for credit risk prediction.</w:t>
      </w:r>
    </w:p>
    <w:p w14:paraId="69409FAD" w14:textId="31EA9959" w:rsidR="00D0363C" w:rsidRPr="00D0363C" w:rsidRDefault="00D0363C" w:rsidP="00D0363C">
      <w:pPr>
        <w:rPr>
          <w:rFonts w:ascii="Times New Roman" w:eastAsia="Times New Roman" w:hAnsi="Times New Roman" w:cs="Times New Roman"/>
          <w:kern w:val="0"/>
          <w:lang w:eastAsia="en-GB" w:bidi="hi-IN"/>
          <w14:ligatures w14:val="none"/>
        </w:rPr>
      </w:pPr>
    </w:p>
    <w:p w14:paraId="6F3AA123" w14:textId="77777777" w:rsidR="00D0363C" w:rsidRPr="00D0363C" w:rsidRDefault="00D0363C" w:rsidP="00D0363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0363C">
        <w:rPr>
          <w:rFonts w:ascii="Times New Roman" w:eastAsia="Times New Roman" w:hAnsi="Times New Roman" w:cs="Times New Roman"/>
          <w:b/>
          <w:bCs/>
          <w:kern w:val="0"/>
          <w:sz w:val="27"/>
          <w:szCs w:val="27"/>
          <w:lang w:eastAsia="en-GB" w:bidi="hi-IN"/>
          <w14:ligatures w14:val="none"/>
        </w:rPr>
        <w:t>Dataset Description</w:t>
      </w:r>
    </w:p>
    <w:p w14:paraId="3744AE22" w14:textId="77777777" w:rsidR="00D0363C" w:rsidRPr="00D0363C" w:rsidRDefault="00D0363C" w:rsidP="00D0363C">
      <w:pPr>
        <w:spacing w:before="100" w:beforeAutospacing="1" w:after="100" w:afterAutospacing="1"/>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lastRenderedPageBreak/>
        <w:t xml:space="preserve">The analysis uses the </w:t>
      </w:r>
      <w:r w:rsidRPr="00D0363C">
        <w:rPr>
          <w:rFonts w:ascii="Times New Roman" w:eastAsia="Times New Roman" w:hAnsi="Times New Roman" w:cs="Times New Roman"/>
          <w:b/>
          <w:bCs/>
          <w:kern w:val="0"/>
          <w:lang w:eastAsia="en-GB" w:bidi="hi-IN"/>
          <w14:ligatures w14:val="none"/>
        </w:rPr>
        <w:t>Credit Risk Dataset</w:t>
      </w:r>
      <w:r w:rsidRPr="00D0363C">
        <w:rPr>
          <w:rFonts w:ascii="Times New Roman" w:eastAsia="Times New Roman" w:hAnsi="Times New Roman" w:cs="Times New Roman"/>
          <w:kern w:val="0"/>
          <w:lang w:eastAsia="en-GB" w:bidi="hi-IN"/>
          <w14:ligatures w14:val="none"/>
        </w:rPr>
        <w:t xml:space="preserve"> developed by </w:t>
      </w:r>
      <w:r w:rsidRPr="00D0363C">
        <w:rPr>
          <w:rFonts w:ascii="Times New Roman" w:eastAsia="Times New Roman" w:hAnsi="Times New Roman" w:cs="Times New Roman"/>
          <w:b/>
          <w:bCs/>
          <w:kern w:val="0"/>
          <w:lang w:eastAsia="en-GB" w:bidi="hi-IN"/>
          <w14:ligatures w14:val="none"/>
        </w:rPr>
        <w:t>Lao Tse</w:t>
      </w:r>
      <w:r w:rsidRPr="00D0363C">
        <w:rPr>
          <w:rFonts w:ascii="Times New Roman" w:eastAsia="Times New Roman" w:hAnsi="Times New Roman" w:cs="Times New Roman"/>
          <w:kern w:val="0"/>
          <w:lang w:eastAsia="en-GB" w:bidi="hi-IN"/>
          <w14:ligatures w14:val="none"/>
        </w:rPr>
        <w:t xml:space="preserve">, obtained from Kaggle. The dataset contains </w:t>
      </w:r>
      <w:r w:rsidRPr="00D0363C">
        <w:rPr>
          <w:rFonts w:ascii="Times New Roman" w:eastAsia="Times New Roman" w:hAnsi="Times New Roman" w:cs="Times New Roman"/>
          <w:b/>
          <w:bCs/>
          <w:kern w:val="0"/>
          <w:lang w:eastAsia="en-GB" w:bidi="hi-IN"/>
          <w14:ligatures w14:val="none"/>
        </w:rPr>
        <w:t>32,581 loan applications</w:t>
      </w:r>
      <w:r w:rsidRPr="00D0363C">
        <w:rPr>
          <w:rFonts w:ascii="Times New Roman" w:eastAsia="Times New Roman" w:hAnsi="Times New Roman" w:cs="Times New Roman"/>
          <w:kern w:val="0"/>
          <w:lang w:eastAsia="en-GB" w:bidi="hi-IN"/>
          <w14:ligatures w14:val="none"/>
        </w:rPr>
        <w:t xml:space="preserve">, each described by </w:t>
      </w:r>
      <w:r w:rsidRPr="00D0363C">
        <w:rPr>
          <w:rFonts w:ascii="Times New Roman" w:eastAsia="Times New Roman" w:hAnsi="Times New Roman" w:cs="Times New Roman"/>
          <w:b/>
          <w:bCs/>
          <w:kern w:val="0"/>
          <w:lang w:eastAsia="en-GB" w:bidi="hi-IN"/>
          <w14:ligatures w14:val="none"/>
        </w:rPr>
        <w:t>12 variables</w:t>
      </w:r>
      <w:r w:rsidRPr="00D0363C">
        <w:rPr>
          <w:rFonts w:ascii="Times New Roman" w:eastAsia="Times New Roman" w:hAnsi="Times New Roman" w:cs="Times New Roman"/>
          <w:kern w:val="0"/>
          <w:lang w:eastAsia="en-GB" w:bidi="hi-IN"/>
          <w14:ligatures w14:val="none"/>
        </w:rPr>
        <w:t xml:space="preserve"> representing borrower demographics, employment characteristics, credit history, and loan-specific attributes. The target variable, </w:t>
      </w:r>
      <w:proofErr w:type="spellStart"/>
      <w:r w:rsidRPr="00D0363C">
        <w:rPr>
          <w:rFonts w:ascii="Courier New" w:eastAsia="Times New Roman" w:hAnsi="Courier New" w:cs="Courier New"/>
          <w:b/>
          <w:bCs/>
          <w:kern w:val="0"/>
          <w:sz w:val="20"/>
          <w:szCs w:val="20"/>
          <w:lang w:eastAsia="en-GB" w:bidi="hi-IN"/>
          <w14:ligatures w14:val="none"/>
        </w:rPr>
        <w:t>loan_status</w:t>
      </w:r>
      <w:proofErr w:type="spellEnd"/>
      <w:r w:rsidRPr="00D0363C">
        <w:rPr>
          <w:rFonts w:ascii="Times New Roman" w:eastAsia="Times New Roman" w:hAnsi="Times New Roman" w:cs="Times New Roman"/>
          <w:kern w:val="0"/>
          <w:lang w:eastAsia="en-GB" w:bidi="hi-IN"/>
          <w14:ligatures w14:val="none"/>
        </w:rPr>
        <w:t>, indicates whether a loan eventually defaulted (</w:t>
      </w:r>
      <w:r w:rsidRPr="00D0363C">
        <w:rPr>
          <w:rFonts w:ascii="Courier New" w:eastAsia="Times New Roman" w:hAnsi="Courier New" w:cs="Courier New"/>
          <w:kern w:val="0"/>
          <w:sz w:val="20"/>
          <w:szCs w:val="20"/>
          <w:lang w:eastAsia="en-GB" w:bidi="hi-IN"/>
          <w14:ligatures w14:val="none"/>
        </w:rPr>
        <w:t>1</w:t>
      </w:r>
      <w:r w:rsidRPr="00D0363C">
        <w:rPr>
          <w:rFonts w:ascii="Times New Roman" w:eastAsia="Times New Roman" w:hAnsi="Times New Roman" w:cs="Times New Roman"/>
          <w:kern w:val="0"/>
          <w:lang w:eastAsia="en-GB" w:bidi="hi-IN"/>
          <w14:ligatures w14:val="none"/>
        </w:rPr>
        <w:t>) or was successfully repaid (</w:t>
      </w:r>
      <w:r w:rsidRPr="00D0363C">
        <w:rPr>
          <w:rFonts w:ascii="Courier New" w:eastAsia="Times New Roman" w:hAnsi="Courier New" w:cs="Courier New"/>
          <w:kern w:val="0"/>
          <w:sz w:val="20"/>
          <w:szCs w:val="20"/>
          <w:lang w:eastAsia="en-GB" w:bidi="hi-IN"/>
          <w14:ligatures w14:val="none"/>
        </w:rPr>
        <w:t>0</w:t>
      </w:r>
      <w:r w:rsidRPr="00D0363C">
        <w:rPr>
          <w:rFonts w:ascii="Times New Roman" w:eastAsia="Times New Roman" w:hAnsi="Times New Roman" w:cs="Times New Roman"/>
          <w:kern w:val="0"/>
          <w:lang w:eastAsia="en-GB" w:bidi="hi-IN"/>
          <w14:ligatures w14:val="none"/>
        </w:rPr>
        <w:t>).</w:t>
      </w:r>
    </w:p>
    <w:p w14:paraId="60D90FEA" w14:textId="77777777" w:rsidR="00D0363C" w:rsidRPr="00D0363C" w:rsidRDefault="00D0363C" w:rsidP="00D0363C">
      <w:pPr>
        <w:spacing w:before="100" w:beforeAutospacing="1" w:after="100" w:afterAutospacing="1"/>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The dataset includes variables such as borrower age, annual income, employment length, home ownership status, loan purpose, loan grade, loan amount, interest rate, loan-to-income ratio, previous default history, and credit history length. Together, these variables provide a comprehensive view of the factors that may influence credit risk.</w:t>
      </w:r>
    </w:p>
    <w:p w14:paraId="02445B61" w14:textId="1009A7F4" w:rsidR="00D0363C" w:rsidRPr="00D0363C" w:rsidRDefault="00D0363C" w:rsidP="00D0363C">
      <w:pPr>
        <w:rPr>
          <w:rFonts w:ascii="Times New Roman" w:eastAsia="Times New Roman" w:hAnsi="Times New Roman" w:cs="Times New Roman"/>
          <w:kern w:val="0"/>
          <w:lang w:eastAsia="en-GB" w:bidi="hi-IN"/>
          <w14:ligatures w14:val="none"/>
        </w:rPr>
      </w:pPr>
    </w:p>
    <w:p w14:paraId="137243C6" w14:textId="77777777" w:rsidR="00D0363C" w:rsidRPr="00D0363C" w:rsidRDefault="00D0363C" w:rsidP="00D0363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0363C">
        <w:rPr>
          <w:rFonts w:ascii="Times New Roman" w:eastAsia="Times New Roman" w:hAnsi="Times New Roman" w:cs="Times New Roman"/>
          <w:b/>
          <w:bCs/>
          <w:kern w:val="0"/>
          <w:sz w:val="27"/>
          <w:szCs w:val="27"/>
          <w:lang w:eastAsia="en-GB" w:bidi="hi-IN"/>
          <w14:ligatures w14:val="none"/>
        </w:rPr>
        <w:t>Dataset Summary</w:t>
      </w:r>
    </w:p>
    <w:tbl>
      <w:tblPr>
        <w:tblStyle w:val="TableGridLight"/>
        <w:tblW w:w="0" w:type="auto"/>
        <w:tblInd w:w="-5" w:type="dxa"/>
        <w:tblLook w:val="04A0" w:firstRow="1" w:lastRow="0" w:firstColumn="1" w:lastColumn="0" w:noHBand="0" w:noVBand="1"/>
      </w:tblPr>
      <w:tblGrid>
        <w:gridCol w:w="2589"/>
        <w:gridCol w:w="3096"/>
      </w:tblGrid>
      <w:tr w:rsidR="00D0363C" w:rsidRPr="00D0363C" w14:paraId="355C5C13" w14:textId="77777777" w:rsidTr="00D0363C">
        <w:tc>
          <w:tcPr>
            <w:tcW w:w="0" w:type="auto"/>
            <w:hideMark/>
          </w:tcPr>
          <w:p w14:paraId="6437E145" w14:textId="77777777" w:rsidR="00D0363C" w:rsidRPr="00D0363C" w:rsidRDefault="00D0363C" w:rsidP="00677381">
            <w:pPr>
              <w:jc w:val="center"/>
              <w:rPr>
                <w:rFonts w:ascii="Times New Roman" w:eastAsia="Times New Roman" w:hAnsi="Times New Roman" w:cs="Times New Roman"/>
                <w:b/>
                <w:bCs/>
                <w:kern w:val="0"/>
                <w:lang w:eastAsia="en-GB" w:bidi="hi-IN"/>
                <w14:ligatures w14:val="none"/>
              </w:rPr>
            </w:pPr>
            <w:r w:rsidRPr="00D0363C">
              <w:rPr>
                <w:rFonts w:ascii="Times New Roman" w:eastAsia="Times New Roman" w:hAnsi="Times New Roman" w:cs="Times New Roman"/>
                <w:b/>
                <w:bCs/>
                <w:kern w:val="0"/>
                <w:lang w:eastAsia="en-GB" w:bidi="hi-IN"/>
                <w14:ligatures w14:val="none"/>
              </w:rPr>
              <w:t>Attribute</w:t>
            </w:r>
          </w:p>
        </w:tc>
        <w:tc>
          <w:tcPr>
            <w:tcW w:w="0" w:type="auto"/>
            <w:hideMark/>
          </w:tcPr>
          <w:p w14:paraId="4EC9F8D8" w14:textId="77777777" w:rsidR="00D0363C" w:rsidRPr="00D0363C" w:rsidRDefault="00D0363C" w:rsidP="00677381">
            <w:pPr>
              <w:jc w:val="center"/>
              <w:rPr>
                <w:rFonts w:ascii="Times New Roman" w:eastAsia="Times New Roman" w:hAnsi="Times New Roman" w:cs="Times New Roman"/>
                <w:b/>
                <w:bCs/>
                <w:kern w:val="0"/>
                <w:lang w:eastAsia="en-GB" w:bidi="hi-IN"/>
                <w14:ligatures w14:val="none"/>
              </w:rPr>
            </w:pPr>
            <w:r w:rsidRPr="00D0363C">
              <w:rPr>
                <w:rFonts w:ascii="Times New Roman" w:eastAsia="Times New Roman" w:hAnsi="Times New Roman" w:cs="Times New Roman"/>
                <w:b/>
                <w:bCs/>
                <w:kern w:val="0"/>
                <w:lang w:eastAsia="en-GB" w:bidi="hi-IN"/>
                <w14:ligatures w14:val="none"/>
              </w:rPr>
              <w:t>Description</w:t>
            </w:r>
          </w:p>
        </w:tc>
      </w:tr>
      <w:tr w:rsidR="00D0363C" w:rsidRPr="00D0363C" w14:paraId="6AA2B4FA" w14:textId="77777777" w:rsidTr="00D0363C">
        <w:tc>
          <w:tcPr>
            <w:tcW w:w="0" w:type="auto"/>
            <w:hideMark/>
          </w:tcPr>
          <w:p w14:paraId="33450411"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Dataset</w:t>
            </w:r>
          </w:p>
        </w:tc>
        <w:tc>
          <w:tcPr>
            <w:tcW w:w="0" w:type="auto"/>
            <w:hideMark/>
          </w:tcPr>
          <w:p w14:paraId="79B9DEBB"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Credit Risk Dataset (Lao Tse)</w:t>
            </w:r>
          </w:p>
        </w:tc>
      </w:tr>
      <w:tr w:rsidR="00D0363C" w:rsidRPr="00D0363C" w14:paraId="7A225219" w14:textId="77777777" w:rsidTr="00D0363C">
        <w:tc>
          <w:tcPr>
            <w:tcW w:w="0" w:type="auto"/>
            <w:hideMark/>
          </w:tcPr>
          <w:p w14:paraId="7F05BD33"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Source</w:t>
            </w:r>
          </w:p>
        </w:tc>
        <w:tc>
          <w:tcPr>
            <w:tcW w:w="0" w:type="auto"/>
            <w:hideMark/>
          </w:tcPr>
          <w:p w14:paraId="1A383A53"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Kaggle</w:t>
            </w:r>
          </w:p>
        </w:tc>
      </w:tr>
      <w:tr w:rsidR="00D0363C" w:rsidRPr="00D0363C" w14:paraId="17B81CCC" w14:textId="77777777" w:rsidTr="00D0363C">
        <w:tc>
          <w:tcPr>
            <w:tcW w:w="0" w:type="auto"/>
            <w:hideMark/>
          </w:tcPr>
          <w:p w14:paraId="11B48205"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Number of Observations</w:t>
            </w:r>
          </w:p>
        </w:tc>
        <w:tc>
          <w:tcPr>
            <w:tcW w:w="0" w:type="auto"/>
            <w:hideMark/>
          </w:tcPr>
          <w:p w14:paraId="54ECB3BC"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32,581</w:t>
            </w:r>
          </w:p>
        </w:tc>
      </w:tr>
      <w:tr w:rsidR="00D0363C" w:rsidRPr="00D0363C" w14:paraId="402F4FAA" w14:textId="77777777" w:rsidTr="00D0363C">
        <w:tc>
          <w:tcPr>
            <w:tcW w:w="0" w:type="auto"/>
            <w:hideMark/>
          </w:tcPr>
          <w:p w14:paraId="0D358E5C"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Number of Variables</w:t>
            </w:r>
          </w:p>
        </w:tc>
        <w:tc>
          <w:tcPr>
            <w:tcW w:w="0" w:type="auto"/>
            <w:hideMark/>
          </w:tcPr>
          <w:p w14:paraId="5AA32780"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12</w:t>
            </w:r>
          </w:p>
        </w:tc>
      </w:tr>
      <w:tr w:rsidR="00D0363C" w:rsidRPr="00D0363C" w14:paraId="3A98A105" w14:textId="77777777" w:rsidTr="00D0363C">
        <w:tc>
          <w:tcPr>
            <w:tcW w:w="0" w:type="auto"/>
            <w:hideMark/>
          </w:tcPr>
          <w:p w14:paraId="720FF164"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Target Variable</w:t>
            </w:r>
          </w:p>
        </w:tc>
        <w:tc>
          <w:tcPr>
            <w:tcW w:w="0" w:type="auto"/>
            <w:hideMark/>
          </w:tcPr>
          <w:p w14:paraId="68AC71DA" w14:textId="77777777" w:rsidR="00D0363C" w:rsidRPr="00D0363C" w:rsidRDefault="00D0363C" w:rsidP="00677381">
            <w:pPr>
              <w:rPr>
                <w:rFonts w:ascii="Times New Roman" w:eastAsia="Times New Roman" w:hAnsi="Times New Roman" w:cs="Times New Roman"/>
                <w:kern w:val="0"/>
                <w:lang w:eastAsia="en-GB" w:bidi="hi-IN"/>
                <w14:ligatures w14:val="none"/>
              </w:rPr>
            </w:pPr>
            <w:proofErr w:type="spellStart"/>
            <w:r w:rsidRPr="00D0363C">
              <w:rPr>
                <w:rFonts w:ascii="Courier New" w:eastAsia="Times New Roman" w:hAnsi="Courier New" w:cs="Courier New"/>
                <w:kern w:val="0"/>
                <w:sz w:val="20"/>
                <w:szCs w:val="20"/>
                <w:lang w:eastAsia="en-GB" w:bidi="hi-IN"/>
                <w14:ligatures w14:val="none"/>
              </w:rPr>
              <w:t>loan_status</w:t>
            </w:r>
            <w:proofErr w:type="spellEnd"/>
          </w:p>
        </w:tc>
      </w:tr>
      <w:tr w:rsidR="00D0363C" w:rsidRPr="00D0363C" w14:paraId="0A48C655" w14:textId="77777777" w:rsidTr="00D0363C">
        <w:tc>
          <w:tcPr>
            <w:tcW w:w="0" w:type="auto"/>
            <w:hideMark/>
          </w:tcPr>
          <w:p w14:paraId="0C661B14"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Prediction Task</w:t>
            </w:r>
          </w:p>
        </w:tc>
        <w:tc>
          <w:tcPr>
            <w:tcW w:w="0" w:type="auto"/>
            <w:hideMark/>
          </w:tcPr>
          <w:p w14:paraId="44299513"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Binary Classification</w:t>
            </w:r>
          </w:p>
        </w:tc>
      </w:tr>
      <w:tr w:rsidR="00D0363C" w:rsidRPr="00D0363C" w14:paraId="0E43BA05" w14:textId="77777777" w:rsidTr="00D0363C">
        <w:tc>
          <w:tcPr>
            <w:tcW w:w="0" w:type="auto"/>
            <w:hideMark/>
          </w:tcPr>
          <w:p w14:paraId="24ED68D9"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Class Labels</w:t>
            </w:r>
          </w:p>
        </w:tc>
        <w:tc>
          <w:tcPr>
            <w:tcW w:w="0" w:type="auto"/>
            <w:hideMark/>
          </w:tcPr>
          <w:p w14:paraId="42DC08A0" w14:textId="77777777" w:rsidR="00D0363C" w:rsidRPr="00D0363C" w:rsidRDefault="00D0363C" w:rsidP="00677381">
            <w:pPr>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kern w:val="0"/>
                <w:lang w:eastAsia="en-GB" w:bidi="hi-IN"/>
                <w14:ligatures w14:val="none"/>
              </w:rPr>
              <w:t>0 = Non-default, 1 = Default</w:t>
            </w:r>
          </w:p>
        </w:tc>
      </w:tr>
    </w:tbl>
    <w:p w14:paraId="31747569" w14:textId="5D7CED18" w:rsidR="00D0363C" w:rsidRPr="00D0363C" w:rsidRDefault="00D0363C" w:rsidP="00D0363C">
      <w:pPr>
        <w:rPr>
          <w:rFonts w:ascii="Times New Roman" w:eastAsia="Times New Roman" w:hAnsi="Times New Roman" w:cs="Times New Roman"/>
          <w:kern w:val="0"/>
          <w:lang w:eastAsia="en-GB" w:bidi="hi-IN"/>
          <w14:ligatures w14:val="none"/>
        </w:rPr>
      </w:pPr>
    </w:p>
    <w:p w14:paraId="5BC91C01" w14:textId="4AF96B41" w:rsidR="00D0363C" w:rsidRPr="00D0363C" w:rsidRDefault="00D0363C" w:rsidP="00D0363C">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p>
    <w:p w14:paraId="4D442A8E" w14:textId="77777777" w:rsidR="00D0363C" w:rsidRPr="00D0363C" w:rsidRDefault="00D0363C" w:rsidP="00D0363C">
      <w:pPr>
        <w:spacing w:before="100" w:beforeAutospacing="1" w:after="100" w:afterAutospacing="1"/>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b/>
          <w:bCs/>
          <w:kern w:val="0"/>
          <w:lang w:eastAsia="en-GB" w:bidi="hi-IN"/>
          <w14:ligatures w14:val="none"/>
        </w:rPr>
        <w:t>Figure 1. Distribution of Loan Status</w:t>
      </w:r>
    </w:p>
    <w:p w14:paraId="4B215B68" w14:textId="1681280B" w:rsidR="00D0363C" w:rsidRPr="00D0363C" w:rsidRDefault="00D0363C" w:rsidP="00D0363C">
      <w:pPr>
        <w:spacing w:before="100" w:beforeAutospacing="1" w:after="100" w:afterAutospacing="1"/>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drawing>
          <wp:inline distT="0" distB="0" distL="0" distR="0" wp14:anchorId="73E9E78A" wp14:editId="03A8987A">
            <wp:extent cx="3974471" cy="3425813"/>
            <wp:effectExtent l="0" t="0" r="635" b="3810"/>
            <wp:docPr id="10483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9127" name="Picture 1048391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96796" cy="3445056"/>
                    </a:xfrm>
                    <a:prstGeom prst="rect">
                      <a:avLst/>
                    </a:prstGeom>
                  </pic:spPr>
                </pic:pic>
              </a:graphicData>
            </a:graphic>
          </wp:inline>
        </w:drawing>
      </w:r>
    </w:p>
    <w:p w14:paraId="3157D428" w14:textId="77777777" w:rsidR="00D0363C" w:rsidRPr="00D0363C" w:rsidRDefault="00D0363C" w:rsidP="00D0363C">
      <w:pPr>
        <w:spacing w:before="100" w:beforeAutospacing="1" w:after="100" w:afterAutospacing="1"/>
        <w:rPr>
          <w:rFonts w:ascii="Times New Roman" w:eastAsia="Times New Roman" w:hAnsi="Times New Roman" w:cs="Times New Roman"/>
          <w:kern w:val="0"/>
          <w:lang w:eastAsia="en-GB" w:bidi="hi-IN"/>
          <w14:ligatures w14:val="none"/>
        </w:rPr>
      </w:pPr>
      <w:r w:rsidRPr="00D0363C">
        <w:rPr>
          <w:rFonts w:ascii="Times New Roman" w:eastAsia="Times New Roman" w:hAnsi="Times New Roman" w:cs="Times New Roman"/>
          <w:b/>
          <w:bCs/>
          <w:kern w:val="0"/>
          <w:lang w:eastAsia="en-GB" w:bidi="hi-IN"/>
          <w14:ligatures w14:val="none"/>
        </w:rPr>
        <w:lastRenderedPageBreak/>
        <w:t>Figure 1:</w:t>
      </w:r>
      <w:r w:rsidRPr="00D0363C">
        <w:rPr>
          <w:rFonts w:ascii="Times New Roman" w:eastAsia="Times New Roman" w:hAnsi="Times New Roman" w:cs="Times New Roman"/>
          <w:kern w:val="0"/>
          <w:lang w:eastAsia="en-GB" w:bidi="hi-IN"/>
          <w14:ligatures w14:val="none"/>
        </w:rPr>
        <w:t xml:space="preserve"> Distribution of loan applications by repayment status. Approximately </w:t>
      </w:r>
      <w:r w:rsidRPr="00D0363C">
        <w:rPr>
          <w:rFonts w:ascii="Times New Roman" w:eastAsia="Times New Roman" w:hAnsi="Times New Roman" w:cs="Times New Roman"/>
          <w:b/>
          <w:bCs/>
          <w:kern w:val="0"/>
          <w:lang w:eastAsia="en-GB" w:bidi="hi-IN"/>
          <w14:ligatures w14:val="none"/>
        </w:rPr>
        <w:t>78%</w:t>
      </w:r>
      <w:r w:rsidRPr="00D0363C">
        <w:rPr>
          <w:rFonts w:ascii="Times New Roman" w:eastAsia="Times New Roman" w:hAnsi="Times New Roman" w:cs="Times New Roman"/>
          <w:kern w:val="0"/>
          <w:lang w:eastAsia="en-GB" w:bidi="hi-IN"/>
          <w14:ligatures w14:val="none"/>
        </w:rPr>
        <w:t xml:space="preserve"> of loans were successfully repaid, while </w:t>
      </w:r>
      <w:r w:rsidRPr="00D0363C">
        <w:rPr>
          <w:rFonts w:ascii="Times New Roman" w:eastAsia="Times New Roman" w:hAnsi="Times New Roman" w:cs="Times New Roman"/>
          <w:b/>
          <w:bCs/>
          <w:kern w:val="0"/>
          <w:lang w:eastAsia="en-GB" w:bidi="hi-IN"/>
          <w14:ligatures w14:val="none"/>
        </w:rPr>
        <w:t>22%</w:t>
      </w:r>
      <w:r w:rsidRPr="00D0363C">
        <w:rPr>
          <w:rFonts w:ascii="Times New Roman" w:eastAsia="Times New Roman" w:hAnsi="Times New Roman" w:cs="Times New Roman"/>
          <w:kern w:val="0"/>
          <w:lang w:eastAsia="en-GB" w:bidi="hi-IN"/>
          <w14:ligatures w14:val="none"/>
        </w:rPr>
        <w:t xml:space="preserve"> eventually resulted in default, indicating a moderate class imbalance in the dataset.</w:t>
      </w:r>
    </w:p>
    <w:p w14:paraId="12FBCC10" w14:textId="77777777" w:rsidR="00B04694" w:rsidRPr="00B04694" w:rsidRDefault="00B04694" w:rsidP="00B04694">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B04694">
        <w:rPr>
          <w:rFonts w:ascii="Times New Roman" w:eastAsia="Times New Roman" w:hAnsi="Times New Roman" w:cs="Times New Roman"/>
          <w:b/>
          <w:bCs/>
          <w:kern w:val="0"/>
          <w:sz w:val="36"/>
          <w:szCs w:val="36"/>
          <w:lang w:eastAsia="en-GB" w:bidi="hi-IN"/>
          <w14:ligatures w14:val="none"/>
        </w:rPr>
        <w:t>2. Data Preparation &amp; Exploratory Data Analysis</w:t>
      </w:r>
    </w:p>
    <w:p w14:paraId="60D02E51" w14:textId="77777777" w:rsidR="00B04694" w:rsidRPr="00B04694" w:rsidRDefault="00B04694" w:rsidP="00B04694">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B04694">
        <w:rPr>
          <w:rFonts w:ascii="Times New Roman" w:eastAsia="Times New Roman" w:hAnsi="Times New Roman" w:cs="Times New Roman"/>
          <w:b/>
          <w:bCs/>
          <w:kern w:val="0"/>
          <w:sz w:val="27"/>
          <w:szCs w:val="27"/>
          <w:lang w:eastAsia="en-GB" w:bidi="hi-IN"/>
          <w14:ligatures w14:val="none"/>
        </w:rPr>
        <w:t>Data Preparation</w:t>
      </w:r>
    </w:p>
    <w:p w14:paraId="2D8DD595" w14:textId="77777777"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kern w:val="0"/>
          <w:lang w:eastAsia="en-GB" w:bidi="hi-IN"/>
          <w14:ligatures w14:val="none"/>
        </w:rPr>
        <w:t xml:space="preserve">Prior to model development, the dataset underwent a structured preprocessing pipeline to improve data quality and ensure compatibility with machine learning algorithms. An initial inspection identified </w:t>
      </w:r>
      <w:r w:rsidRPr="00B04694">
        <w:rPr>
          <w:rFonts w:ascii="Times New Roman" w:eastAsia="Times New Roman" w:hAnsi="Times New Roman" w:cs="Times New Roman"/>
          <w:b/>
          <w:bCs/>
          <w:kern w:val="0"/>
          <w:lang w:eastAsia="en-GB" w:bidi="hi-IN"/>
          <w14:ligatures w14:val="none"/>
        </w:rPr>
        <w:t>165 duplicate loan records</w:t>
      </w:r>
      <w:r w:rsidRPr="00B04694">
        <w:rPr>
          <w:rFonts w:ascii="Times New Roman" w:eastAsia="Times New Roman" w:hAnsi="Times New Roman" w:cs="Times New Roman"/>
          <w:kern w:val="0"/>
          <w:lang w:eastAsia="en-GB" w:bidi="hi-IN"/>
          <w14:ligatures w14:val="none"/>
        </w:rPr>
        <w:t xml:space="preserve">, which were removed to prevent repeated observations from biasing the learning process. Additionally, </w:t>
      </w:r>
      <w:r w:rsidRPr="00B04694">
        <w:rPr>
          <w:rFonts w:ascii="Times New Roman" w:eastAsia="Times New Roman" w:hAnsi="Times New Roman" w:cs="Times New Roman"/>
          <w:b/>
          <w:bCs/>
          <w:kern w:val="0"/>
          <w:lang w:eastAsia="en-GB" w:bidi="hi-IN"/>
          <w14:ligatures w14:val="none"/>
        </w:rPr>
        <w:t>five observations containing borrower ages greater than 100 years</w:t>
      </w:r>
      <w:r w:rsidRPr="00B04694">
        <w:rPr>
          <w:rFonts w:ascii="Times New Roman" w:eastAsia="Times New Roman" w:hAnsi="Times New Roman" w:cs="Times New Roman"/>
          <w:kern w:val="0"/>
          <w:lang w:eastAsia="en-GB" w:bidi="hi-IN"/>
          <w14:ligatures w14:val="none"/>
        </w:rPr>
        <w:t xml:space="preserve"> were excluded, as these values were considered implausible in the context of retail lending.</w:t>
      </w:r>
    </w:p>
    <w:p w14:paraId="35478E25" w14:textId="77777777"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kern w:val="0"/>
          <w:lang w:eastAsia="en-GB" w:bidi="hi-IN"/>
          <w14:ligatures w14:val="none"/>
        </w:rPr>
        <w:t xml:space="preserve">Missing values were handled using </w:t>
      </w:r>
      <w:r w:rsidRPr="00B04694">
        <w:rPr>
          <w:rFonts w:ascii="Times New Roman" w:eastAsia="Times New Roman" w:hAnsi="Times New Roman" w:cs="Times New Roman"/>
          <w:b/>
          <w:bCs/>
          <w:kern w:val="0"/>
          <w:lang w:eastAsia="en-GB" w:bidi="hi-IN"/>
          <w14:ligatures w14:val="none"/>
        </w:rPr>
        <w:t>median imputation</w:t>
      </w:r>
      <w:r w:rsidRPr="00B04694">
        <w:rPr>
          <w:rFonts w:ascii="Times New Roman" w:eastAsia="Times New Roman" w:hAnsi="Times New Roman" w:cs="Times New Roman"/>
          <w:kern w:val="0"/>
          <w:lang w:eastAsia="en-GB" w:bidi="hi-IN"/>
          <w14:ligatures w14:val="none"/>
        </w:rPr>
        <w:t xml:space="preserve"> for numerical variables and </w:t>
      </w:r>
      <w:r w:rsidRPr="00B04694">
        <w:rPr>
          <w:rFonts w:ascii="Times New Roman" w:eastAsia="Times New Roman" w:hAnsi="Times New Roman" w:cs="Times New Roman"/>
          <w:b/>
          <w:bCs/>
          <w:kern w:val="0"/>
          <w:lang w:eastAsia="en-GB" w:bidi="hi-IN"/>
          <w14:ligatures w14:val="none"/>
        </w:rPr>
        <w:t>mode imputation</w:t>
      </w:r>
      <w:r w:rsidRPr="00B04694">
        <w:rPr>
          <w:rFonts w:ascii="Times New Roman" w:eastAsia="Times New Roman" w:hAnsi="Times New Roman" w:cs="Times New Roman"/>
          <w:kern w:val="0"/>
          <w:lang w:eastAsia="en-GB" w:bidi="hi-IN"/>
          <w14:ligatures w14:val="none"/>
        </w:rPr>
        <w:t xml:space="preserve"> for categorical variables to preserve the dataset while minimizing the influence of extreme values. Categorical variables were subsequently transformed into numerical representations using </w:t>
      </w:r>
      <w:r w:rsidRPr="00B04694">
        <w:rPr>
          <w:rFonts w:ascii="Times New Roman" w:eastAsia="Times New Roman" w:hAnsi="Times New Roman" w:cs="Times New Roman"/>
          <w:b/>
          <w:bCs/>
          <w:kern w:val="0"/>
          <w:lang w:eastAsia="en-GB" w:bidi="hi-IN"/>
          <w14:ligatures w14:val="none"/>
        </w:rPr>
        <w:t>One-Hot Encoding</w:t>
      </w:r>
      <w:r w:rsidRPr="00B04694">
        <w:rPr>
          <w:rFonts w:ascii="Times New Roman" w:eastAsia="Times New Roman" w:hAnsi="Times New Roman" w:cs="Times New Roman"/>
          <w:kern w:val="0"/>
          <w:lang w:eastAsia="en-GB" w:bidi="hi-IN"/>
          <w14:ligatures w14:val="none"/>
        </w:rPr>
        <w:t xml:space="preserve">, after which the dataset was divided into training and testing subsets using an </w:t>
      </w:r>
      <w:r w:rsidRPr="00B04694">
        <w:rPr>
          <w:rFonts w:ascii="Times New Roman" w:eastAsia="Times New Roman" w:hAnsi="Times New Roman" w:cs="Times New Roman"/>
          <w:b/>
          <w:bCs/>
          <w:kern w:val="0"/>
          <w:lang w:eastAsia="en-GB" w:bidi="hi-IN"/>
          <w14:ligatures w14:val="none"/>
        </w:rPr>
        <w:t>80:20 stratified split</w:t>
      </w:r>
      <w:r w:rsidRPr="00B04694">
        <w:rPr>
          <w:rFonts w:ascii="Times New Roman" w:eastAsia="Times New Roman" w:hAnsi="Times New Roman" w:cs="Times New Roman"/>
          <w:kern w:val="0"/>
          <w:lang w:eastAsia="en-GB" w:bidi="hi-IN"/>
          <w14:ligatures w14:val="none"/>
        </w:rPr>
        <w:t xml:space="preserve">. Finally, numerical predictor variables were standardized using </w:t>
      </w:r>
      <w:proofErr w:type="spellStart"/>
      <w:r w:rsidRPr="00B04694">
        <w:rPr>
          <w:rFonts w:ascii="Times New Roman" w:eastAsia="Times New Roman" w:hAnsi="Times New Roman" w:cs="Times New Roman"/>
          <w:b/>
          <w:bCs/>
          <w:kern w:val="0"/>
          <w:lang w:eastAsia="en-GB" w:bidi="hi-IN"/>
          <w14:ligatures w14:val="none"/>
        </w:rPr>
        <w:t>StandardScaler</w:t>
      </w:r>
      <w:proofErr w:type="spellEnd"/>
      <w:r w:rsidRPr="00B04694">
        <w:rPr>
          <w:rFonts w:ascii="Times New Roman" w:eastAsia="Times New Roman" w:hAnsi="Times New Roman" w:cs="Times New Roman"/>
          <w:kern w:val="0"/>
          <w:lang w:eastAsia="en-GB" w:bidi="hi-IN"/>
          <w14:ligatures w14:val="none"/>
        </w:rPr>
        <w:t xml:space="preserve"> to ensure consistent feature scales for model training.</w:t>
      </w:r>
    </w:p>
    <w:p w14:paraId="7F02D48E" w14:textId="77777777" w:rsidR="00B04694" w:rsidRPr="00B04694" w:rsidRDefault="00B04694" w:rsidP="00B04694">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B04694">
        <w:rPr>
          <w:rFonts w:ascii="Times New Roman" w:eastAsia="Times New Roman" w:hAnsi="Times New Roman" w:cs="Times New Roman"/>
          <w:b/>
          <w:bCs/>
          <w:kern w:val="0"/>
          <w:sz w:val="27"/>
          <w:szCs w:val="27"/>
          <w:lang w:eastAsia="en-GB" w:bidi="hi-IN"/>
          <w14:ligatures w14:val="none"/>
        </w:rPr>
        <w:t>Exploratory Data Analysis</w:t>
      </w:r>
    </w:p>
    <w:p w14:paraId="2AA14964" w14:textId="77777777"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kern w:val="0"/>
          <w:lang w:eastAsia="en-GB" w:bidi="hi-IN"/>
          <w14:ligatures w14:val="none"/>
        </w:rPr>
        <w:t>Exploratory Data Analysis was conducted to understand borrower characteristics, loan attributes, and their relationship with loan default. Several meaningful patterns emerged from the analysis:</w:t>
      </w:r>
    </w:p>
    <w:p w14:paraId="08895A46" w14:textId="77777777" w:rsidR="00B04694" w:rsidRPr="00B04694" w:rsidRDefault="00B04694" w:rsidP="00B04694">
      <w:pPr>
        <w:numPr>
          <w:ilvl w:val="0"/>
          <w:numId w:val="1"/>
        </w:num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kern w:val="0"/>
          <w:lang w:eastAsia="en-GB" w:bidi="hi-IN"/>
          <w14:ligatures w14:val="none"/>
        </w:rPr>
        <w:t xml:space="preserve">Approximately </w:t>
      </w:r>
      <w:r w:rsidRPr="00B04694">
        <w:rPr>
          <w:rFonts w:ascii="Times New Roman" w:eastAsia="Times New Roman" w:hAnsi="Times New Roman" w:cs="Times New Roman"/>
          <w:b/>
          <w:bCs/>
          <w:kern w:val="0"/>
          <w:lang w:eastAsia="en-GB" w:bidi="hi-IN"/>
          <w14:ligatures w14:val="none"/>
        </w:rPr>
        <w:t>78%</w:t>
      </w:r>
      <w:r w:rsidRPr="00B04694">
        <w:rPr>
          <w:rFonts w:ascii="Times New Roman" w:eastAsia="Times New Roman" w:hAnsi="Times New Roman" w:cs="Times New Roman"/>
          <w:kern w:val="0"/>
          <w:lang w:eastAsia="en-GB" w:bidi="hi-IN"/>
          <w14:ligatures w14:val="none"/>
        </w:rPr>
        <w:t xml:space="preserve"> of loans were successfully repaid, while </w:t>
      </w:r>
      <w:r w:rsidRPr="00B04694">
        <w:rPr>
          <w:rFonts w:ascii="Times New Roman" w:eastAsia="Times New Roman" w:hAnsi="Times New Roman" w:cs="Times New Roman"/>
          <w:b/>
          <w:bCs/>
          <w:kern w:val="0"/>
          <w:lang w:eastAsia="en-GB" w:bidi="hi-IN"/>
          <w14:ligatures w14:val="none"/>
        </w:rPr>
        <w:t>22%</w:t>
      </w:r>
      <w:r w:rsidRPr="00B04694">
        <w:rPr>
          <w:rFonts w:ascii="Times New Roman" w:eastAsia="Times New Roman" w:hAnsi="Times New Roman" w:cs="Times New Roman"/>
          <w:kern w:val="0"/>
          <w:lang w:eastAsia="en-GB" w:bidi="hi-IN"/>
          <w14:ligatures w14:val="none"/>
        </w:rPr>
        <w:t xml:space="preserve"> resulted in default, indicating a moderate class imbalance. </w:t>
      </w:r>
    </w:p>
    <w:p w14:paraId="1858D3D9" w14:textId="77777777" w:rsidR="00B04694" w:rsidRPr="00B04694" w:rsidRDefault="00B04694" w:rsidP="00B04694">
      <w:pPr>
        <w:numPr>
          <w:ilvl w:val="0"/>
          <w:numId w:val="1"/>
        </w:num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kern w:val="0"/>
          <w:lang w:eastAsia="en-GB" w:bidi="hi-IN"/>
          <w14:ligatures w14:val="none"/>
        </w:rPr>
        <w:t xml:space="preserve">Loan default rates increased substantially for lower credit grades, suggesting that </w:t>
      </w:r>
      <w:r w:rsidRPr="00B04694">
        <w:rPr>
          <w:rFonts w:ascii="Times New Roman" w:eastAsia="Times New Roman" w:hAnsi="Times New Roman" w:cs="Times New Roman"/>
          <w:b/>
          <w:bCs/>
          <w:kern w:val="0"/>
          <w:lang w:eastAsia="en-GB" w:bidi="hi-IN"/>
          <w14:ligatures w14:val="none"/>
        </w:rPr>
        <w:t>loan grade</w:t>
      </w:r>
      <w:r w:rsidRPr="00B04694">
        <w:rPr>
          <w:rFonts w:ascii="Times New Roman" w:eastAsia="Times New Roman" w:hAnsi="Times New Roman" w:cs="Times New Roman"/>
          <w:kern w:val="0"/>
          <w:lang w:eastAsia="en-GB" w:bidi="hi-IN"/>
          <w14:ligatures w14:val="none"/>
        </w:rPr>
        <w:t xml:space="preserve"> is a strong indicator of borrower risk. </w:t>
      </w:r>
    </w:p>
    <w:p w14:paraId="22C3E9F3" w14:textId="77777777" w:rsidR="00B04694" w:rsidRPr="00B04694" w:rsidRDefault="00B04694" w:rsidP="00B04694">
      <w:pPr>
        <w:numPr>
          <w:ilvl w:val="0"/>
          <w:numId w:val="1"/>
        </w:num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kern w:val="0"/>
          <w:lang w:eastAsia="en-GB" w:bidi="hi-IN"/>
          <w14:ligatures w14:val="none"/>
        </w:rPr>
        <w:t xml:space="preserve">Borrowers who eventually defaulted generally exhibited </w:t>
      </w:r>
      <w:r w:rsidRPr="00B04694">
        <w:rPr>
          <w:rFonts w:ascii="Times New Roman" w:eastAsia="Times New Roman" w:hAnsi="Times New Roman" w:cs="Times New Roman"/>
          <w:b/>
          <w:bCs/>
          <w:kern w:val="0"/>
          <w:lang w:eastAsia="en-GB" w:bidi="hi-IN"/>
          <w14:ligatures w14:val="none"/>
        </w:rPr>
        <w:t>higher interest rates</w:t>
      </w:r>
      <w:r w:rsidRPr="00B04694">
        <w:rPr>
          <w:rFonts w:ascii="Times New Roman" w:eastAsia="Times New Roman" w:hAnsi="Times New Roman" w:cs="Times New Roman"/>
          <w:kern w:val="0"/>
          <w:lang w:eastAsia="en-GB" w:bidi="hi-IN"/>
          <w14:ligatures w14:val="none"/>
        </w:rPr>
        <w:t xml:space="preserve">, reflecting risk-based pricing by lenders. </w:t>
      </w:r>
    </w:p>
    <w:p w14:paraId="50F2D902" w14:textId="77777777" w:rsidR="00B04694" w:rsidRPr="00B04694" w:rsidRDefault="00B04694" w:rsidP="00B04694">
      <w:pPr>
        <w:numPr>
          <w:ilvl w:val="0"/>
          <w:numId w:val="1"/>
        </w:num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kern w:val="0"/>
          <w:lang w:eastAsia="en-GB" w:bidi="hi-IN"/>
          <w14:ligatures w14:val="none"/>
        </w:rPr>
        <w:t xml:space="preserve">Correlation analysis showed that the </w:t>
      </w:r>
      <w:r w:rsidRPr="00B04694">
        <w:rPr>
          <w:rFonts w:ascii="Times New Roman" w:eastAsia="Times New Roman" w:hAnsi="Times New Roman" w:cs="Times New Roman"/>
          <w:b/>
          <w:bCs/>
          <w:kern w:val="0"/>
          <w:lang w:eastAsia="en-GB" w:bidi="hi-IN"/>
          <w14:ligatures w14:val="none"/>
        </w:rPr>
        <w:t>loan-to-income ratio</w:t>
      </w:r>
      <w:r w:rsidRPr="00B04694">
        <w:rPr>
          <w:rFonts w:ascii="Times New Roman" w:eastAsia="Times New Roman" w:hAnsi="Times New Roman" w:cs="Times New Roman"/>
          <w:kern w:val="0"/>
          <w:lang w:eastAsia="en-GB" w:bidi="hi-IN"/>
          <w14:ligatures w14:val="none"/>
        </w:rPr>
        <w:t xml:space="preserve"> and </w:t>
      </w:r>
      <w:r w:rsidRPr="00B04694">
        <w:rPr>
          <w:rFonts w:ascii="Times New Roman" w:eastAsia="Times New Roman" w:hAnsi="Times New Roman" w:cs="Times New Roman"/>
          <w:b/>
          <w:bCs/>
          <w:kern w:val="0"/>
          <w:lang w:eastAsia="en-GB" w:bidi="hi-IN"/>
          <w14:ligatures w14:val="none"/>
        </w:rPr>
        <w:t>interest rate</w:t>
      </w:r>
      <w:r w:rsidRPr="00B04694">
        <w:rPr>
          <w:rFonts w:ascii="Times New Roman" w:eastAsia="Times New Roman" w:hAnsi="Times New Roman" w:cs="Times New Roman"/>
          <w:kern w:val="0"/>
          <w:lang w:eastAsia="en-GB" w:bidi="hi-IN"/>
          <w14:ligatures w14:val="none"/>
        </w:rPr>
        <w:t xml:space="preserve"> had the strongest positive associations with loan default among the numerical variables, although the overall relationships remained moderate. </w:t>
      </w:r>
    </w:p>
    <w:p w14:paraId="0F7BF161" w14:textId="77777777"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kern w:val="0"/>
          <w:lang w:eastAsia="en-GB" w:bidi="hi-IN"/>
          <w14:ligatures w14:val="none"/>
        </w:rPr>
        <w:t>These findings provided valuable business insights while also informing expectations regarding the predictive importance of variables in the subsequent machine learning models.</w:t>
      </w:r>
    </w:p>
    <w:p w14:paraId="421D71AB" w14:textId="77777777" w:rsidR="00B04694" w:rsidRPr="00B04694" w:rsidRDefault="00B04694" w:rsidP="00B04694">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B04694">
        <w:rPr>
          <w:rFonts w:ascii="Times New Roman" w:eastAsia="Times New Roman" w:hAnsi="Times New Roman" w:cs="Times New Roman"/>
          <w:b/>
          <w:bCs/>
          <w:kern w:val="0"/>
          <w:sz w:val="36"/>
          <w:szCs w:val="36"/>
          <w:lang w:eastAsia="en-GB" w:bidi="hi-IN"/>
          <w14:ligatures w14:val="none"/>
        </w:rPr>
        <w:t>Figures</w:t>
      </w:r>
    </w:p>
    <w:p w14:paraId="7E9E7400" w14:textId="77777777" w:rsidR="00B04694" w:rsidRPr="00B04694" w:rsidRDefault="00B04694" w:rsidP="00B04694">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B04694">
        <w:rPr>
          <w:rFonts w:ascii="Times New Roman" w:eastAsia="Times New Roman" w:hAnsi="Times New Roman" w:cs="Times New Roman"/>
          <w:b/>
          <w:bCs/>
          <w:kern w:val="0"/>
          <w:sz w:val="27"/>
          <w:szCs w:val="27"/>
          <w:lang w:eastAsia="en-GB" w:bidi="hi-IN"/>
          <w14:ligatures w14:val="none"/>
        </w:rPr>
        <w:t>Figure 2. Correlation Matrix of Numerical Variables</w:t>
      </w:r>
    </w:p>
    <w:p w14:paraId="1FD51DC3" w14:textId="3776C7D5"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62DD06A0" wp14:editId="0E09AEA3">
            <wp:extent cx="3395050" cy="2844379"/>
            <wp:effectExtent l="0" t="0" r="0" b="635"/>
            <wp:docPr id="128944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4182" name="Picture 1289441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36954" cy="2879486"/>
                    </a:xfrm>
                    <a:prstGeom prst="rect">
                      <a:avLst/>
                    </a:prstGeom>
                  </pic:spPr>
                </pic:pic>
              </a:graphicData>
            </a:graphic>
          </wp:inline>
        </w:drawing>
      </w:r>
    </w:p>
    <w:p w14:paraId="2B0FAAFA" w14:textId="77777777"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b/>
          <w:bCs/>
          <w:kern w:val="0"/>
          <w:lang w:eastAsia="en-GB" w:bidi="hi-IN"/>
          <w14:ligatures w14:val="none"/>
        </w:rPr>
        <w:t>Figure 2:</w:t>
      </w:r>
      <w:r w:rsidRPr="00B04694">
        <w:rPr>
          <w:rFonts w:ascii="Times New Roman" w:eastAsia="Times New Roman" w:hAnsi="Times New Roman" w:cs="Times New Roman"/>
          <w:kern w:val="0"/>
          <w:lang w:eastAsia="en-GB" w:bidi="hi-IN"/>
          <w14:ligatures w14:val="none"/>
        </w:rPr>
        <w:t xml:space="preserve"> Pearson correlation matrix illustrating relationships among numerical variables. The strongest positive correlation with loan default is observed for the </w:t>
      </w:r>
      <w:r w:rsidRPr="00B04694">
        <w:rPr>
          <w:rFonts w:ascii="Times New Roman" w:eastAsia="Times New Roman" w:hAnsi="Times New Roman" w:cs="Times New Roman"/>
          <w:b/>
          <w:bCs/>
          <w:kern w:val="0"/>
          <w:lang w:eastAsia="en-GB" w:bidi="hi-IN"/>
          <w14:ligatures w14:val="none"/>
        </w:rPr>
        <w:t>loan-to-income ratio (0.38)</w:t>
      </w:r>
      <w:r w:rsidRPr="00B04694">
        <w:rPr>
          <w:rFonts w:ascii="Times New Roman" w:eastAsia="Times New Roman" w:hAnsi="Times New Roman" w:cs="Times New Roman"/>
          <w:kern w:val="0"/>
          <w:lang w:eastAsia="en-GB" w:bidi="hi-IN"/>
          <w14:ligatures w14:val="none"/>
        </w:rPr>
        <w:t xml:space="preserve">, followed by the </w:t>
      </w:r>
      <w:r w:rsidRPr="00B04694">
        <w:rPr>
          <w:rFonts w:ascii="Times New Roman" w:eastAsia="Times New Roman" w:hAnsi="Times New Roman" w:cs="Times New Roman"/>
          <w:b/>
          <w:bCs/>
          <w:kern w:val="0"/>
          <w:lang w:eastAsia="en-GB" w:bidi="hi-IN"/>
          <w14:ligatures w14:val="none"/>
        </w:rPr>
        <w:t>interest rate (0.34)</w:t>
      </w:r>
      <w:r w:rsidRPr="00B04694">
        <w:rPr>
          <w:rFonts w:ascii="Times New Roman" w:eastAsia="Times New Roman" w:hAnsi="Times New Roman" w:cs="Times New Roman"/>
          <w:kern w:val="0"/>
          <w:lang w:eastAsia="en-GB" w:bidi="hi-IN"/>
          <w14:ligatures w14:val="none"/>
        </w:rPr>
        <w:t>, suggesting that borrowers with larger repayment burdens and higher borrowing costs exhibit greater default risk.</w:t>
      </w:r>
    </w:p>
    <w:p w14:paraId="131F0912" w14:textId="1099C1D6" w:rsidR="00B04694" w:rsidRPr="00B04694" w:rsidRDefault="00B04694" w:rsidP="00B04694">
      <w:pPr>
        <w:rPr>
          <w:rFonts w:ascii="Times New Roman" w:eastAsia="Times New Roman" w:hAnsi="Times New Roman" w:cs="Times New Roman"/>
          <w:kern w:val="0"/>
          <w:lang w:eastAsia="en-GB" w:bidi="hi-IN"/>
          <w14:ligatures w14:val="none"/>
        </w:rPr>
      </w:pPr>
    </w:p>
    <w:p w14:paraId="28ABBF9F" w14:textId="77777777" w:rsidR="00B04694" w:rsidRPr="00B04694" w:rsidRDefault="00B04694" w:rsidP="00B04694">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B04694">
        <w:rPr>
          <w:rFonts w:ascii="Times New Roman" w:eastAsia="Times New Roman" w:hAnsi="Times New Roman" w:cs="Times New Roman"/>
          <w:b/>
          <w:bCs/>
          <w:kern w:val="0"/>
          <w:sz w:val="27"/>
          <w:szCs w:val="27"/>
          <w:lang w:eastAsia="en-GB" w:bidi="hi-IN"/>
          <w14:ligatures w14:val="none"/>
        </w:rPr>
        <w:t>Figure 3. Default Rate by Loan Grade</w:t>
      </w:r>
    </w:p>
    <w:p w14:paraId="237F86F3" w14:textId="4DAF79C1"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b/>
          <w:bCs/>
          <w:noProof/>
          <w:kern w:val="0"/>
          <w:lang w:eastAsia="en-GB" w:bidi="hi-IN"/>
        </w:rPr>
        <w:drawing>
          <wp:inline distT="0" distB="0" distL="0" distR="0" wp14:anchorId="1874509D" wp14:editId="0BF696F3">
            <wp:extent cx="4235812" cy="2326740"/>
            <wp:effectExtent l="0" t="0" r="6350" b="0"/>
            <wp:docPr id="490066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66462" name="Picture 4900664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87644" cy="2355212"/>
                    </a:xfrm>
                    <a:prstGeom prst="rect">
                      <a:avLst/>
                    </a:prstGeom>
                  </pic:spPr>
                </pic:pic>
              </a:graphicData>
            </a:graphic>
          </wp:inline>
        </w:drawing>
      </w:r>
    </w:p>
    <w:p w14:paraId="7F6C0C29" w14:textId="77777777" w:rsidR="00B04694" w:rsidRDefault="00B04694" w:rsidP="00B04694">
      <w:pPr>
        <w:spacing w:before="100" w:beforeAutospacing="1" w:after="100" w:afterAutospacing="1"/>
        <w:rPr>
          <w:rFonts w:ascii="Times New Roman" w:eastAsia="Times New Roman" w:hAnsi="Times New Roman" w:cs="Times New Roman"/>
          <w:b/>
          <w:bCs/>
          <w:kern w:val="0"/>
          <w:lang w:eastAsia="en-GB" w:bidi="hi-IN"/>
          <w14:ligatures w14:val="none"/>
        </w:rPr>
      </w:pPr>
    </w:p>
    <w:p w14:paraId="6E68DA70" w14:textId="5FDEBFAC"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b/>
          <w:bCs/>
          <w:kern w:val="0"/>
          <w:lang w:eastAsia="en-GB" w:bidi="hi-IN"/>
          <w14:ligatures w14:val="none"/>
        </w:rPr>
        <w:t>Figure 3:</w:t>
      </w:r>
      <w:r w:rsidRPr="00B04694">
        <w:rPr>
          <w:rFonts w:ascii="Times New Roman" w:eastAsia="Times New Roman" w:hAnsi="Times New Roman" w:cs="Times New Roman"/>
          <w:kern w:val="0"/>
          <w:lang w:eastAsia="en-GB" w:bidi="hi-IN"/>
          <w14:ligatures w14:val="none"/>
        </w:rPr>
        <w:t xml:space="preserve"> Default rates increase sharply as loan grades deteriorate from </w:t>
      </w:r>
      <w:r w:rsidRPr="00B04694">
        <w:rPr>
          <w:rFonts w:ascii="Times New Roman" w:eastAsia="Times New Roman" w:hAnsi="Times New Roman" w:cs="Times New Roman"/>
          <w:b/>
          <w:bCs/>
          <w:kern w:val="0"/>
          <w:lang w:eastAsia="en-GB" w:bidi="hi-IN"/>
          <w14:ligatures w14:val="none"/>
        </w:rPr>
        <w:t>Grade A</w:t>
      </w:r>
      <w:r w:rsidRPr="00B04694">
        <w:rPr>
          <w:rFonts w:ascii="Times New Roman" w:eastAsia="Times New Roman" w:hAnsi="Times New Roman" w:cs="Times New Roman"/>
          <w:kern w:val="0"/>
          <w:lang w:eastAsia="en-GB" w:bidi="hi-IN"/>
          <w14:ligatures w14:val="none"/>
        </w:rPr>
        <w:t xml:space="preserve"> to </w:t>
      </w:r>
      <w:r w:rsidRPr="00B04694">
        <w:rPr>
          <w:rFonts w:ascii="Times New Roman" w:eastAsia="Times New Roman" w:hAnsi="Times New Roman" w:cs="Times New Roman"/>
          <w:b/>
          <w:bCs/>
          <w:kern w:val="0"/>
          <w:lang w:eastAsia="en-GB" w:bidi="hi-IN"/>
          <w14:ligatures w14:val="none"/>
        </w:rPr>
        <w:t>Grade G</w:t>
      </w:r>
      <w:r w:rsidRPr="00B04694">
        <w:rPr>
          <w:rFonts w:ascii="Times New Roman" w:eastAsia="Times New Roman" w:hAnsi="Times New Roman" w:cs="Times New Roman"/>
          <w:kern w:val="0"/>
          <w:lang w:eastAsia="en-GB" w:bidi="hi-IN"/>
          <w14:ligatures w14:val="none"/>
        </w:rPr>
        <w:t>. Borrowers assigned lower credit grades exhibit substantially higher default frequencies, confirming loan grade as one of the most informative indicators of credit risk.</w:t>
      </w:r>
    </w:p>
    <w:p w14:paraId="4790E370" w14:textId="75ADE271" w:rsidR="00B04694" w:rsidRPr="00B04694" w:rsidRDefault="00B04694" w:rsidP="00B04694">
      <w:pPr>
        <w:rPr>
          <w:rFonts w:ascii="Times New Roman" w:eastAsia="Times New Roman" w:hAnsi="Times New Roman" w:cs="Times New Roman"/>
          <w:kern w:val="0"/>
          <w:lang w:eastAsia="en-GB" w:bidi="hi-IN"/>
          <w14:ligatures w14:val="none"/>
        </w:rPr>
      </w:pPr>
    </w:p>
    <w:p w14:paraId="1C7216FB" w14:textId="77777777" w:rsidR="00B04694" w:rsidRPr="00B04694" w:rsidRDefault="00B04694" w:rsidP="00B04694">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B04694">
        <w:rPr>
          <w:rFonts w:ascii="Times New Roman" w:eastAsia="Times New Roman" w:hAnsi="Times New Roman" w:cs="Times New Roman"/>
          <w:b/>
          <w:bCs/>
          <w:kern w:val="0"/>
          <w:sz w:val="27"/>
          <w:szCs w:val="27"/>
          <w:lang w:eastAsia="en-GB" w:bidi="hi-IN"/>
          <w14:ligatures w14:val="none"/>
        </w:rPr>
        <w:t>Figure 4. Interest Rate Distribution by Loan Status</w:t>
      </w:r>
    </w:p>
    <w:p w14:paraId="71A23296" w14:textId="78995FFE"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6732DD2B" wp14:editId="63D20AD6">
            <wp:extent cx="3725090" cy="2435382"/>
            <wp:effectExtent l="0" t="0" r="0" b="3175"/>
            <wp:docPr id="1428399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9684" name="Picture 14283996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2640" cy="2446856"/>
                    </a:xfrm>
                    <a:prstGeom prst="rect">
                      <a:avLst/>
                    </a:prstGeom>
                  </pic:spPr>
                </pic:pic>
              </a:graphicData>
            </a:graphic>
          </wp:inline>
        </w:drawing>
      </w:r>
    </w:p>
    <w:p w14:paraId="767B8C57" w14:textId="77777777"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b/>
          <w:bCs/>
          <w:kern w:val="0"/>
          <w:lang w:eastAsia="en-GB" w:bidi="hi-IN"/>
          <w14:ligatures w14:val="none"/>
        </w:rPr>
        <w:t>Figure 4:</w:t>
      </w:r>
      <w:r w:rsidRPr="00B04694">
        <w:rPr>
          <w:rFonts w:ascii="Times New Roman" w:eastAsia="Times New Roman" w:hAnsi="Times New Roman" w:cs="Times New Roman"/>
          <w:kern w:val="0"/>
          <w:lang w:eastAsia="en-GB" w:bidi="hi-IN"/>
          <w14:ligatures w14:val="none"/>
        </w:rPr>
        <w:t xml:space="preserve"> Borrowers who defaulted generally received loans with higher interest rates than those who successfully repaid their loans. This pattern is consistent with risk-based lending, where borrowers perceived as riskier are charged higher borrowing costs.</w:t>
      </w:r>
    </w:p>
    <w:p w14:paraId="3DE140DC" w14:textId="77777777" w:rsidR="00B04694" w:rsidRPr="00B04694" w:rsidRDefault="00B04694" w:rsidP="00B04694">
      <w:pPr>
        <w:spacing w:before="100" w:beforeAutospacing="1" w:after="100" w:afterAutospacing="1"/>
        <w:rPr>
          <w:rFonts w:ascii="Times New Roman" w:eastAsia="Times New Roman" w:hAnsi="Times New Roman" w:cs="Times New Roman"/>
          <w:kern w:val="0"/>
          <w:lang w:eastAsia="en-GB" w:bidi="hi-IN"/>
          <w14:ligatures w14:val="none"/>
        </w:rPr>
      </w:pPr>
      <w:r w:rsidRPr="00B04694">
        <w:rPr>
          <w:rFonts w:ascii="Times New Roman" w:eastAsia="Times New Roman" w:hAnsi="Times New Roman" w:cs="Times New Roman"/>
          <w:kern w:val="0"/>
          <w:lang w:eastAsia="en-GB" w:bidi="hi-IN"/>
          <w14:ligatures w14:val="none"/>
        </w:rPr>
        <w:t>The insights obtained through exploratory analysis suggest that several borrower and loan characteristics possess meaningful predictive value. These variables are subsequently used to train and compare multiple supervised machine learning models for loan default prediction.</w:t>
      </w:r>
    </w:p>
    <w:p w14:paraId="77DEAC86" w14:textId="77777777" w:rsidR="00FC79C2" w:rsidRDefault="00FC79C2" w:rsidP="00D0363C"/>
    <w:p w14:paraId="54058AE1" w14:textId="77777777" w:rsidR="00E02851" w:rsidRPr="00E02851" w:rsidRDefault="00E02851" w:rsidP="00E02851">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E02851">
        <w:rPr>
          <w:rFonts w:ascii="Times New Roman" w:eastAsia="Times New Roman" w:hAnsi="Times New Roman" w:cs="Times New Roman"/>
          <w:b/>
          <w:bCs/>
          <w:kern w:val="0"/>
          <w:sz w:val="36"/>
          <w:szCs w:val="36"/>
          <w:lang w:eastAsia="en-GB" w:bidi="hi-IN"/>
          <w14:ligatures w14:val="none"/>
        </w:rPr>
        <w:t>3. Machine Learning Methodology</w:t>
      </w:r>
    </w:p>
    <w:p w14:paraId="73ADB35A" w14:textId="77777777" w:rsidR="00E02851" w:rsidRPr="00E02851" w:rsidRDefault="00E02851" w:rsidP="00E02851">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02851">
        <w:rPr>
          <w:rFonts w:ascii="Times New Roman" w:eastAsia="Times New Roman" w:hAnsi="Times New Roman" w:cs="Times New Roman"/>
          <w:b/>
          <w:bCs/>
          <w:kern w:val="0"/>
          <w:sz w:val="27"/>
          <w:szCs w:val="27"/>
          <w:lang w:eastAsia="en-GB" w:bidi="hi-IN"/>
          <w14:ligatures w14:val="none"/>
        </w:rPr>
        <w:t>Model Development</w:t>
      </w:r>
    </w:p>
    <w:p w14:paraId="69C666D3" w14:textId="77777777" w:rsidR="00E02851" w:rsidRPr="00E02851" w:rsidRDefault="00E02851" w:rsidP="00E02851">
      <w:p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The objective of the modelling stage was to predict whether a loan application would eventually default based on borrower demographics, financial characteristics, and loan attributes. Since the target variable (</w:t>
      </w:r>
      <w:proofErr w:type="spellStart"/>
      <w:r w:rsidRPr="00E02851">
        <w:rPr>
          <w:rFonts w:ascii="Courier New" w:eastAsia="Times New Roman" w:hAnsi="Courier New" w:cs="Courier New"/>
          <w:kern w:val="0"/>
          <w:sz w:val="20"/>
          <w:szCs w:val="20"/>
          <w:lang w:eastAsia="en-GB" w:bidi="hi-IN"/>
          <w14:ligatures w14:val="none"/>
        </w:rPr>
        <w:t>loan_status</w:t>
      </w:r>
      <w:proofErr w:type="spellEnd"/>
      <w:r w:rsidRPr="00E02851">
        <w:rPr>
          <w:rFonts w:ascii="Times New Roman" w:eastAsia="Times New Roman" w:hAnsi="Times New Roman" w:cs="Times New Roman"/>
          <w:kern w:val="0"/>
          <w:lang w:eastAsia="en-GB" w:bidi="hi-IN"/>
          <w14:ligatures w14:val="none"/>
        </w:rPr>
        <w:t>) contains two possible outcomes—</w:t>
      </w:r>
      <w:r w:rsidRPr="00E02851">
        <w:rPr>
          <w:rFonts w:ascii="Times New Roman" w:eastAsia="Times New Roman" w:hAnsi="Times New Roman" w:cs="Times New Roman"/>
          <w:b/>
          <w:bCs/>
          <w:kern w:val="0"/>
          <w:lang w:eastAsia="en-GB" w:bidi="hi-IN"/>
          <w14:ligatures w14:val="none"/>
        </w:rPr>
        <w:t>Default (1)</w:t>
      </w:r>
      <w:r w:rsidRPr="00E02851">
        <w:rPr>
          <w:rFonts w:ascii="Times New Roman" w:eastAsia="Times New Roman" w:hAnsi="Times New Roman" w:cs="Times New Roman"/>
          <w:kern w:val="0"/>
          <w:lang w:eastAsia="en-GB" w:bidi="hi-IN"/>
          <w14:ligatures w14:val="none"/>
        </w:rPr>
        <w:t xml:space="preserve"> and </w:t>
      </w:r>
      <w:r w:rsidRPr="00E02851">
        <w:rPr>
          <w:rFonts w:ascii="Times New Roman" w:eastAsia="Times New Roman" w:hAnsi="Times New Roman" w:cs="Times New Roman"/>
          <w:b/>
          <w:bCs/>
          <w:kern w:val="0"/>
          <w:lang w:eastAsia="en-GB" w:bidi="hi-IN"/>
          <w14:ligatures w14:val="none"/>
        </w:rPr>
        <w:t>Non-default (0)</w:t>
      </w:r>
      <w:r w:rsidRPr="00E02851">
        <w:rPr>
          <w:rFonts w:ascii="Times New Roman" w:eastAsia="Times New Roman" w:hAnsi="Times New Roman" w:cs="Times New Roman"/>
          <w:kern w:val="0"/>
          <w:lang w:eastAsia="en-GB" w:bidi="hi-IN"/>
          <w14:ligatures w14:val="none"/>
        </w:rPr>
        <w:t xml:space="preserve">—the problem was formulated as a </w:t>
      </w:r>
      <w:r w:rsidRPr="00E02851">
        <w:rPr>
          <w:rFonts w:ascii="Times New Roman" w:eastAsia="Times New Roman" w:hAnsi="Times New Roman" w:cs="Times New Roman"/>
          <w:b/>
          <w:bCs/>
          <w:kern w:val="0"/>
          <w:lang w:eastAsia="en-GB" w:bidi="hi-IN"/>
          <w14:ligatures w14:val="none"/>
        </w:rPr>
        <w:t>binary classification task</w:t>
      </w:r>
      <w:r w:rsidRPr="00E02851">
        <w:rPr>
          <w:rFonts w:ascii="Times New Roman" w:eastAsia="Times New Roman" w:hAnsi="Times New Roman" w:cs="Times New Roman"/>
          <w:kern w:val="0"/>
          <w:lang w:eastAsia="en-GB" w:bidi="hi-IN"/>
          <w14:ligatures w14:val="none"/>
        </w:rPr>
        <w:t>.</w:t>
      </w:r>
    </w:p>
    <w:p w14:paraId="7B63927A" w14:textId="77777777" w:rsidR="00E02851" w:rsidRPr="00E02851" w:rsidRDefault="00E02851" w:rsidP="00E02851">
      <w:p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Three supervised machine learning algorithms of increasing complexity were implemented and compared:</w:t>
      </w:r>
    </w:p>
    <w:p w14:paraId="35F74CC1" w14:textId="77777777" w:rsidR="00E02851" w:rsidRPr="00E02851" w:rsidRDefault="00E02851" w:rsidP="00E02851">
      <w:pPr>
        <w:numPr>
          <w:ilvl w:val="0"/>
          <w:numId w:val="2"/>
        </w:num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b/>
          <w:bCs/>
          <w:kern w:val="0"/>
          <w:lang w:eastAsia="en-GB" w:bidi="hi-IN"/>
          <w14:ligatures w14:val="none"/>
        </w:rPr>
        <w:t>Logistic Regression</w:t>
      </w:r>
      <w:r w:rsidRPr="00E02851">
        <w:rPr>
          <w:rFonts w:ascii="Times New Roman" w:eastAsia="Times New Roman" w:hAnsi="Times New Roman" w:cs="Times New Roman"/>
          <w:kern w:val="0"/>
          <w:lang w:eastAsia="en-GB" w:bidi="hi-IN"/>
          <w14:ligatures w14:val="none"/>
        </w:rPr>
        <w:t xml:space="preserve"> – a probabilistic linear classifier that estimates the probability of loan default. </w:t>
      </w:r>
    </w:p>
    <w:p w14:paraId="6B485A4F" w14:textId="77777777" w:rsidR="00E02851" w:rsidRPr="00E02851" w:rsidRDefault="00E02851" w:rsidP="00E02851">
      <w:pPr>
        <w:numPr>
          <w:ilvl w:val="0"/>
          <w:numId w:val="2"/>
        </w:num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b/>
          <w:bCs/>
          <w:kern w:val="0"/>
          <w:lang w:eastAsia="en-GB" w:bidi="hi-IN"/>
          <w14:ligatures w14:val="none"/>
        </w:rPr>
        <w:t>Decision Tree</w:t>
      </w:r>
      <w:r w:rsidRPr="00E02851">
        <w:rPr>
          <w:rFonts w:ascii="Times New Roman" w:eastAsia="Times New Roman" w:hAnsi="Times New Roman" w:cs="Times New Roman"/>
          <w:kern w:val="0"/>
          <w:lang w:eastAsia="en-GB" w:bidi="hi-IN"/>
          <w14:ligatures w14:val="none"/>
        </w:rPr>
        <w:t xml:space="preserve"> – a non-linear classifier that recursively partitions the feature space into homogeneous groups using decision rules. </w:t>
      </w:r>
    </w:p>
    <w:p w14:paraId="51BD6C81" w14:textId="77777777" w:rsidR="00E02851" w:rsidRPr="00E02851" w:rsidRDefault="00E02851" w:rsidP="00E02851">
      <w:pPr>
        <w:numPr>
          <w:ilvl w:val="0"/>
          <w:numId w:val="2"/>
        </w:num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b/>
          <w:bCs/>
          <w:kern w:val="0"/>
          <w:lang w:eastAsia="en-GB" w:bidi="hi-IN"/>
          <w14:ligatures w14:val="none"/>
        </w:rPr>
        <w:t>Random Forest</w:t>
      </w:r>
      <w:r w:rsidRPr="00E02851">
        <w:rPr>
          <w:rFonts w:ascii="Times New Roman" w:eastAsia="Times New Roman" w:hAnsi="Times New Roman" w:cs="Times New Roman"/>
          <w:kern w:val="0"/>
          <w:lang w:eastAsia="en-GB" w:bidi="hi-IN"/>
          <w14:ligatures w14:val="none"/>
        </w:rPr>
        <w:t xml:space="preserve"> – an ensemble learning algorithm that combines multiple decision trees through bootstrap aggregation and majority voting to improve predictive performance and reduce overfitting. </w:t>
      </w:r>
    </w:p>
    <w:p w14:paraId="6AF8689A" w14:textId="77777777" w:rsidR="00E02851" w:rsidRPr="00E02851" w:rsidRDefault="00E02851" w:rsidP="00E02851">
      <w:p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Using multiple algorithms allowed the study to compare models with different underlying assumptions and identify the most suitable approach for credit risk prediction.</w:t>
      </w:r>
    </w:p>
    <w:p w14:paraId="058B2B25" w14:textId="77777777" w:rsidR="00E02851" w:rsidRPr="00E02851" w:rsidRDefault="00E02851" w:rsidP="00E02851">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02851">
        <w:rPr>
          <w:rFonts w:ascii="Times New Roman" w:eastAsia="Times New Roman" w:hAnsi="Times New Roman" w:cs="Times New Roman"/>
          <w:b/>
          <w:bCs/>
          <w:kern w:val="0"/>
          <w:sz w:val="27"/>
          <w:szCs w:val="27"/>
          <w:lang w:eastAsia="en-GB" w:bidi="hi-IN"/>
          <w14:ligatures w14:val="none"/>
        </w:rPr>
        <w:t>Model Training Workflow</w:t>
      </w:r>
    </w:p>
    <w:p w14:paraId="4702CD22" w14:textId="77777777" w:rsidR="00E02851" w:rsidRPr="00E02851" w:rsidRDefault="00E02851" w:rsidP="00E02851">
      <w:p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lastRenderedPageBreak/>
        <w:t>Each algorithm followed the same modelling pipeline to ensure a fair comparison:</w:t>
      </w:r>
    </w:p>
    <w:p w14:paraId="51846F03" w14:textId="77777777" w:rsidR="00E02851" w:rsidRPr="00E02851" w:rsidRDefault="00E02851" w:rsidP="00E02851">
      <w:pPr>
        <w:numPr>
          <w:ilvl w:val="0"/>
          <w:numId w:val="3"/>
        </w:num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 xml:space="preserve">Train the model using the </w:t>
      </w:r>
      <w:proofErr w:type="spellStart"/>
      <w:r w:rsidRPr="00E02851">
        <w:rPr>
          <w:rFonts w:ascii="Times New Roman" w:eastAsia="Times New Roman" w:hAnsi="Times New Roman" w:cs="Times New Roman"/>
          <w:kern w:val="0"/>
          <w:lang w:eastAsia="en-GB" w:bidi="hi-IN"/>
          <w14:ligatures w14:val="none"/>
        </w:rPr>
        <w:t>preprocessed</w:t>
      </w:r>
      <w:proofErr w:type="spellEnd"/>
      <w:r w:rsidRPr="00E02851">
        <w:rPr>
          <w:rFonts w:ascii="Times New Roman" w:eastAsia="Times New Roman" w:hAnsi="Times New Roman" w:cs="Times New Roman"/>
          <w:kern w:val="0"/>
          <w:lang w:eastAsia="en-GB" w:bidi="hi-IN"/>
          <w14:ligatures w14:val="none"/>
        </w:rPr>
        <w:t xml:space="preserve"> training dataset. </w:t>
      </w:r>
    </w:p>
    <w:p w14:paraId="60A3A1E0" w14:textId="77777777" w:rsidR="00E02851" w:rsidRPr="00E02851" w:rsidRDefault="00E02851" w:rsidP="00E02851">
      <w:pPr>
        <w:numPr>
          <w:ilvl w:val="0"/>
          <w:numId w:val="3"/>
        </w:num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 xml:space="preserve">Predict loan status for the unseen testing dataset. </w:t>
      </w:r>
    </w:p>
    <w:p w14:paraId="0085FBC6" w14:textId="77777777" w:rsidR="00E02851" w:rsidRPr="00E02851" w:rsidRDefault="00E02851" w:rsidP="00E02851">
      <w:pPr>
        <w:numPr>
          <w:ilvl w:val="0"/>
          <w:numId w:val="3"/>
        </w:num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 xml:space="preserve">Estimate the probability of default for each loan application. </w:t>
      </w:r>
    </w:p>
    <w:p w14:paraId="2F1895E6" w14:textId="77777777" w:rsidR="00E02851" w:rsidRPr="00E02851" w:rsidRDefault="00E02851" w:rsidP="00E02851">
      <w:pPr>
        <w:numPr>
          <w:ilvl w:val="0"/>
          <w:numId w:val="3"/>
        </w:num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 xml:space="preserve">Evaluate model performance using multiple classification metrics. </w:t>
      </w:r>
    </w:p>
    <w:p w14:paraId="5D3B7085" w14:textId="77777777" w:rsidR="00E02851" w:rsidRPr="00E02851" w:rsidRDefault="00E02851" w:rsidP="00E02851">
      <w:pPr>
        <w:numPr>
          <w:ilvl w:val="0"/>
          <w:numId w:val="3"/>
        </w:num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 xml:space="preserve">Compare all models and select the best-performing classifier. </w:t>
      </w:r>
    </w:p>
    <w:p w14:paraId="4C588D19" w14:textId="77777777" w:rsidR="00E02851" w:rsidRPr="00E02851" w:rsidRDefault="00E02851" w:rsidP="00E02851">
      <w:p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Using an identical workflow ensures that differences in predictive performance arise from the algorithms themselves rather than differences in data preparation.</w:t>
      </w:r>
    </w:p>
    <w:p w14:paraId="0114A8AC" w14:textId="77777777" w:rsidR="00E02851" w:rsidRPr="00E02851" w:rsidRDefault="00E02851" w:rsidP="00E02851">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E02851">
        <w:rPr>
          <w:rFonts w:ascii="Times New Roman" w:eastAsia="Times New Roman" w:hAnsi="Times New Roman" w:cs="Times New Roman"/>
          <w:b/>
          <w:bCs/>
          <w:kern w:val="0"/>
          <w:sz w:val="27"/>
          <w:szCs w:val="27"/>
          <w:lang w:eastAsia="en-GB" w:bidi="hi-IN"/>
          <w14:ligatures w14:val="none"/>
        </w:rPr>
        <w:t>Model Evaluation</w:t>
      </w:r>
    </w:p>
    <w:p w14:paraId="109782F0" w14:textId="77777777" w:rsidR="00E02851" w:rsidRPr="00E02851" w:rsidRDefault="00E02851" w:rsidP="00E02851">
      <w:p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 xml:space="preserve">Since loan default prediction is a </w:t>
      </w:r>
      <w:r w:rsidRPr="00E02851">
        <w:rPr>
          <w:rFonts w:ascii="Times New Roman" w:eastAsia="Times New Roman" w:hAnsi="Times New Roman" w:cs="Times New Roman"/>
          <w:b/>
          <w:bCs/>
          <w:kern w:val="0"/>
          <w:lang w:eastAsia="en-GB" w:bidi="hi-IN"/>
          <w14:ligatures w14:val="none"/>
        </w:rPr>
        <w:t>classification problem</w:t>
      </w:r>
      <w:r w:rsidRPr="00E02851">
        <w:rPr>
          <w:rFonts w:ascii="Times New Roman" w:eastAsia="Times New Roman" w:hAnsi="Times New Roman" w:cs="Times New Roman"/>
          <w:kern w:val="0"/>
          <w:lang w:eastAsia="en-GB" w:bidi="hi-IN"/>
          <w14:ligatures w14:val="none"/>
        </w:rPr>
        <w:t>, regression metrics such as Mean Squared Error (MSE) and Root Mean Squared Error (RMSE) are not appropriate. Instead, model performance was evaluated using classification metrics that assess different aspects of predictive ability:</w:t>
      </w:r>
    </w:p>
    <w:tbl>
      <w:tblPr>
        <w:tblStyle w:val="TableGridLight"/>
        <w:tblW w:w="0" w:type="auto"/>
        <w:tblLook w:val="04A0" w:firstRow="1" w:lastRow="0" w:firstColumn="1" w:lastColumn="0" w:noHBand="0" w:noVBand="1"/>
      </w:tblPr>
      <w:tblGrid>
        <w:gridCol w:w="9016"/>
      </w:tblGrid>
      <w:tr w:rsidR="00E02851" w14:paraId="4529F635" w14:textId="77777777" w:rsidTr="00E02851">
        <w:tc>
          <w:tcPr>
            <w:tcW w:w="9016" w:type="dxa"/>
          </w:tcPr>
          <w:tbl>
            <w:tblPr>
              <w:tblStyle w:val="TableGrid"/>
              <w:tblW w:w="0" w:type="auto"/>
              <w:tblLook w:val="04A0" w:firstRow="1" w:lastRow="0" w:firstColumn="1" w:lastColumn="0" w:noHBand="0" w:noVBand="1"/>
            </w:tblPr>
            <w:tblGrid>
              <w:gridCol w:w="1228"/>
              <w:gridCol w:w="7562"/>
            </w:tblGrid>
            <w:tr w:rsidR="00E02851" w:rsidRPr="00E02851" w14:paraId="51BBDAF4" w14:textId="77777777" w:rsidTr="00E02851">
              <w:tc>
                <w:tcPr>
                  <w:tcW w:w="0" w:type="auto"/>
                  <w:hideMark/>
                </w:tcPr>
                <w:p w14:paraId="47181CB1" w14:textId="77777777" w:rsidR="00E02851" w:rsidRPr="00E02851" w:rsidRDefault="00E02851" w:rsidP="003E130A">
                  <w:pPr>
                    <w:jc w:val="center"/>
                    <w:rPr>
                      <w:rFonts w:ascii="Times New Roman" w:eastAsia="Times New Roman" w:hAnsi="Times New Roman" w:cs="Times New Roman"/>
                      <w:b/>
                      <w:bCs/>
                      <w:kern w:val="0"/>
                      <w:lang w:eastAsia="en-GB" w:bidi="hi-IN"/>
                      <w14:ligatures w14:val="none"/>
                    </w:rPr>
                  </w:pPr>
                  <w:r w:rsidRPr="00E02851">
                    <w:rPr>
                      <w:rFonts w:ascii="Times New Roman" w:eastAsia="Times New Roman" w:hAnsi="Times New Roman" w:cs="Times New Roman"/>
                      <w:b/>
                      <w:bCs/>
                      <w:kern w:val="0"/>
                      <w:lang w:eastAsia="en-GB" w:bidi="hi-IN"/>
                      <w14:ligatures w14:val="none"/>
                    </w:rPr>
                    <w:t>Metric</w:t>
                  </w:r>
                </w:p>
              </w:tc>
              <w:tc>
                <w:tcPr>
                  <w:tcW w:w="0" w:type="auto"/>
                  <w:hideMark/>
                </w:tcPr>
                <w:p w14:paraId="0311822E" w14:textId="77777777" w:rsidR="00E02851" w:rsidRPr="00E02851" w:rsidRDefault="00E02851" w:rsidP="003E130A">
                  <w:pPr>
                    <w:jc w:val="center"/>
                    <w:rPr>
                      <w:rFonts w:ascii="Times New Roman" w:eastAsia="Times New Roman" w:hAnsi="Times New Roman" w:cs="Times New Roman"/>
                      <w:b/>
                      <w:bCs/>
                      <w:kern w:val="0"/>
                      <w:lang w:eastAsia="en-GB" w:bidi="hi-IN"/>
                      <w14:ligatures w14:val="none"/>
                    </w:rPr>
                  </w:pPr>
                  <w:r w:rsidRPr="00E02851">
                    <w:rPr>
                      <w:rFonts w:ascii="Times New Roman" w:eastAsia="Times New Roman" w:hAnsi="Times New Roman" w:cs="Times New Roman"/>
                      <w:b/>
                      <w:bCs/>
                      <w:kern w:val="0"/>
                      <w:lang w:eastAsia="en-GB" w:bidi="hi-IN"/>
                      <w14:ligatures w14:val="none"/>
                    </w:rPr>
                    <w:t>Purpose</w:t>
                  </w:r>
                </w:p>
              </w:tc>
            </w:tr>
            <w:tr w:rsidR="00E02851" w:rsidRPr="00E02851" w14:paraId="2DF0F68F" w14:textId="77777777" w:rsidTr="00E02851">
              <w:tc>
                <w:tcPr>
                  <w:tcW w:w="0" w:type="auto"/>
                  <w:hideMark/>
                </w:tcPr>
                <w:p w14:paraId="2ECB9DFB"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Accuracy</w:t>
                  </w:r>
                </w:p>
              </w:tc>
              <w:tc>
                <w:tcPr>
                  <w:tcW w:w="0" w:type="auto"/>
                  <w:hideMark/>
                </w:tcPr>
                <w:p w14:paraId="547880C5"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Overall proportion of correctly classified loan applications</w:t>
                  </w:r>
                </w:p>
              </w:tc>
            </w:tr>
            <w:tr w:rsidR="00E02851" w:rsidRPr="00E02851" w14:paraId="683FA749" w14:textId="77777777" w:rsidTr="00E02851">
              <w:tc>
                <w:tcPr>
                  <w:tcW w:w="0" w:type="auto"/>
                  <w:hideMark/>
                </w:tcPr>
                <w:p w14:paraId="102FA27F"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Precision</w:t>
                  </w:r>
                </w:p>
              </w:tc>
              <w:tc>
                <w:tcPr>
                  <w:tcW w:w="0" w:type="auto"/>
                  <w:hideMark/>
                </w:tcPr>
                <w:p w14:paraId="0E798DC0"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Proportion of predicted defaulters that actually defaulted</w:t>
                  </w:r>
                </w:p>
              </w:tc>
            </w:tr>
            <w:tr w:rsidR="00E02851" w:rsidRPr="00E02851" w14:paraId="5EF14934" w14:textId="77777777" w:rsidTr="00E02851">
              <w:tc>
                <w:tcPr>
                  <w:tcW w:w="0" w:type="auto"/>
                  <w:hideMark/>
                </w:tcPr>
                <w:p w14:paraId="6D017F9F"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Recall</w:t>
                  </w:r>
                </w:p>
              </w:tc>
              <w:tc>
                <w:tcPr>
                  <w:tcW w:w="0" w:type="auto"/>
                  <w:hideMark/>
                </w:tcPr>
                <w:p w14:paraId="6D89EA60"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Proportion of actual defaulters correctly identified</w:t>
                  </w:r>
                </w:p>
              </w:tc>
            </w:tr>
            <w:tr w:rsidR="00E02851" w:rsidRPr="00E02851" w14:paraId="2AB9B374" w14:textId="77777777" w:rsidTr="00E02851">
              <w:tc>
                <w:tcPr>
                  <w:tcW w:w="0" w:type="auto"/>
                  <w:hideMark/>
                </w:tcPr>
                <w:p w14:paraId="6992321F"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F1-score</w:t>
                  </w:r>
                </w:p>
              </w:tc>
              <w:tc>
                <w:tcPr>
                  <w:tcW w:w="0" w:type="auto"/>
                  <w:hideMark/>
                </w:tcPr>
                <w:p w14:paraId="2899AE1F"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Harmonic mean of Precision and Recall</w:t>
                  </w:r>
                </w:p>
              </w:tc>
            </w:tr>
            <w:tr w:rsidR="00E02851" w:rsidRPr="00E02851" w14:paraId="752930A5" w14:textId="77777777" w:rsidTr="00E02851">
              <w:tc>
                <w:tcPr>
                  <w:tcW w:w="0" w:type="auto"/>
                  <w:hideMark/>
                </w:tcPr>
                <w:p w14:paraId="31263AF7"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ROC-AUC</w:t>
                  </w:r>
                </w:p>
              </w:tc>
              <w:tc>
                <w:tcPr>
                  <w:tcW w:w="0" w:type="auto"/>
                  <w:hideMark/>
                </w:tcPr>
                <w:p w14:paraId="22B0D6B2" w14:textId="77777777" w:rsidR="00E02851" w:rsidRPr="00E02851" w:rsidRDefault="00E02851" w:rsidP="003E130A">
                  <w:pPr>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Overall ability of the model to distinguish between defaulting and non-defaulting borrowers across all probability thresholds</w:t>
                  </w:r>
                </w:p>
              </w:tc>
            </w:tr>
          </w:tbl>
          <w:p w14:paraId="483C1CCE" w14:textId="77777777" w:rsidR="00E02851" w:rsidRDefault="00E02851"/>
        </w:tc>
      </w:tr>
    </w:tbl>
    <w:p w14:paraId="653BB77B" w14:textId="77777777" w:rsidR="00E02851" w:rsidRPr="00E02851" w:rsidRDefault="00E02851" w:rsidP="00E02851">
      <w:pPr>
        <w:spacing w:before="100" w:beforeAutospacing="1" w:after="100" w:afterAutospacing="1"/>
        <w:rPr>
          <w:rFonts w:ascii="Times New Roman" w:eastAsia="Times New Roman" w:hAnsi="Times New Roman" w:cs="Times New Roman"/>
          <w:kern w:val="0"/>
          <w:lang w:eastAsia="en-GB" w:bidi="hi-IN"/>
          <w14:ligatures w14:val="none"/>
        </w:rPr>
      </w:pPr>
      <w:r w:rsidRPr="00E02851">
        <w:rPr>
          <w:rFonts w:ascii="Times New Roman" w:eastAsia="Times New Roman" w:hAnsi="Times New Roman" w:cs="Times New Roman"/>
          <w:kern w:val="0"/>
          <w:lang w:eastAsia="en-GB" w:bidi="hi-IN"/>
          <w14:ligatures w14:val="none"/>
        </w:rPr>
        <w:t xml:space="preserve">Among these metrics, </w:t>
      </w:r>
      <w:r w:rsidRPr="00E02851">
        <w:rPr>
          <w:rFonts w:ascii="Times New Roman" w:eastAsia="Times New Roman" w:hAnsi="Times New Roman" w:cs="Times New Roman"/>
          <w:b/>
          <w:bCs/>
          <w:kern w:val="0"/>
          <w:lang w:eastAsia="en-GB" w:bidi="hi-IN"/>
          <w14:ligatures w14:val="none"/>
        </w:rPr>
        <w:t>ROC-AUC</w:t>
      </w:r>
      <w:r w:rsidRPr="00E02851">
        <w:rPr>
          <w:rFonts w:ascii="Times New Roman" w:eastAsia="Times New Roman" w:hAnsi="Times New Roman" w:cs="Times New Roman"/>
          <w:kern w:val="0"/>
          <w:lang w:eastAsia="en-GB" w:bidi="hi-IN"/>
          <w14:ligatures w14:val="none"/>
        </w:rPr>
        <w:t xml:space="preserve"> was selected as the primary criterion for model comparison because it evaluates the ranking ability of the classifier independently of any single probability threshold.</w:t>
      </w:r>
    </w:p>
    <w:p w14:paraId="50AED370" w14:textId="59DB1EF9" w:rsidR="00E02851" w:rsidRDefault="00E02851" w:rsidP="00E02851">
      <w:r>
        <w:t xml:space="preserve">      </w:t>
      </w:r>
    </w:p>
    <w:p w14:paraId="54F6B879" w14:textId="6FD4F833" w:rsidR="00E02851" w:rsidRDefault="00E02851" w:rsidP="00E02851">
      <w:r>
        <w:rPr>
          <w:noProof/>
        </w:rPr>
        <w:drawing>
          <wp:inline distT="0" distB="0" distL="0" distR="0" wp14:anchorId="4A2D45A5" wp14:editId="409D19D8">
            <wp:extent cx="5486400" cy="3200400"/>
            <wp:effectExtent l="63500" t="12700" r="63500" b="50800"/>
            <wp:docPr id="1208996940"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C92B92C" w14:textId="3CEE5463" w:rsidR="00E02851" w:rsidRDefault="00E02851" w:rsidP="00E02851">
      <w:r>
        <w:lastRenderedPageBreak/>
        <w:t>Following model development, the predictive performance of the three classifiers was systematically compared using multiple evaluation metrics to identify the most effective model for credit risk prediction.</w:t>
      </w:r>
    </w:p>
    <w:p w14:paraId="7CABAD52" w14:textId="77777777" w:rsidR="00E02851" w:rsidRDefault="00E02851" w:rsidP="00E02851"/>
    <w:p w14:paraId="6F5F9D6D" w14:textId="77777777" w:rsidR="00947D29" w:rsidRPr="00947D29" w:rsidRDefault="00947D29" w:rsidP="00947D29">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947D29">
        <w:rPr>
          <w:rFonts w:ascii="Times New Roman" w:eastAsia="Times New Roman" w:hAnsi="Times New Roman" w:cs="Times New Roman"/>
          <w:b/>
          <w:bCs/>
          <w:kern w:val="0"/>
          <w:sz w:val="36"/>
          <w:szCs w:val="36"/>
          <w:lang w:eastAsia="en-GB" w:bidi="hi-IN"/>
          <w14:ligatures w14:val="none"/>
        </w:rPr>
        <w:t>4. Model Performance &amp; Results</w:t>
      </w:r>
    </w:p>
    <w:p w14:paraId="4227550F" w14:textId="77777777" w:rsidR="00947D29" w:rsidRPr="00947D29" w:rsidRDefault="00947D29" w:rsidP="00947D2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47D29">
        <w:rPr>
          <w:rFonts w:ascii="Times New Roman" w:eastAsia="Times New Roman" w:hAnsi="Times New Roman" w:cs="Times New Roman"/>
          <w:b/>
          <w:bCs/>
          <w:kern w:val="0"/>
          <w:sz w:val="27"/>
          <w:szCs w:val="27"/>
          <w:lang w:eastAsia="en-GB" w:bidi="hi-IN"/>
          <w14:ligatures w14:val="none"/>
        </w:rPr>
        <w:t>Model Comparison</w:t>
      </w:r>
    </w:p>
    <w:p w14:paraId="79F70107" w14:textId="7777777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Three supervised machine learning algorithms were trained and evaluated for loan default prediction: Logistic Regression, Decision Tree, and Random Forest. Their predictive performance was assessed using Accuracy, Precision, Recall, F1-score, ROC-AUC, and training time.</w:t>
      </w:r>
    </w:p>
    <w:p w14:paraId="13EF6EEB" w14:textId="7777777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 xml:space="preserve">As shown in </w:t>
      </w:r>
      <w:r w:rsidRPr="00947D29">
        <w:rPr>
          <w:rFonts w:ascii="Times New Roman" w:eastAsia="Times New Roman" w:hAnsi="Times New Roman" w:cs="Times New Roman"/>
          <w:b/>
          <w:bCs/>
          <w:kern w:val="0"/>
          <w:lang w:eastAsia="en-GB" w:bidi="hi-IN"/>
          <w14:ligatures w14:val="none"/>
        </w:rPr>
        <w:t>Table 2</w:t>
      </w:r>
      <w:r w:rsidRPr="00947D29">
        <w:rPr>
          <w:rFonts w:ascii="Times New Roman" w:eastAsia="Times New Roman" w:hAnsi="Times New Roman" w:cs="Times New Roman"/>
          <w:kern w:val="0"/>
          <w:lang w:eastAsia="en-GB" w:bidi="hi-IN"/>
          <w14:ligatures w14:val="none"/>
        </w:rPr>
        <w:t xml:space="preserve">, the </w:t>
      </w:r>
      <w:r w:rsidRPr="00947D29">
        <w:rPr>
          <w:rFonts w:ascii="Times New Roman" w:eastAsia="Times New Roman" w:hAnsi="Times New Roman" w:cs="Times New Roman"/>
          <w:b/>
          <w:bCs/>
          <w:kern w:val="0"/>
          <w:lang w:eastAsia="en-GB" w:bidi="hi-IN"/>
          <w14:ligatures w14:val="none"/>
        </w:rPr>
        <w:t>Random Forest classifier</w:t>
      </w:r>
      <w:r w:rsidRPr="00947D29">
        <w:rPr>
          <w:rFonts w:ascii="Times New Roman" w:eastAsia="Times New Roman" w:hAnsi="Times New Roman" w:cs="Times New Roman"/>
          <w:kern w:val="0"/>
          <w:lang w:eastAsia="en-GB" w:bidi="hi-IN"/>
          <w14:ligatures w14:val="none"/>
        </w:rPr>
        <w:t xml:space="preserve"> consistently outperformed the other models across nearly all evaluation metrics. It achieved the highest </w:t>
      </w:r>
      <w:r w:rsidRPr="00947D29">
        <w:rPr>
          <w:rFonts w:ascii="Times New Roman" w:eastAsia="Times New Roman" w:hAnsi="Times New Roman" w:cs="Times New Roman"/>
          <w:b/>
          <w:bCs/>
          <w:kern w:val="0"/>
          <w:lang w:eastAsia="en-GB" w:bidi="hi-IN"/>
          <w14:ligatures w14:val="none"/>
        </w:rPr>
        <w:t>Accuracy (93.40%)</w:t>
      </w:r>
      <w:r w:rsidRPr="00947D29">
        <w:rPr>
          <w:rFonts w:ascii="Times New Roman" w:eastAsia="Times New Roman" w:hAnsi="Times New Roman" w:cs="Times New Roman"/>
          <w:kern w:val="0"/>
          <w:lang w:eastAsia="en-GB" w:bidi="hi-IN"/>
          <w14:ligatures w14:val="none"/>
        </w:rPr>
        <w:t xml:space="preserve">, </w:t>
      </w:r>
      <w:r w:rsidRPr="00947D29">
        <w:rPr>
          <w:rFonts w:ascii="Times New Roman" w:eastAsia="Times New Roman" w:hAnsi="Times New Roman" w:cs="Times New Roman"/>
          <w:b/>
          <w:bCs/>
          <w:kern w:val="0"/>
          <w:lang w:eastAsia="en-GB" w:bidi="hi-IN"/>
          <w14:ligatures w14:val="none"/>
        </w:rPr>
        <w:t>Precision (96.00%)</w:t>
      </w:r>
      <w:r w:rsidRPr="00947D29">
        <w:rPr>
          <w:rFonts w:ascii="Times New Roman" w:eastAsia="Times New Roman" w:hAnsi="Times New Roman" w:cs="Times New Roman"/>
          <w:kern w:val="0"/>
          <w:lang w:eastAsia="en-GB" w:bidi="hi-IN"/>
          <w14:ligatures w14:val="none"/>
        </w:rPr>
        <w:t xml:space="preserve">, </w:t>
      </w:r>
      <w:r w:rsidRPr="00947D29">
        <w:rPr>
          <w:rFonts w:ascii="Times New Roman" w:eastAsia="Times New Roman" w:hAnsi="Times New Roman" w:cs="Times New Roman"/>
          <w:b/>
          <w:bCs/>
          <w:kern w:val="0"/>
          <w:lang w:eastAsia="en-GB" w:bidi="hi-IN"/>
          <w14:ligatures w14:val="none"/>
        </w:rPr>
        <w:t>F1-score (82.84%)</w:t>
      </w:r>
      <w:r w:rsidRPr="00947D29">
        <w:rPr>
          <w:rFonts w:ascii="Times New Roman" w:eastAsia="Times New Roman" w:hAnsi="Times New Roman" w:cs="Times New Roman"/>
          <w:kern w:val="0"/>
          <w:lang w:eastAsia="en-GB" w:bidi="hi-IN"/>
          <w14:ligatures w14:val="none"/>
        </w:rPr>
        <w:t xml:space="preserve">, and </w:t>
      </w:r>
      <w:r w:rsidRPr="00947D29">
        <w:rPr>
          <w:rFonts w:ascii="Times New Roman" w:eastAsia="Times New Roman" w:hAnsi="Times New Roman" w:cs="Times New Roman"/>
          <w:b/>
          <w:bCs/>
          <w:kern w:val="0"/>
          <w:lang w:eastAsia="en-GB" w:bidi="hi-IN"/>
          <w14:ligatures w14:val="none"/>
        </w:rPr>
        <w:t>ROC-AUC (0.929)</w:t>
      </w:r>
      <w:r w:rsidRPr="00947D29">
        <w:rPr>
          <w:rFonts w:ascii="Times New Roman" w:eastAsia="Times New Roman" w:hAnsi="Times New Roman" w:cs="Times New Roman"/>
          <w:kern w:val="0"/>
          <w:lang w:eastAsia="en-GB" w:bidi="hi-IN"/>
          <w14:ligatures w14:val="none"/>
        </w:rPr>
        <w:t xml:space="preserve"> while maintaining competitive Recall (72.85%). Although Random Forest required a longer training time than the other algorithms, the additional computational cost was relatively small and justified by the substantial improvement in predictive performance.</w:t>
      </w:r>
    </w:p>
    <w:p w14:paraId="637EED22" w14:textId="7777777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Logistic Regression provided a strong baseline model with good discrimination (ROC-AUC = 0.867), whereas the Decision Tree achieved the highest Recall (76.16%) but exhibited weaker overall classification performance due to lower Precision and ROC-AUC.</w:t>
      </w:r>
    </w:p>
    <w:p w14:paraId="175C214C" w14:textId="7777777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 xml:space="preserve">Consequently, </w:t>
      </w:r>
      <w:r w:rsidRPr="00947D29">
        <w:rPr>
          <w:rFonts w:ascii="Times New Roman" w:eastAsia="Times New Roman" w:hAnsi="Times New Roman" w:cs="Times New Roman"/>
          <w:b/>
          <w:bCs/>
          <w:kern w:val="0"/>
          <w:lang w:eastAsia="en-GB" w:bidi="hi-IN"/>
          <w14:ligatures w14:val="none"/>
        </w:rPr>
        <w:t>Random Forest was selected as the final model for business interpretation and deployment.</w:t>
      </w:r>
    </w:p>
    <w:p w14:paraId="6525EEFB" w14:textId="4DB9C233" w:rsidR="00947D29" w:rsidRPr="00947D29" w:rsidRDefault="00947D29" w:rsidP="00947D29">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947D29">
        <w:rPr>
          <w:rFonts w:ascii="Times New Roman" w:eastAsia="Times New Roman" w:hAnsi="Times New Roman" w:cs="Times New Roman"/>
          <w:b/>
          <w:bCs/>
          <w:kern w:val="0"/>
          <w:sz w:val="36"/>
          <w:szCs w:val="36"/>
          <w:lang w:eastAsia="en-GB" w:bidi="hi-IN"/>
          <w14:ligatures w14:val="none"/>
        </w:rPr>
        <w:t xml:space="preserve">Table </w:t>
      </w:r>
      <w:r>
        <w:rPr>
          <w:rFonts w:ascii="Times New Roman" w:eastAsia="Times New Roman" w:hAnsi="Times New Roman" w:cs="Times New Roman"/>
          <w:b/>
          <w:bCs/>
          <w:kern w:val="0"/>
          <w:sz w:val="36"/>
          <w:szCs w:val="36"/>
          <w:lang w:eastAsia="en-GB" w:bidi="hi-IN"/>
          <w14:ligatures w14:val="none"/>
        </w:rPr>
        <w:t>1</w:t>
      </w:r>
      <w:r w:rsidRPr="00947D29">
        <w:rPr>
          <w:rFonts w:ascii="Times New Roman" w:eastAsia="Times New Roman" w:hAnsi="Times New Roman" w:cs="Times New Roman"/>
          <w:b/>
          <w:bCs/>
          <w:kern w:val="0"/>
          <w:sz w:val="36"/>
          <w:szCs w:val="36"/>
          <w:lang w:eastAsia="en-GB" w:bidi="hi-IN"/>
          <w14:ligatures w14:val="none"/>
        </w:rPr>
        <w:t>. Performance Comparison of Machine Learning Models</w:t>
      </w:r>
    </w:p>
    <w:p w14:paraId="72C40172" w14:textId="77777777" w:rsidR="00947D29" w:rsidRDefault="00947D29" w:rsidP="00947D29">
      <w:pPr>
        <w:spacing w:before="100" w:beforeAutospacing="1" w:after="100" w:afterAutospacing="1"/>
        <w:rPr>
          <w:rFonts w:ascii="Times New Roman" w:eastAsia="Times New Roman" w:hAnsi="Times New Roman" w:cs="Times New Roman"/>
          <w:b/>
          <w:bCs/>
          <w:kern w:val="0"/>
          <w:lang w:eastAsia="en-GB" w:bidi="hi-IN"/>
          <w14:ligatures w14:val="none"/>
        </w:rPr>
      </w:pPr>
      <w:r>
        <w:rPr>
          <w:rFonts w:ascii="Times New Roman" w:eastAsia="Times New Roman" w:hAnsi="Times New Roman" w:cs="Times New Roman"/>
          <w:b/>
          <w:bCs/>
          <w:noProof/>
          <w:kern w:val="0"/>
          <w:lang w:eastAsia="en-GB" w:bidi="hi-IN"/>
        </w:rPr>
        <w:drawing>
          <wp:inline distT="0" distB="0" distL="0" distR="0" wp14:anchorId="29D89C7B" wp14:editId="020590B2">
            <wp:extent cx="5731510" cy="1209040"/>
            <wp:effectExtent l="0" t="0" r="0" b="0"/>
            <wp:docPr id="1014586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6342" name="Picture 1014586342"/>
                    <pic:cNvPicPr/>
                  </pic:nvPicPr>
                  <pic:blipFill>
                    <a:blip r:embed="rId14">
                      <a:extLst>
                        <a:ext uri="{28A0092B-C50C-407E-A947-70E740481C1C}">
                          <a14:useLocalDpi xmlns:a14="http://schemas.microsoft.com/office/drawing/2010/main" val="0"/>
                        </a:ext>
                      </a:extLst>
                    </a:blip>
                    <a:stretch>
                      <a:fillRect/>
                    </a:stretch>
                  </pic:blipFill>
                  <pic:spPr>
                    <a:xfrm>
                      <a:off x="0" y="0"/>
                      <a:ext cx="5731510" cy="1209040"/>
                    </a:xfrm>
                    <a:prstGeom prst="rect">
                      <a:avLst/>
                    </a:prstGeom>
                  </pic:spPr>
                </pic:pic>
              </a:graphicData>
            </a:graphic>
          </wp:inline>
        </w:drawing>
      </w:r>
    </w:p>
    <w:p w14:paraId="69C5DB8F" w14:textId="2A8CB33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b/>
          <w:bCs/>
          <w:kern w:val="0"/>
          <w:lang w:eastAsia="en-GB" w:bidi="hi-IN"/>
          <w14:ligatures w14:val="none"/>
        </w:rPr>
        <w:t xml:space="preserve">Table </w:t>
      </w:r>
      <w:r>
        <w:rPr>
          <w:rFonts w:ascii="Times New Roman" w:eastAsia="Times New Roman" w:hAnsi="Times New Roman" w:cs="Times New Roman"/>
          <w:b/>
          <w:bCs/>
          <w:kern w:val="0"/>
          <w:lang w:eastAsia="en-GB" w:bidi="hi-IN"/>
          <w14:ligatures w14:val="none"/>
        </w:rPr>
        <w:t>1</w:t>
      </w:r>
      <w:r w:rsidRPr="00947D29">
        <w:rPr>
          <w:rFonts w:ascii="Times New Roman" w:eastAsia="Times New Roman" w:hAnsi="Times New Roman" w:cs="Times New Roman"/>
          <w:b/>
          <w:bCs/>
          <w:kern w:val="0"/>
          <w:lang w:eastAsia="en-GB" w:bidi="hi-IN"/>
          <w14:ligatures w14:val="none"/>
        </w:rPr>
        <w:t>:</w:t>
      </w:r>
      <w:r w:rsidRPr="00947D29">
        <w:rPr>
          <w:rFonts w:ascii="Times New Roman" w:eastAsia="Times New Roman" w:hAnsi="Times New Roman" w:cs="Times New Roman"/>
          <w:kern w:val="0"/>
          <w:lang w:eastAsia="en-GB" w:bidi="hi-IN"/>
          <w14:ligatures w14:val="none"/>
        </w:rPr>
        <w:t xml:space="preserve"> Comparative performance of the three classification algorithms. Random Forest achieved the strongest overall predictive performance and was selected as the final classifier.</w:t>
      </w:r>
    </w:p>
    <w:p w14:paraId="6094A0D0" w14:textId="77777777" w:rsidR="00947D29" w:rsidRPr="00947D29" w:rsidRDefault="00947D29" w:rsidP="00947D29">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947D29">
        <w:rPr>
          <w:rFonts w:ascii="Times New Roman" w:eastAsia="Times New Roman" w:hAnsi="Times New Roman" w:cs="Times New Roman"/>
          <w:b/>
          <w:bCs/>
          <w:kern w:val="0"/>
          <w:sz w:val="36"/>
          <w:szCs w:val="36"/>
          <w:lang w:eastAsia="en-GB" w:bidi="hi-IN"/>
          <w14:ligatures w14:val="none"/>
        </w:rPr>
        <w:t>Feature Importance Analysis</w:t>
      </w:r>
    </w:p>
    <w:p w14:paraId="40EA41CD" w14:textId="7777777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To improve model interpretability, the relative contribution of each predictor variable was examined using the feature importance scores produced by the Random Forest model.</w:t>
      </w:r>
    </w:p>
    <w:p w14:paraId="75EB2113" w14:textId="00C6E7A9"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lastRenderedPageBreak/>
        <w:t xml:space="preserve">As illustrated in </w:t>
      </w:r>
      <w:r w:rsidRPr="00947D29">
        <w:rPr>
          <w:rFonts w:ascii="Times New Roman" w:eastAsia="Times New Roman" w:hAnsi="Times New Roman" w:cs="Times New Roman"/>
          <w:b/>
          <w:bCs/>
          <w:kern w:val="0"/>
          <w:lang w:eastAsia="en-GB" w:bidi="hi-IN"/>
          <w14:ligatures w14:val="none"/>
        </w:rPr>
        <w:t xml:space="preserve">Figure </w:t>
      </w:r>
      <w:r>
        <w:rPr>
          <w:rFonts w:ascii="Times New Roman" w:eastAsia="Times New Roman" w:hAnsi="Times New Roman" w:cs="Times New Roman"/>
          <w:b/>
          <w:bCs/>
          <w:kern w:val="0"/>
          <w:lang w:eastAsia="en-GB" w:bidi="hi-IN"/>
          <w14:ligatures w14:val="none"/>
        </w:rPr>
        <w:t>5</w:t>
      </w:r>
      <w:r w:rsidRPr="00947D29">
        <w:rPr>
          <w:rFonts w:ascii="Times New Roman" w:eastAsia="Times New Roman" w:hAnsi="Times New Roman" w:cs="Times New Roman"/>
          <w:kern w:val="0"/>
          <w:lang w:eastAsia="en-GB" w:bidi="hi-IN"/>
          <w14:ligatures w14:val="none"/>
        </w:rPr>
        <w:t xml:space="preserve">, the </w:t>
      </w:r>
      <w:r w:rsidRPr="00947D29">
        <w:rPr>
          <w:rFonts w:ascii="Times New Roman" w:eastAsia="Times New Roman" w:hAnsi="Times New Roman" w:cs="Times New Roman"/>
          <w:b/>
          <w:bCs/>
          <w:kern w:val="0"/>
          <w:lang w:eastAsia="en-GB" w:bidi="hi-IN"/>
          <w14:ligatures w14:val="none"/>
        </w:rPr>
        <w:t>loan-to-income ratio (</w:t>
      </w:r>
      <w:proofErr w:type="spellStart"/>
      <w:r w:rsidRPr="00947D29">
        <w:rPr>
          <w:rFonts w:ascii="Courier New" w:eastAsia="Times New Roman" w:hAnsi="Courier New" w:cs="Courier New"/>
          <w:b/>
          <w:bCs/>
          <w:kern w:val="0"/>
          <w:sz w:val="20"/>
          <w:szCs w:val="20"/>
          <w:lang w:eastAsia="en-GB" w:bidi="hi-IN"/>
          <w14:ligatures w14:val="none"/>
        </w:rPr>
        <w:t>loan_percent_income</w:t>
      </w:r>
      <w:proofErr w:type="spellEnd"/>
      <w:r w:rsidRPr="00947D29">
        <w:rPr>
          <w:rFonts w:ascii="Times New Roman" w:eastAsia="Times New Roman" w:hAnsi="Times New Roman" w:cs="Times New Roman"/>
          <w:b/>
          <w:bCs/>
          <w:kern w:val="0"/>
          <w:lang w:eastAsia="en-GB" w:bidi="hi-IN"/>
          <w14:ligatures w14:val="none"/>
        </w:rPr>
        <w:t>)</w:t>
      </w:r>
      <w:r w:rsidRPr="00947D29">
        <w:rPr>
          <w:rFonts w:ascii="Times New Roman" w:eastAsia="Times New Roman" w:hAnsi="Times New Roman" w:cs="Times New Roman"/>
          <w:kern w:val="0"/>
          <w:lang w:eastAsia="en-GB" w:bidi="hi-IN"/>
          <w14:ligatures w14:val="none"/>
        </w:rPr>
        <w:t xml:space="preserve"> emerged as the most influential predictor of loan default, followed by </w:t>
      </w:r>
      <w:r w:rsidRPr="00947D29">
        <w:rPr>
          <w:rFonts w:ascii="Times New Roman" w:eastAsia="Times New Roman" w:hAnsi="Times New Roman" w:cs="Times New Roman"/>
          <w:b/>
          <w:bCs/>
          <w:kern w:val="0"/>
          <w:lang w:eastAsia="en-GB" w:bidi="hi-IN"/>
          <w14:ligatures w14:val="none"/>
        </w:rPr>
        <w:t>borrower income</w:t>
      </w:r>
      <w:r w:rsidRPr="00947D29">
        <w:rPr>
          <w:rFonts w:ascii="Times New Roman" w:eastAsia="Times New Roman" w:hAnsi="Times New Roman" w:cs="Times New Roman"/>
          <w:kern w:val="0"/>
          <w:lang w:eastAsia="en-GB" w:bidi="hi-IN"/>
          <w14:ligatures w14:val="none"/>
        </w:rPr>
        <w:t xml:space="preserve">, </w:t>
      </w:r>
      <w:r w:rsidRPr="00947D29">
        <w:rPr>
          <w:rFonts w:ascii="Times New Roman" w:eastAsia="Times New Roman" w:hAnsi="Times New Roman" w:cs="Times New Roman"/>
          <w:b/>
          <w:bCs/>
          <w:kern w:val="0"/>
          <w:lang w:eastAsia="en-GB" w:bidi="hi-IN"/>
          <w14:ligatures w14:val="none"/>
        </w:rPr>
        <w:t>loan interest rate</w:t>
      </w:r>
      <w:r w:rsidRPr="00947D29">
        <w:rPr>
          <w:rFonts w:ascii="Times New Roman" w:eastAsia="Times New Roman" w:hAnsi="Times New Roman" w:cs="Times New Roman"/>
          <w:kern w:val="0"/>
          <w:lang w:eastAsia="en-GB" w:bidi="hi-IN"/>
          <w14:ligatures w14:val="none"/>
        </w:rPr>
        <w:t xml:space="preserve">, and </w:t>
      </w:r>
      <w:r w:rsidRPr="00947D29">
        <w:rPr>
          <w:rFonts w:ascii="Times New Roman" w:eastAsia="Times New Roman" w:hAnsi="Times New Roman" w:cs="Times New Roman"/>
          <w:b/>
          <w:bCs/>
          <w:kern w:val="0"/>
          <w:lang w:eastAsia="en-GB" w:bidi="hi-IN"/>
          <w14:ligatures w14:val="none"/>
        </w:rPr>
        <w:t>loan amount</w:t>
      </w:r>
      <w:r w:rsidRPr="00947D29">
        <w:rPr>
          <w:rFonts w:ascii="Times New Roman" w:eastAsia="Times New Roman" w:hAnsi="Times New Roman" w:cs="Times New Roman"/>
          <w:kern w:val="0"/>
          <w:lang w:eastAsia="en-GB" w:bidi="hi-IN"/>
          <w14:ligatures w14:val="none"/>
        </w:rPr>
        <w:t>. Variables related to borrower financial capacity consistently ranked above demographic characteristics, indicating that financial indicators play a more important role in predicting repayment behaviour than personal attributes alone.</w:t>
      </w:r>
    </w:p>
    <w:p w14:paraId="5860BA4E" w14:textId="7777777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 xml:space="preserve">Interestingly, encoded categorical variables such as </w:t>
      </w:r>
      <w:r w:rsidRPr="00947D29">
        <w:rPr>
          <w:rFonts w:ascii="Times New Roman" w:eastAsia="Times New Roman" w:hAnsi="Times New Roman" w:cs="Times New Roman"/>
          <w:b/>
          <w:bCs/>
          <w:kern w:val="0"/>
          <w:lang w:eastAsia="en-GB" w:bidi="hi-IN"/>
          <w14:ligatures w14:val="none"/>
        </w:rPr>
        <w:t>loan grade</w:t>
      </w:r>
      <w:r w:rsidRPr="00947D29">
        <w:rPr>
          <w:rFonts w:ascii="Times New Roman" w:eastAsia="Times New Roman" w:hAnsi="Times New Roman" w:cs="Times New Roman"/>
          <w:kern w:val="0"/>
          <w:lang w:eastAsia="en-GB" w:bidi="hi-IN"/>
          <w14:ligatures w14:val="none"/>
        </w:rPr>
        <w:t xml:space="preserve"> and </w:t>
      </w:r>
      <w:r w:rsidRPr="00947D29">
        <w:rPr>
          <w:rFonts w:ascii="Times New Roman" w:eastAsia="Times New Roman" w:hAnsi="Times New Roman" w:cs="Times New Roman"/>
          <w:b/>
          <w:bCs/>
          <w:kern w:val="0"/>
          <w:lang w:eastAsia="en-GB" w:bidi="hi-IN"/>
          <w14:ligatures w14:val="none"/>
        </w:rPr>
        <w:t>home ownership status</w:t>
      </w:r>
      <w:r w:rsidRPr="00947D29">
        <w:rPr>
          <w:rFonts w:ascii="Times New Roman" w:eastAsia="Times New Roman" w:hAnsi="Times New Roman" w:cs="Times New Roman"/>
          <w:kern w:val="0"/>
          <w:lang w:eastAsia="en-GB" w:bidi="hi-IN"/>
          <w14:ligatures w14:val="none"/>
        </w:rPr>
        <w:t xml:space="preserve"> also appeared among the ten most important predictors, demonstrating that both borrower characteristics and loan-specific attributes contribute to credit risk assessment.</w:t>
      </w:r>
    </w:p>
    <w:p w14:paraId="723E845B" w14:textId="77777777" w:rsidR="00947D29" w:rsidRPr="00947D29" w:rsidRDefault="00947D29" w:rsidP="00947D2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47D29">
        <w:rPr>
          <w:rFonts w:ascii="Times New Roman" w:eastAsia="Times New Roman" w:hAnsi="Times New Roman" w:cs="Times New Roman"/>
          <w:b/>
          <w:bCs/>
          <w:kern w:val="0"/>
          <w:sz w:val="27"/>
          <w:szCs w:val="27"/>
          <w:lang w:eastAsia="en-GB" w:bidi="hi-IN"/>
          <w14:ligatures w14:val="none"/>
        </w:rPr>
        <w:t>Figure 6. Top 10 Feature Importances</w:t>
      </w:r>
    </w:p>
    <w:p w14:paraId="3F592276" w14:textId="77777777" w:rsidR="00947D29" w:rsidRDefault="00947D29" w:rsidP="00947D29">
      <w:pPr>
        <w:spacing w:before="100" w:beforeAutospacing="1" w:after="100" w:afterAutospacing="1"/>
        <w:rPr>
          <w:rFonts w:ascii="Times New Roman" w:eastAsia="Times New Roman" w:hAnsi="Times New Roman" w:cs="Times New Roman"/>
          <w:b/>
          <w:bCs/>
          <w:kern w:val="0"/>
          <w:lang w:eastAsia="en-GB" w:bidi="hi-IN"/>
          <w14:ligatures w14:val="none"/>
        </w:rPr>
      </w:pPr>
      <w:r>
        <w:rPr>
          <w:rFonts w:ascii="Times New Roman" w:eastAsia="Times New Roman" w:hAnsi="Times New Roman" w:cs="Times New Roman"/>
          <w:b/>
          <w:bCs/>
          <w:noProof/>
          <w:kern w:val="0"/>
          <w:lang w:eastAsia="en-GB" w:bidi="hi-IN"/>
        </w:rPr>
        <w:drawing>
          <wp:inline distT="0" distB="0" distL="0" distR="0" wp14:anchorId="4E42D5E1" wp14:editId="15213C28">
            <wp:extent cx="3641368" cy="2154725"/>
            <wp:effectExtent l="0" t="0" r="3810" b="4445"/>
            <wp:docPr id="1374298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8464" name="Picture 13742984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7314" cy="2181913"/>
                    </a:xfrm>
                    <a:prstGeom prst="rect">
                      <a:avLst/>
                    </a:prstGeom>
                  </pic:spPr>
                </pic:pic>
              </a:graphicData>
            </a:graphic>
          </wp:inline>
        </w:drawing>
      </w:r>
    </w:p>
    <w:p w14:paraId="1A0D5F4E" w14:textId="0D52DF9C"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b/>
          <w:bCs/>
          <w:kern w:val="0"/>
          <w:lang w:eastAsia="en-GB" w:bidi="hi-IN"/>
          <w14:ligatures w14:val="none"/>
        </w:rPr>
        <w:t>Figure 6:</w:t>
      </w:r>
      <w:r w:rsidRPr="00947D29">
        <w:rPr>
          <w:rFonts w:ascii="Times New Roman" w:eastAsia="Times New Roman" w:hAnsi="Times New Roman" w:cs="Times New Roman"/>
          <w:kern w:val="0"/>
          <w:lang w:eastAsia="en-GB" w:bidi="hi-IN"/>
          <w14:ligatures w14:val="none"/>
        </w:rPr>
        <w:t xml:space="preserve"> Relative importance of predictor variables in the Random Forest model. The loan-to-income ratio, borrower income, and loan interest rate were identified as the most influential determinants of loan default.</w:t>
      </w:r>
    </w:p>
    <w:p w14:paraId="0E0E004A" w14:textId="62E37C9F" w:rsidR="00947D29" w:rsidRPr="00947D29" w:rsidRDefault="00947D29" w:rsidP="00947D29">
      <w:pPr>
        <w:rPr>
          <w:rFonts w:ascii="Times New Roman" w:eastAsia="Times New Roman" w:hAnsi="Times New Roman" w:cs="Times New Roman"/>
          <w:kern w:val="0"/>
          <w:lang w:eastAsia="en-GB" w:bidi="hi-IN"/>
          <w14:ligatures w14:val="none"/>
        </w:rPr>
      </w:pPr>
    </w:p>
    <w:p w14:paraId="4A2DDF43" w14:textId="77777777" w:rsidR="00947D29" w:rsidRPr="00947D29" w:rsidRDefault="00947D29" w:rsidP="00947D29">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947D29">
        <w:rPr>
          <w:rFonts w:ascii="Times New Roman" w:eastAsia="Times New Roman" w:hAnsi="Times New Roman" w:cs="Times New Roman"/>
          <w:b/>
          <w:bCs/>
          <w:kern w:val="0"/>
          <w:sz w:val="36"/>
          <w:szCs w:val="36"/>
          <w:lang w:eastAsia="en-GB" w:bidi="hi-IN"/>
          <w14:ligatures w14:val="none"/>
        </w:rPr>
        <w:t>ROC Curve Analysis</w:t>
      </w:r>
    </w:p>
    <w:p w14:paraId="5CDAF903" w14:textId="7777777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The Receiver Operating Characteristic (ROC) curve further confirmed the superior discriminatory ability of the Random Forest classifier.</w:t>
      </w:r>
    </w:p>
    <w:p w14:paraId="578FC29A" w14:textId="7777777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 xml:space="preserve">With an </w:t>
      </w:r>
      <w:r w:rsidRPr="00947D29">
        <w:rPr>
          <w:rFonts w:ascii="Times New Roman" w:eastAsia="Times New Roman" w:hAnsi="Times New Roman" w:cs="Times New Roman"/>
          <w:b/>
          <w:bCs/>
          <w:kern w:val="0"/>
          <w:lang w:eastAsia="en-GB" w:bidi="hi-IN"/>
          <w14:ligatures w14:val="none"/>
        </w:rPr>
        <w:t>Area Under the Curve (ROC-AUC) of 0.929</w:t>
      </w:r>
      <w:r w:rsidRPr="00947D29">
        <w:rPr>
          <w:rFonts w:ascii="Times New Roman" w:eastAsia="Times New Roman" w:hAnsi="Times New Roman" w:cs="Times New Roman"/>
          <w:kern w:val="0"/>
          <w:lang w:eastAsia="en-GB" w:bidi="hi-IN"/>
          <w14:ligatures w14:val="none"/>
        </w:rPr>
        <w:t>, Random Forest demonstrated an excellent ability to distinguish between borrowers who eventually defaulted and those who successfully repaid their loans. Compared with Logistic Regression (0.867) and Decision Tree (0.841), the Random Forest model consistently achieved a higher True Positive Rate across a wide range of False Positive Rates, indicating stronger overall classification performance.</w:t>
      </w:r>
    </w:p>
    <w:p w14:paraId="412977F8" w14:textId="0DF09DD4" w:rsidR="00947D29" w:rsidRPr="00947D29" w:rsidRDefault="00947D29" w:rsidP="00947D29">
      <w:pPr>
        <w:rPr>
          <w:rFonts w:ascii="Times New Roman" w:eastAsia="Times New Roman" w:hAnsi="Times New Roman" w:cs="Times New Roman"/>
          <w:kern w:val="0"/>
          <w:lang w:eastAsia="en-GB" w:bidi="hi-IN"/>
          <w14:ligatures w14:val="none"/>
        </w:rPr>
      </w:pPr>
    </w:p>
    <w:p w14:paraId="6EEC3FC1" w14:textId="77777777" w:rsidR="00947D29" w:rsidRPr="00947D29" w:rsidRDefault="00947D29" w:rsidP="00947D2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47D29">
        <w:rPr>
          <w:rFonts w:ascii="Times New Roman" w:eastAsia="Times New Roman" w:hAnsi="Times New Roman" w:cs="Times New Roman"/>
          <w:b/>
          <w:bCs/>
          <w:kern w:val="0"/>
          <w:sz w:val="27"/>
          <w:szCs w:val="27"/>
          <w:lang w:eastAsia="en-GB" w:bidi="hi-IN"/>
          <w14:ligatures w14:val="none"/>
        </w:rPr>
        <w:t>Figure 7. ROC Curve Comparison</w:t>
      </w:r>
    </w:p>
    <w:p w14:paraId="0EEE5CD0" w14:textId="08799E84" w:rsidR="00947D29" w:rsidRDefault="00947D29" w:rsidP="00947D29">
      <w:pPr>
        <w:spacing w:before="100" w:beforeAutospacing="1" w:after="100" w:afterAutospacing="1"/>
        <w:rPr>
          <w:rFonts w:ascii="Times New Roman" w:eastAsia="Times New Roman" w:hAnsi="Times New Roman" w:cs="Times New Roman"/>
          <w:b/>
          <w:bCs/>
          <w:kern w:val="0"/>
          <w:lang w:eastAsia="en-GB" w:bidi="hi-IN"/>
          <w14:ligatures w14:val="none"/>
        </w:rPr>
      </w:pPr>
      <w:r>
        <w:rPr>
          <w:rFonts w:ascii="Times New Roman" w:eastAsia="Times New Roman" w:hAnsi="Times New Roman" w:cs="Times New Roman"/>
          <w:b/>
          <w:bCs/>
          <w:noProof/>
          <w:kern w:val="0"/>
          <w:lang w:eastAsia="en-GB" w:bidi="hi-IN"/>
        </w:rPr>
        <w:lastRenderedPageBreak/>
        <w:drawing>
          <wp:inline distT="0" distB="0" distL="0" distR="0" wp14:anchorId="21738412" wp14:editId="5B7AE7F3">
            <wp:extent cx="2109792" cy="1892174"/>
            <wp:effectExtent l="0" t="0" r="0" b="635"/>
            <wp:docPr id="16037598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59818" name="Picture 16037598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4069" cy="1913947"/>
                    </a:xfrm>
                    <a:prstGeom prst="rect">
                      <a:avLst/>
                    </a:prstGeom>
                  </pic:spPr>
                </pic:pic>
              </a:graphicData>
            </a:graphic>
          </wp:inline>
        </w:drawing>
      </w:r>
      <w:r>
        <w:rPr>
          <w:rFonts w:ascii="Times New Roman" w:eastAsia="Times New Roman" w:hAnsi="Times New Roman" w:cs="Times New Roman"/>
          <w:b/>
          <w:bCs/>
          <w:kern w:val="0"/>
          <w:lang w:eastAsia="en-GB" w:bidi="hi-IN"/>
          <w14:ligatures w14:val="none"/>
        </w:rPr>
        <w:tab/>
      </w:r>
      <w:r>
        <w:rPr>
          <w:rFonts w:ascii="Times New Roman" w:eastAsia="Times New Roman" w:hAnsi="Times New Roman" w:cs="Times New Roman"/>
          <w:b/>
          <w:bCs/>
          <w:kern w:val="0"/>
          <w:lang w:eastAsia="en-GB" w:bidi="hi-IN"/>
          <w14:ligatures w14:val="none"/>
        </w:rPr>
        <w:tab/>
      </w:r>
      <w:r>
        <w:rPr>
          <w:rFonts w:ascii="Times New Roman" w:eastAsia="Times New Roman" w:hAnsi="Times New Roman" w:cs="Times New Roman"/>
          <w:b/>
          <w:bCs/>
          <w:kern w:val="0"/>
          <w:lang w:eastAsia="en-GB" w:bidi="hi-IN"/>
          <w14:ligatures w14:val="none"/>
        </w:rPr>
        <w:tab/>
      </w:r>
      <w:r>
        <w:rPr>
          <w:rFonts w:ascii="Times New Roman" w:eastAsia="Times New Roman" w:hAnsi="Times New Roman" w:cs="Times New Roman"/>
          <w:b/>
          <w:bCs/>
          <w:noProof/>
          <w:kern w:val="0"/>
          <w:lang w:eastAsia="en-GB" w:bidi="hi-IN"/>
        </w:rPr>
        <w:drawing>
          <wp:inline distT="0" distB="0" distL="0" distR="0" wp14:anchorId="1EE5A9F3" wp14:editId="057B04FC">
            <wp:extent cx="2113701" cy="1895680"/>
            <wp:effectExtent l="0" t="0" r="0" b="0"/>
            <wp:docPr id="237574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4126" name="Picture 2375741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54628" cy="1932386"/>
                    </a:xfrm>
                    <a:prstGeom prst="rect">
                      <a:avLst/>
                    </a:prstGeom>
                  </pic:spPr>
                </pic:pic>
              </a:graphicData>
            </a:graphic>
          </wp:inline>
        </w:drawing>
      </w:r>
    </w:p>
    <w:p w14:paraId="5701CF96" w14:textId="659DFC91" w:rsidR="00947D29" w:rsidRDefault="00947D29" w:rsidP="00947D29">
      <w:pPr>
        <w:spacing w:before="100" w:beforeAutospacing="1" w:after="100" w:afterAutospacing="1"/>
        <w:rPr>
          <w:rFonts w:ascii="Times New Roman" w:eastAsia="Times New Roman" w:hAnsi="Times New Roman" w:cs="Times New Roman"/>
          <w:b/>
          <w:bCs/>
          <w:kern w:val="0"/>
          <w:lang w:eastAsia="en-GB" w:bidi="hi-IN"/>
          <w14:ligatures w14:val="none"/>
        </w:rPr>
      </w:pPr>
    </w:p>
    <w:p w14:paraId="341FF666" w14:textId="4696FF17" w:rsidR="00947D29" w:rsidRPr="00947D29" w:rsidRDefault="00947D29" w:rsidP="00947D29">
      <w:pPr>
        <w:spacing w:before="100" w:beforeAutospacing="1" w:after="100" w:afterAutospacing="1"/>
        <w:jc w:val="center"/>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b/>
          <w:bCs/>
          <w:noProof/>
          <w:kern w:val="0"/>
          <w:lang w:eastAsia="en-GB" w:bidi="hi-IN"/>
        </w:rPr>
        <w:drawing>
          <wp:inline distT="0" distB="0" distL="0" distR="0" wp14:anchorId="7EEDD789" wp14:editId="64755CEE">
            <wp:extent cx="2716040" cy="2397278"/>
            <wp:effectExtent l="0" t="0" r="1905" b="3175"/>
            <wp:docPr id="2032521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21202" name="Picture 2032521202"/>
                    <pic:cNvPicPr/>
                  </pic:nvPicPr>
                  <pic:blipFill rotWithShape="1">
                    <a:blip r:embed="rId18" cstate="print">
                      <a:extLst>
                        <a:ext uri="{28A0092B-C50C-407E-A947-70E740481C1C}">
                          <a14:useLocalDpi xmlns:a14="http://schemas.microsoft.com/office/drawing/2010/main" val="0"/>
                        </a:ext>
                      </a:extLst>
                    </a:blip>
                    <a:srcRect t="1585"/>
                    <a:stretch>
                      <a:fillRect/>
                    </a:stretch>
                  </pic:blipFill>
                  <pic:spPr bwMode="auto">
                    <a:xfrm>
                      <a:off x="0" y="0"/>
                      <a:ext cx="2742517" cy="2420647"/>
                    </a:xfrm>
                    <a:prstGeom prst="rect">
                      <a:avLst/>
                    </a:prstGeom>
                    <a:ln>
                      <a:noFill/>
                    </a:ln>
                    <a:extLst>
                      <a:ext uri="{53640926-AAD7-44D8-BBD7-CCE9431645EC}">
                        <a14:shadowObscured xmlns:a14="http://schemas.microsoft.com/office/drawing/2010/main"/>
                      </a:ext>
                    </a:extLst>
                  </pic:spPr>
                </pic:pic>
              </a:graphicData>
            </a:graphic>
          </wp:inline>
        </w:drawing>
      </w:r>
    </w:p>
    <w:p w14:paraId="493C8072" w14:textId="77777777" w:rsidR="00947D29" w:rsidRPr="00947D29" w:rsidRDefault="00947D29" w:rsidP="00947D29">
      <w:p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b/>
          <w:bCs/>
          <w:kern w:val="0"/>
          <w:lang w:eastAsia="en-GB" w:bidi="hi-IN"/>
          <w14:ligatures w14:val="none"/>
        </w:rPr>
        <w:t>Figure 7:</w:t>
      </w:r>
      <w:r w:rsidRPr="00947D29">
        <w:rPr>
          <w:rFonts w:ascii="Times New Roman" w:eastAsia="Times New Roman" w:hAnsi="Times New Roman" w:cs="Times New Roman"/>
          <w:kern w:val="0"/>
          <w:lang w:eastAsia="en-GB" w:bidi="hi-IN"/>
          <w14:ligatures w14:val="none"/>
        </w:rPr>
        <w:t xml:space="preserve"> ROC curve comparison for the three machine learning models. Random Forest achieved the highest Area Under the Curve (ROC-AUC = 0.929), indicating the strongest overall ability to discriminate between defaulting and non-defaulting borrowers.</w:t>
      </w:r>
    </w:p>
    <w:p w14:paraId="311863A4" w14:textId="13DC8540" w:rsidR="00947D29" w:rsidRPr="00947D29" w:rsidRDefault="00947D29" w:rsidP="00947D29">
      <w:pPr>
        <w:rPr>
          <w:rFonts w:ascii="Times New Roman" w:eastAsia="Times New Roman" w:hAnsi="Times New Roman" w:cs="Times New Roman"/>
          <w:kern w:val="0"/>
          <w:lang w:eastAsia="en-GB" w:bidi="hi-IN"/>
          <w14:ligatures w14:val="none"/>
        </w:rPr>
      </w:pPr>
    </w:p>
    <w:p w14:paraId="0FB35655" w14:textId="77777777" w:rsidR="00947D29" w:rsidRPr="00947D29" w:rsidRDefault="00947D29" w:rsidP="00947D2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47D29">
        <w:rPr>
          <w:rFonts w:ascii="Times New Roman" w:eastAsia="Times New Roman" w:hAnsi="Times New Roman" w:cs="Times New Roman"/>
          <w:b/>
          <w:bCs/>
          <w:kern w:val="0"/>
          <w:sz w:val="27"/>
          <w:szCs w:val="27"/>
          <w:lang w:eastAsia="en-GB" w:bidi="hi-IN"/>
          <w14:ligatures w14:val="none"/>
        </w:rPr>
        <w:t>Key Findings</w:t>
      </w:r>
    </w:p>
    <w:p w14:paraId="6E03C6DB" w14:textId="77777777" w:rsidR="00947D29" w:rsidRPr="00947D29" w:rsidRDefault="00947D29" w:rsidP="00947D29">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 xml:space="preserve">Random Forest achieved the best overall predictive performance, with a </w:t>
      </w:r>
      <w:r w:rsidRPr="00947D29">
        <w:rPr>
          <w:rFonts w:ascii="Times New Roman" w:eastAsia="Times New Roman" w:hAnsi="Times New Roman" w:cs="Times New Roman"/>
          <w:b/>
          <w:bCs/>
          <w:kern w:val="0"/>
          <w:lang w:eastAsia="en-GB" w:bidi="hi-IN"/>
          <w14:ligatures w14:val="none"/>
        </w:rPr>
        <w:t>ROC-AUC of 0.929</w:t>
      </w:r>
      <w:r w:rsidRPr="00947D29">
        <w:rPr>
          <w:rFonts w:ascii="Times New Roman" w:eastAsia="Times New Roman" w:hAnsi="Times New Roman" w:cs="Times New Roman"/>
          <w:kern w:val="0"/>
          <w:lang w:eastAsia="en-GB" w:bidi="hi-IN"/>
          <w14:ligatures w14:val="none"/>
        </w:rPr>
        <w:t xml:space="preserve">, making it the preferred model for credit risk prediction. </w:t>
      </w:r>
    </w:p>
    <w:p w14:paraId="21F0A071" w14:textId="77777777" w:rsidR="00947D29" w:rsidRPr="00947D29" w:rsidRDefault="00947D29" w:rsidP="00947D29">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 xml:space="preserve">Logistic Regression provided a competitive baseline model with good discriminatory power but lower Recall and F1-score. </w:t>
      </w:r>
    </w:p>
    <w:p w14:paraId="2747E3A6" w14:textId="77777777" w:rsidR="00947D29" w:rsidRPr="00947D29" w:rsidRDefault="00947D29" w:rsidP="00947D29">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 xml:space="preserve">Decision Tree identified a larger proportion of defaulting borrowers but sacrificed Precision and overall classification performance. </w:t>
      </w:r>
    </w:p>
    <w:p w14:paraId="0BF50D8E" w14:textId="77777777" w:rsidR="00947D29" w:rsidRPr="00947D29" w:rsidRDefault="00947D29" w:rsidP="00947D29">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 xml:space="preserve">Financial variables—particularly </w:t>
      </w:r>
      <w:r w:rsidRPr="00947D29">
        <w:rPr>
          <w:rFonts w:ascii="Times New Roman" w:eastAsia="Times New Roman" w:hAnsi="Times New Roman" w:cs="Times New Roman"/>
          <w:b/>
          <w:bCs/>
          <w:kern w:val="0"/>
          <w:lang w:eastAsia="en-GB" w:bidi="hi-IN"/>
          <w14:ligatures w14:val="none"/>
        </w:rPr>
        <w:t>loan-to-income ratio</w:t>
      </w:r>
      <w:r w:rsidRPr="00947D29">
        <w:rPr>
          <w:rFonts w:ascii="Times New Roman" w:eastAsia="Times New Roman" w:hAnsi="Times New Roman" w:cs="Times New Roman"/>
          <w:kern w:val="0"/>
          <w:lang w:eastAsia="en-GB" w:bidi="hi-IN"/>
          <w14:ligatures w14:val="none"/>
        </w:rPr>
        <w:t xml:space="preserve">, </w:t>
      </w:r>
      <w:r w:rsidRPr="00947D29">
        <w:rPr>
          <w:rFonts w:ascii="Times New Roman" w:eastAsia="Times New Roman" w:hAnsi="Times New Roman" w:cs="Times New Roman"/>
          <w:b/>
          <w:bCs/>
          <w:kern w:val="0"/>
          <w:lang w:eastAsia="en-GB" w:bidi="hi-IN"/>
          <w14:ligatures w14:val="none"/>
        </w:rPr>
        <w:t>borrower income</w:t>
      </w:r>
      <w:r w:rsidRPr="00947D29">
        <w:rPr>
          <w:rFonts w:ascii="Times New Roman" w:eastAsia="Times New Roman" w:hAnsi="Times New Roman" w:cs="Times New Roman"/>
          <w:kern w:val="0"/>
          <w:lang w:eastAsia="en-GB" w:bidi="hi-IN"/>
          <w14:ligatures w14:val="none"/>
        </w:rPr>
        <w:t xml:space="preserve">, and </w:t>
      </w:r>
      <w:r w:rsidRPr="00947D29">
        <w:rPr>
          <w:rFonts w:ascii="Times New Roman" w:eastAsia="Times New Roman" w:hAnsi="Times New Roman" w:cs="Times New Roman"/>
          <w:b/>
          <w:bCs/>
          <w:kern w:val="0"/>
          <w:lang w:eastAsia="en-GB" w:bidi="hi-IN"/>
          <w14:ligatures w14:val="none"/>
        </w:rPr>
        <w:t>interest rate</w:t>
      </w:r>
      <w:r w:rsidRPr="00947D29">
        <w:rPr>
          <w:rFonts w:ascii="Times New Roman" w:eastAsia="Times New Roman" w:hAnsi="Times New Roman" w:cs="Times New Roman"/>
          <w:kern w:val="0"/>
          <w:lang w:eastAsia="en-GB" w:bidi="hi-IN"/>
          <w14:ligatures w14:val="none"/>
        </w:rPr>
        <w:t xml:space="preserve">—were the strongest predictors of loan default. </w:t>
      </w:r>
    </w:p>
    <w:p w14:paraId="5315C78B" w14:textId="77777777" w:rsidR="00947D29" w:rsidRPr="00947D29" w:rsidRDefault="00947D29" w:rsidP="00947D29">
      <w:pPr>
        <w:numPr>
          <w:ilvl w:val="0"/>
          <w:numId w:val="4"/>
        </w:numPr>
        <w:spacing w:before="100" w:beforeAutospacing="1" w:after="100" w:afterAutospacing="1"/>
        <w:rPr>
          <w:rFonts w:ascii="Times New Roman" w:eastAsia="Times New Roman" w:hAnsi="Times New Roman" w:cs="Times New Roman"/>
          <w:kern w:val="0"/>
          <w:lang w:eastAsia="en-GB" w:bidi="hi-IN"/>
          <w14:ligatures w14:val="none"/>
        </w:rPr>
      </w:pPr>
      <w:r w:rsidRPr="00947D29">
        <w:rPr>
          <w:rFonts w:ascii="Times New Roman" w:eastAsia="Times New Roman" w:hAnsi="Times New Roman" w:cs="Times New Roman"/>
          <w:kern w:val="0"/>
          <w:lang w:eastAsia="en-GB" w:bidi="hi-IN"/>
          <w14:ligatures w14:val="none"/>
        </w:rPr>
        <w:t>The results demonstrate that ensemble learning methods can substantially improve predictive accuracy while maintaining strong interpretability through feature importance analysis.</w:t>
      </w:r>
    </w:p>
    <w:p w14:paraId="654F8363" w14:textId="02EADF7E" w:rsidR="00E02851" w:rsidRDefault="00947D29" w:rsidP="00947D29">
      <w:pPr>
        <w:pStyle w:val="pdq2pgselectionanchorcontainer"/>
        <w:rPr>
          <w:rStyle w:val="Emphasis"/>
          <w:i w:val="0"/>
          <w:iCs w:val="0"/>
        </w:rPr>
      </w:pPr>
      <w:r w:rsidRPr="00947D29">
        <w:rPr>
          <w:rStyle w:val="Emphasis"/>
          <w:i w:val="0"/>
          <w:iCs w:val="0"/>
        </w:rPr>
        <w:lastRenderedPageBreak/>
        <w:t>Having identified Random Forest as the best-performing classifier, the final stage of the analysis focuses on interpreting individual predictions and evaluating the business implications of model errors in a credit risk management context.</w:t>
      </w:r>
    </w:p>
    <w:p w14:paraId="3875D2DD" w14:textId="3AFBFD36" w:rsidR="002007A2" w:rsidRPr="002007A2" w:rsidRDefault="002007A2" w:rsidP="002007A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007A2">
        <w:rPr>
          <w:rFonts w:ascii="Times New Roman" w:eastAsia="Times New Roman" w:hAnsi="Times New Roman" w:cs="Times New Roman"/>
          <w:b/>
          <w:bCs/>
          <w:kern w:val="0"/>
          <w:sz w:val="36"/>
          <w:szCs w:val="36"/>
          <w:lang w:eastAsia="en-GB" w:bidi="hi-IN"/>
          <w14:ligatures w14:val="none"/>
        </w:rPr>
        <w:t xml:space="preserve">5. Business </w:t>
      </w:r>
      <w:r>
        <w:rPr>
          <w:rFonts w:ascii="Times New Roman" w:eastAsia="Times New Roman" w:hAnsi="Times New Roman" w:cs="Times New Roman"/>
          <w:b/>
          <w:bCs/>
          <w:kern w:val="0"/>
          <w:sz w:val="36"/>
          <w:szCs w:val="36"/>
          <w:lang w:eastAsia="en-GB" w:bidi="hi-IN"/>
          <w14:ligatures w14:val="none"/>
        </w:rPr>
        <w:t>Insights &amp; Recommendations</w:t>
      </w:r>
    </w:p>
    <w:p w14:paraId="1B274161" w14:textId="77777777" w:rsidR="002007A2" w:rsidRPr="002007A2" w:rsidRDefault="002007A2" w:rsidP="002007A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007A2">
        <w:rPr>
          <w:rFonts w:ascii="Times New Roman" w:eastAsia="Times New Roman" w:hAnsi="Times New Roman" w:cs="Times New Roman"/>
          <w:b/>
          <w:bCs/>
          <w:kern w:val="0"/>
          <w:sz w:val="27"/>
          <w:szCs w:val="27"/>
          <w:lang w:eastAsia="en-GB" w:bidi="hi-IN"/>
          <w14:ligatures w14:val="none"/>
        </w:rPr>
        <w:t>Model Interpretation</w:t>
      </w:r>
    </w:p>
    <w:p w14:paraId="4C03D897"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While predictive performance provides an indication of model quality, the practical value of a credit risk model lies in its ability to support lending decisions. The selected Random Forest classifier was therefore further examined through its confusion matrix, individual loan predictions, and prediction errors.</w:t>
      </w:r>
    </w:p>
    <w:p w14:paraId="4A98F518"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The confusion matrix provides a detailed summary of correct and incorrect classifications, allowing the strengths and limitations of the model to be interpreted from a business perspective.</w:t>
      </w:r>
    </w:p>
    <w:p w14:paraId="68FF6432" w14:textId="2B857472" w:rsidR="002007A2" w:rsidRPr="002007A2" w:rsidRDefault="002007A2" w:rsidP="002007A2">
      <w:pPr>
        <w:rPr>
          <w:rFonts w:ascii="Times New Roman" w:eastAsia="Times New Roman" w:hAnsi="Times New Roman" w:cs="Times New Roman"/>
          <w:kern w:val="0"/>
          <w:lang w:eastAsia="en-GB" w:bidi="hi-IN"/>
          <w14:ligatures w14:val="none"/>
        </w:rPr>
      </w:pPr>
    </w:p>
    <w:p w14:paraId="28B3C122" w14:textId="77777777" w:rsidR="002007A2" w:rsidRDefault="002007A2" w:rsidP="002007A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007A2">
        <w:rPr>
          <w:rFonts w:ascii="Times New Roman" w:eastAsia="Times New Roman" w:hAnsi="Times New Roman" w:cs="Times New Roman"/>
          <w:b/>
          <w:bCs/>
          <w:kern w:val="0"/>
          <w:sz w:val="36"/>
          <w:szCs w:val="36"/>
          <w:lang w:eastAsia="en-GB" w:bidi="hi-IN"/>
          <w14:ligatures w14:val="none"/>
        </w:rPr>
        <w:t>Figure 8. Confusion Matrix for the Random Forest Classifier</w:t>
      </w:r>
    </w:p>
    <w:p w14:paraId="231EEA55" w14:textId="39ABD471" w:rsidR="002007A2" w:rsidRPr="002007A2" w:rsidRDefault="002007A2" w:rsidP="002007A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Pr>
          <w:rFonts w:ascii="Times New Roman" w:eastAsia="Times New Roman" w:hAnsi="Times New Roman" w:cs="Times New Roman"/>
          <w:b/>
          <w:bCs/>
          <w:noProof/>
          <w:kern w:val="0"/>
          <w:sz w:val="36"/>
          <w:szCs w:val="36"/>
          <w:lang w:eastAsia="en-GB" w:bidi="hi-IN"/>
        </w:rPr>
        <w:drawing>
          <wp:inline distT="0" distB="0" distL="0" distR="0" wp14:anchorId="1001C7A6" wp14:editId="7DA0A511">
            <wp:extent cx="3028408" cy="2716039"/>
            <wp:effectExtent l="0" t="0" r="0" b="1905"/>
            <wp:docPr id="19663917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91764" name="Picture 19663917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5894" cy="2740690"/>
                    </a:xfrm>
                    <a:prstGeom prst="rect">
                      <a:avLst/>
                    </a:prstGeom>
                  </pic:spPr>
                </pic:pic>
              </a:graphicData>
            </a:graphic>
          </wp:inline>
        </w:drawing>
      </w:r>
    </w:p>
    <w:p w14:paraId="72F3B8CC"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b/>
          <w:bCs/>
          <w:kern w:val="0"/>
          <w:lang w:eastAsia="en-GB" w:bidi="hi-IN"/>
          <w14:ligatures w14:val="none"/>
        </w:rPr>
        <w:t>Figure 8:</w:t>
      </w:r>
      <w:r w:rsidRPr="002007A2">
        <w:rPr>
          <w:rFonts w:ascii="Times New Roman" w:eastAsia="Times New Roman" w:hAnsi="Times New Roman" w:cs="Times New Roman"/>
          <w:kern w:val="0"/>
          <w:lang w:eastAsia="en-GB" w:bidi="hi-IN"/>
          <w14:ligatures w14:val="none"/>
        </w:rPr>
        <w:t xml:space="preserve"> Confusion matrix for the Random Forest classifier. Out of 6,483 loan applications in the testing dataset, the model correctly classified </w:t>
      </w:r>
      <w:r w:rsidRPr="002007A2">
        <w:rPr>
          <w:rFonts w:ascii="Times New Roman" w:eastAsia="Times New Roman" w:hAnsi="Times New Roman" w:cs="Times New Roman"/>
          <w:b/>
          <w:bCs/>
          <w:kern w:val="0"/>
          <w:lang w:eastAsia="en-GB" w:bidi="hi-IN"/>
          <w14:ligatures w14:val="none"/>
        </w:rPr>
        <w:t>5,022 non-defaulting borrowers</w:t>
      </w:r>
      <w:r w:rsidRPr="002007A2">
        <w:rPr>
          <w:rFonts w:ascii="Times New Roman" w:eastAsia="Times New Roman" w:hAnsi="Times New Roman" w:cs="Times New Roman"/>
          <w:kern w:val="0"/>
          <w:lang w:eastAsia="en-GB" w:bidi="hi-IN"/>
          <w14:ligatures w14:val="none"/>
        </w:rPr>
        <w:t xml:space="preserve"> and </w:t>
      </w:r>
      <w:r w:rsidRPr="002007A2">
        <w:rPr>
          <w:rFonts w:ascii="Times New Roman" w:eastAsia="Times New Roman" w:hAnsi="Times New Roman" w:cs="Times New Roman"/>
          <w:b/>
          <w:bCs/>
          <w:kern w:val="0"/>
          <w:lang w:eastAsia="en-GB" w:bidi="hi-IN"/>
          <w14:ligatures w14:val="none"/>
        </w:rPr>
        <w:t>1,033 defaulting borrowers</w:t>
      </w:r>
      <w:r w:rsidRPr="002007A2">
        <w:rPr>
          <w:rFonts w:ascii="Times New Roman" w:eastAsia="Times New Roman" w:hAnsi="Times New Roman" w:cs="Times New Roman"/>
          <w:kern w:val="0"/>
          <w:lang w:eastAsia="en-GB" w:bidi="hi-IN"/>
          <w14:ligatures w14:val="none"/>
        </w:rPr>
        <w:t xml:space="preserve">, while producing only </w:t>
      </w:r>
      <w:r w:rsidRPr="002007A2">
        <w:rPr>
          <w:rFonts w:ascii="Times New Roman" w:eastAsia="Times New Roman" w:hAnsi="Times New Roman" w:cs="Times New Roman"/>
          <w:b/>
          <w:bCs/>
          <w:kern w:val="0"/>
          <w:lang w:eastAsia="en-GB" w:bidi="hi-IN"/>
          <w14:ligatures w14:val="none"/>
        </w:rPr>
        <w:t>43 False Positives</w:t>
      </w:r>
      <w:r w:rsidRPr="002007A2">
        <w:rPr>
          <w:rFonts w:ascii="Times New Roman" w:eastAsia="Times New Roman" w:hAnsi="Times New Roman" w:cs="Times New Roman"/>
          <w:kern w:val="0"/>
          <w:lang w:eastAsia="en-GB" w:bidi="hi-IN"/>
          <w14:ligatures w14:val="none"/>
        </w:rPr>
        <w:t xml:space="preserve"> and </w:t>
      </w:r>
      <w:r w:rsidRPr="002007A2">
        <w:rPr>
          <w:rFonts w:ascii="Times New Roman" w:eastAsia="Times New Roman" w:hAnsi="Times New Roman" w:cs="Times New Roman"/>
          <w:b/>
          <w:bCs/>
          <w:kern w:val="0"/>
          <w:lang w:eastAsia="en-GB" w:bidi="hi-IN"/>
          <w14:ligatures w14:val="none"/>
        </w:rPr>
        <w:t>385 False Negatives</w:t>
      </w:r>
      <w:r w:rsidRPr="002007A2">
        <w:rPr>
          <w:rFonts w:ascii="Times New Roman" w:eastAsia="Times New Roman" w:hAnsi="Times New Roman" w:cs="Times New Roman"/>
          <w:kern w:val="0"/>
          <w:lang w:eastAsia="en-GB" w:bidi="hi-IN"/>
          <w14:ligatures w14:val="none"/>
        </w:rPr>
        <w:t>.</w:t>
      </w:r>
    </w:p>
    <w:p w14:paraId="0B056093" w14:textId="1BB9F304" w:rsidR="002007A2" w:rsidRPr="002007A2" w:rsidRDefault="002007A2" w:rsidP="002007A2">
      <w:pPr>
        <w:rPr>
          <w:rFonts w:ascii="Times New Roman" w:eastAsia="Times New Roman" w:hAnsi="Times New Roman" w:cs="Times New Roman"/>
          <w:kern w:val="0"/>
          <w:lang w:eastAsia="en-GB" w:bidi="hi-IN"/>
          <w14:ligatures w14:val="none"/>
        </w:rPr>
      </w:pPr>
    </w:p>
    <w:p w14:paraId="6856A19F" w14:textId="77777777" w:rsidR="002007A2" w:rsidRPr="002007A2" w:rsidRDefault="002007A2" w:rsidP="002007A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007A2">
        <w:rPr>
          <w:rFonts w:ascii="Times New Roman" w:eastAsia="Times New Roman" w:hAnsi="Times New Roman" w:cs="Times New Roman"/>
          <w:b/>
          <w:bCs/>
          <w:kern w:val="0"/>
          <w:sz w:val="27"/>
          <w:szCs w:val="27"/>
          <w:lang w:eastAsia="en-GB" w:bidi="hi-IN"/>
          <w14:ligatures w14:val="none"/>
        </w:rPr>
        <w:t>Interpretation of Classification Errors</w:t>
      </w:r>
    </w:p>
    <w:p w14:paraId="5E832FC5"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lastRenderedPageBreak/>
        <w:t xml:space="preserve">The Random Forest model correctly classified the vast majority of loan applications, achieving a particularly low number of </w:t>
      </w:r>
      <w:r w:rsidRPr="002007A2">
        <w:rPr>
          <w:rFonts w:ascii="Times New Roman" w:eastAsia="Times New Roman" w:hAnsi="Times New Roman" w:cs="Times New Roman"/>
          <w:b/>
          <w:bCs/>
          <w:kern w:val="0"/>
          <w:lang w:eastAsia="en-GB" w:bidi="hi-IN"/>
          <w14:ligatures w14:val="none"/>
        </w:rPr>
        <w:t>False Positives (43)</w:t>
      </w:r>
      <w:r w:rsidRPr="002007A2">
        <w:rPr>
          <w:rFonts w:ascii="Times New Roman" w:eastAsia="Times New Roman" w:hAnsi="Times New Roman" w:cs="Times New Roman"/>
          <w:kern w:val="0"/>
          <w:lang w:eastAsia="en-GB" w:bidi="hi-IN"/>
          <w14:ligatures w14:val="none"/>
        </w:rPr>
        <w:t>. This indicates that very few creditworthy borrowers were incorrectly classified as defaulters, minimizing unnecessary loan rejections.</w:t>
      </w:r>
    </w:p>
    <w:p w14:paraId="69CC7EB1"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The model produced </w:t>
      </w:r>
      <w:r w:rsidRPr="002007A2">
        <w:rPr>
          <w:rFonts w:ascii="Times New Roman" w:eastAsia="Times New Roman" w:hAnsi="Times New Roman" w:cs="Times New Roman"/>
          <w:b/>
          <w:bCs/>
          <w:kern w:val="0"/>
          <w:lang w:eastAsia="en-GB" w:bidi="hi-IN"/>
          <w14:ligatures w14:val="none"/>
        </w:rPr>
        <w:t>385 False Negatives</w:t>
      </w:r>
      <w:r w:rsidRPr="002007A2">
        <w:rPr>
          <w:rFonts w:ascii="Times New Roman" w:eastAsia="Times New Roman" w:hAnsi="Times New Roman" w:cs="Times New Roman"/>
          <w:kern w:val="0"/>
          <w:lang w:eastAsia="en-GB" w:bidi="hi-IN"/>
          <w14:ligatures w14:val="none"/>
        </w:rPr>
        <w:t>, representing borrowers who were predicted to repay their loans but eventually defaulted. Although this number is larger than the number of False Positives, it remains relatively small compared with the total number of observations.</w:t>
      </w:r>
    </w:p>
    <w:p w14:paraId="65253C3E"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From a banking perspective, the two error types have different implications:</w:t>
      </w:r>
    </w:p>
    <w:p w14:paraId="6084FE99" w14:textId="77777777" w:rsidR="002007A2" w:rsidRPr="002007A2" w:rsidRDefault="002007A2" w:rsidP="002007A2">
      <w:pPr>
        <w:numPr>
          <w:ilvl w:val="0"/>
          <w:numId w:val="5"/>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b/>
          <w:bCs/>
          <w:kern w:val="0"/>
          <w:lang w:eastAsia="en-GB" w:bidi="hi-IN"/>
          <w14:ligatures w14:val="none"/>
        </w:rPr>
        <w:t>False Positives</w:t>
      </w:r>
      <w:r w:rsidRPr="002007A2">
        <w:rPr>
          <w:rFonts w:ascii="Times New Roman" w:eastAsia="Times New Roman" w:hAnsi="Times New Roman" w:cs="Times New Roman"/>
          <w:kern w:val="0"/>
          <w:lang w:eastAsia="en-GB" w:bidi="hi-IN"/>
          <w14:ligatures w14:val="none"/>
        </w:rPr>
        <w:t xml:space="preserve"> result in potentially profitable borrowers being denied credit, leading to lost business opportunities and reduced customer satisfaction. </w:t>
      </w:r>
    </w:p>
    <w:p w14:paraId="692818E2" w14:textId="77777777" w:rsidR="002007A2" w:rsidRPr="002007A2" w:rsidRDefault="002007A2" w:rsidP="002007A2">
      <w:pPr>
        <w:numPr>
          <w:ilvl w:val="0"/>
          <w:numId w:val="5"/>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b/>
          <w:bCs/>
          <w:kern w:val="0"/>
          <w:lang w:eastAsia="en-GB" w:bidi="hi-IN"/>
          <w14:ligatures w14:val="none"/>
        </w:rPr>
        <w:t>False Negatives</w:t>
      </w:r>
      <w:r w:rsidRPr="002007A2">
        <w:rPr>
          <w:rFonts w:ascii="Times New Roman" w:eastAsia="Times New Roman" w:hAnsi="Times New Roman" w:cs="Times New Roman"/>
          <w:kern w:val="0"/>
          <w:lang w:eastAsia="en-GB" w:bidi="hi-IN"/>
          <w14:ligatures w14:val="none"/>
        </w:rPr>
        <w:t xml:space="preserve"> are generally more costly because they involve approving loans that ultimately default, exposing the lender to financial losses. </w:t>
      </w:r>
    </w:p>
    <w:p w14:paraId="424F861F"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The high Precision (96.0%) achieved by the Random Forest model indicates that when the model predicts a borrower will default, it is usually correct. This makes the classifier particularly valuable for identifying high-risk applicants during the credit approval process.</w:t>
      </w:r>
    </w:p>
    <w:p w14:paraId="7FD91BF0" w14:textId="47AC9F8B" w:rsidR="002007A2" w:rsidRPr="002007A2" w:rsidRDefault="002007A2" w:rsidP="002007A2">
      <w:pPr>
        <w:rPr>
          <w:rFonts w:ascii="Times New Roman" w:eastAsia="Times New Roman" w:hAnsi="Times New Roman" w:cs="Times New Roman"/>
          <w:kern w:val="0"/>
          <w:lang w:eastAsia="en-GB" w:bidi="hi-IN"/>
          <w14:ligatures w14:val="none"/>
        </w:rPr>
      </w:pPr>
    </w:p>
    <w:p w14:paraId="4711CDBC" w14:textId="77777777" w:rsidR="002007A2" w:rsidRPr="002007A2" w:rsidRDefault="002007A2" w:rsidP="002007A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007A2">
        <w:rPr>
          <w:rFonts w:ascii="Times New Roman" w:eastAsia="Times New Roman" w:hAnsi="Times New Roman" w:cs="Times New Roman"/>
          <w:b/>
          <w:bCs/>
          <w:kern w:val="0"/>
          <w:sz w:val="27"/>
          <w:szCs w:val="27"/>
          <w:lang w:eastAsia="en-GB" w:bidi="hi-IN"/>
          <w14:ligatures w14:val="none"/>
        </w:rPr>
        <w:t>Individual Loan Prediction</w:t>
      </w:r>
    </w:p>
    <w:p w14:paraId="110E6F67"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To demonstrate practical deployment, the trained Random Forest model was applied to an unseen loan application from the testing dataset.</w:t>
      </w:r>
    </w:p>
    <w:p w14:paraId="71D48E8B"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The model predicted the applicant to be </w:t>
      </w:r>
      <w:r w:rsidRPr="002007A2">
        <w:rPr>
          <w:rFonts w:ascii="Times New Roman" w:eastAsia="Times New Roman" w:hAnsi="Times New Roman" w:cs="Times New Roman"/>
          <w:b/>
          <w:bCs/>
          <w:kern w:val="0"/>
          <w:lang w:eastAsia="en-GB" w:bidi="hi-IN"/>
          <w14:ligatures w14:val="none"/>
        </w:rPr>
        <w:t>Non-default</w:t>
      </w:r>
      <w:r w:rsidRPr="002007A2">
        <w:rPr>
          <w:rFonts w:ascii="Times New Roman" w:eastAsia="Times New Roman" w:hAnsi="Times New Roman" w:cs="Times New Roman"/>
          <w:kern w:val="0"/>
          <w:lang w:eastAsia="en-GB" w:bidi="hi-IN"/>
          <w14:ligatures w14:val="none"/>
        </w:rPr>
        <w:t xml:space="preserve">, with an estimated </w:t>
      </w:r>
      <w:r w:rsidRPr="002007A2">
        <w:rPr>
          <w:rFonts w:ascii="Times New Roman" w:eastAsia="Times New Roman" w:hAnsi="Times New Roman" w:cs="Times New Roman"/>
          <w:b/>
          <w:bCs/>
          <w:kern w:val="0"/>
          <w:lang w:eastAsia="en-GB" w:bidi="hi-IN"/>
          <w14:ligatures w14:val="none"/>
        </w:rPr>
        <w:t>Probability of Default of only 1.00%</w:t>
      </w:r>
      <w:r w:rsidRPr="002007A2">
        <w:rPr>
          <w:rFonts w:ascii="Times New Roman" w:eastAsia="Times New Roman" w:hAnsi="Times New Roman" w:cs="Times New Roman"/>
          <w:kern w:val="0"/>
          <w:lang w:eastAsia="en-GB" w:bidi="hi-IN"/>
          <w14:ligatures w14:val="none"/>
        </w:rPr>
        <w:t>. Rather than providing only a binary classification, the model also outputs an estimated probability of default, enabling lenders to rank borrowers according to their level of risk and incorporate probability thresholds into lending policies.</w:t>
      </w:r>
    </w:p>
    <w:p w14:paraId="026D5952" w14:textId="44716F16" w:rsidR="002007A2" w:rsidRPr="002007A2" w:rsidRDefault="002007A2" w:rsidP="002007A2">
      <w:pPr>
        <w:rPr>
          <w:rFonts w:ascii="Times New Roman" w:eastAsia="Times New Roman" w:hAnsi="Times New Roman" w:cs="Times New Roman"/>
          <w:kern w:val="0"/>
          <w:lang w:eastAsia="en-GB" w:bidi="hi-IN"/>
          <w14:ligatures w14:val="none"/>
        </w:rPr>
      </w:pPr>
    </w:p>
    <w:p w14:paraId="380844C7" w14:textId="77777777" w:rsidR="002007A2" w:rsidRPr="002007A2" w:rsidRDefault="002007A2" w:rsidP="002007A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007A2">
        <w:rPr>
          <w:rFonts w:ascii="Times New Roman" w:eastAsia="Times New Roman" w:hAnsi="Times New Roman" w:cs="Times New Roman"/>
          <w:b/>
          <w:bCs/>
          <w:kern w:val="0"/>
          <w:sz w:val="27"/>
          <w:szCs w:val="27"/>
          <w:lang w:eastAsia="en-GB" w:bidi="hi-IN"/>
          <w14:ligatures w14:val="none"/>
        </w:rPr>
        <w:t>Figure 9. Example Prediction</w:t>
      </w:r>
    </w:p>
    <w:p w14:paraId="2452FAF3" w14:textId="5BE03C32"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drawing>
          <wp:inline distT="0" distB="0" distL="0" distR="0" wp14:anchorId="447232D7" wp14:editId="043C7504">
            <wp:extent cx="3441700" cy="571500"/>
            <wp:effectExtent l="0" t="0" r="0" b="0"/>
            <wp:docPr id="2098869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9800" name="Picture 2098869800"/>
                    <pic:cNvPicPr/>
                  </pic:nvPicPr>
                  <pic:blipFill>
                    <a:blip r:embed="rId20">
                      <a:extLst>
                        <a:ext uri="{28A0092B-C50C-407E-A947-70E740481C1C}">
                          <a14:useLocalDpi xmlns:a14="http://schemas.microsoft.com/office/drawing/2010/main" val="0"/>
                        </a:ext>
                      </a:extLst>
                    </a:blip>
                    <a:stretch>
                      <a:fillRect/>
                    </a:stretch>
                  </pic:blipFill>
                  <pic:spPr>
                    <a:xfrm>
                      <a:off x="0" y="0"/>
                      <a:ext cx="3441700" cy="571500"/>
                    </a:xfrm>
                    <a:prstGeom prst="rect">
                      <a:avLst/>
                    </a:prstGeom>
                  </pic:spPr>
                </pic:pic>
              </a:graphicData>
            </a:graphic>
          </wp:inline>
        </w:drawing>
      </w:r>
    </w:p>
    <w:p w14:paraId="1E720ABB"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b/>
          <w:bCs/>
          <w:kern w:val="0"/>
          <w:lang w:eastAsia="en-GB" w:bidi="hi-IN"/>
          <w14:ligatures w14:val="none"/>
        </w:rPr>
        <w:t>Figure 9:</w:t>
      </w:r>
      <w:r w:rsidRPr="002007A2">
        <w:rPr>
          <w:rFonts w:ascii="Times New Roman" w:eastAsia="Times New Roman" w:hAnsi="Times New Roman" w:cs="Times New Roman"/>
          <w:kern w:val="0"/>
          <w:lang w:eastAsia="en-GB" w:bidi="hi-IN"/>
          <w14:ligatures w14:val="none"/>
        </w:rPr>
        <w:t xml:space="preserve"> Example of an individual loan assessment generated by the Random Forest model. The applicant was classified as a </w:t>
      </w:r>
      <w:r w:rsidRPr="002007A2">
        <w:rPr>
          <w:rFonts w:ascii="Times New Roman" w:eastAsia="Times New Roman" w:hAnsi="Times New Roman" w:cs="Times New Roman"/>
          <w:b/>
          <w:bCs/>
          <w:kern w:val="0"/>
          <w:lang w:eastAsia="en-GB" w:bidi="hi-IN"/>
          <w14:ligatures w14:val="none"/>
        </w:rPr>
        <w:t>Non-default</w:t>
      </w:r>
      <w:r w:rsidRPr="002007A2">
        <w:rPr>
          <w:rFonts w:ascii="Times New Roman" w:eastAsia="Times New Roman" w:hAnsi="Times New Roman" w:cs="Times New Roman"/>
          <w:kern w:val="0"/>
          <w:lang w:eastAsia="en-GB" w:bidi="hi-IN"/>
          <w14:ligatures w14:val="none"/>
        </w:rPr>
        <w:t xml:space="preserve"> borrower with an estimated </w:t>
      </w:r>
      <w:r w:rsidRPr="002007A2">
        <w:rPr>
          <w:rFonts w:ascii="Times New Roman" w:eastAsia="Times New Roman" w:hAnsi="Times New Roman" w:cs="Times New Roman"/>
          <w:b/>
          <w:bCs/>
          <w:kern w:val="0"/>
          <w:lang w:eastAsia="en-GB" w:bidi="hi-IN"/>
          <w14:ligatures w14:val="none"/>
        </w:rPr>
        <w:t>1.00% probability of default</w:t>
      </w:r>
      <w:r w:rsidRPr="002007A2">
        <w:rPr>
          <w:rFonts w:ascii="Times New Roman" w:eastAsia="Times New Roman" w:hAnsi="Times New Roman" w:cs="Times New Roman"/>
          <w:kern w:val="0"/>
          <w:lang w:eastAsia="en-GB" w:bidi="hi-IN"/>
          <w14:ligatures w14:val="none"/>
        </w:rPr>
        <w:t>, indicating a very low level of predicted credit risk.</w:t>
      </w:r>
    </w:p>
    <w:p w14:paraId="1812623B" w14:textId="1E61BFD8" w:rsidR="002007A2" w:rsidRPr="002007A2" w:rsidRDefault="002007A2" w:rsidP="002007A2">
      <w:pPr>
        <w:rPr>
          <w:rFonts w:ascii="Times New Roman" w:eastAsia="Times New Roman" w:hAnsi="Times New Roman" w:cs="Times New Roman"/>
          <w:kern w:val="0"/>
          <w:lang w:eastAsia="en-GB" w:bidi="hi-IN"/>
          <w14:ligatures w14:val="none"/>
        </w:rPr>
      </w:pPr>
    </w:p>
    <w:p w14:paraId="144F310D" w14:textId="77777777" w:rsidR="002007A2" w:rsidRPr="002007A2" w:rsidRDefault="002007A2" w:rsidP="002007A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007A2">
        <w:rPr>
          <w:rFonts w:ascii="Times New Roman" w:eastAsia="Times New Roman" w:hAnsi="Times New Roman" w:cs="Times New Roman"/>
          <w:b/>
          <w:bCs/>
          <w:kern w:val="0"/>
          <w:sz w:val="36"/>
          <w:szCs w:val="36"/>
          <w:lang w:eastAsia="en-GB" w:bidi="hi-IN"/>
          <w14:ligatures w14:val="none"/>
        </w:rPr>
        <w:t>Business Recommendations</w:t>
      </w:r>
    </w:p>
    <w:p w14:paraId="3D197B5E"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Based on the modelling results, the following recommendations are proposed:</w:t>
      </w:r>
    </w:p>
    <w:p w14:paraId="159E8F1B" w14:textId="77777777" w:rsidR="002007A2" w:rsidRPr="002007A2" w:rsidRDefault="002007A2" w:rsidP="002007A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lastRenderedPageBreak/>
        <w:t xml:space="preserve">Use the Random Forest classifier as a </w:t>
      </w:r>
      <w:r w:rsidRPr="002007A2">
        <w:rPr>
          <w:rFonts w:ascii="Times New Roman" w:eastAsia="Times New Roman" w:hAnsi="Times New Roman" w:cs="Times New Roman"/>
          <w:b/>
          <w:bCs/>
          <w:kern w:val="0"/>
          <w:lang w:eastAsia="en-GB" w:bidi="hi-IN"/>
          <w14:ligatures w14:val="none"/>
        </w:rPr>
        <w:t>decision-support tool</w:t>
      </w:r>
      <w:r w:rsidRPr="002007A2">
        <w:rPr>
          <w:rFonts w:ascii="Times New Roman" w:eastAsia="Times New Roman" w:hAnsi="Times New Roman" w:cs="Times New Roman"/>
          <w:kern w:val="0"/>
          <w:lang w:eastAsia="en-GB" w:bidi="hi-IN"/>
          <w14:ligatures w14:val="none"/>
        </w:rPr>
        <w:t xml:space="preserve"> during loan evaluation rather than a replacement for expert judgement. </w:t>
      </w:r>
    </w:p>
    <w:p w14:paraId="7EE4BCFF" w14:textId="77777777" w:rsidR="002007A2" w:rsidRPr="002007A2" w:rsidRDefault="002007A2" w:rsidP="002007A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Prioritize manual review for applicants predicted to have a high probability of default before final lending decisions are made. </w:t>
      </w:r>
    </w:p>
    <w:p w14:paraId="283379B3" w14:textId="77777777" w:rsidR="002007A2" w:rsidRPr="002007A2" w:rsidRDefault="002007A2" w:rsidP="002007A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Periodically retrain the model using more recent lending data to account for changing borrower behaviour and economic conditions. </w:t>
      </w:r>
    </w:p>
    <w:p w14:paraId="59D093A1" w14:textId="77777777" w:rsidR="002007A2" w:rsidRPr="002007A2" w:rsidRDefault="002007A2" w:rsidP="002007A2">
      <w:pPr>
        <w:numPr>
          <w:ilvl w:val="0"/>
          <w:numId w:val="6"/>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Complement the model with additional financial and behavioural variables, such as credit scores or repayment history, to further improve predictive performance. </w:t>
      </w:r>
    </w:p>
    <w:p w14:paraId="750C4E68"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Overall, the developed Random Forest classifier demonstrated strong predictive capability and practical applicability for credit risk assessment. The final section summarizes the key findings of the study, discusses its limitations, and outlines potential directions for future research.</w:t>
      </w:r>
    </w:p>
    <w:p w14:paraId="4CA53AA4" w14:textId="77777777" w:rsidR="002007A2" w:rsidRPr="002007A2" w:rsidRDefault="002007A2" w:rsidP="002007A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007A2">
        <w:rPr>
          <w:rFonts w:ascii="Times New Roman" w:eastAsia="Times New Roman" w:hAnsi="Times New Roman" w:cs="Times New Roman"/>
          <w:b/>
          <w:bCs/>
          <w:kern w:val="0"/>
          <w:sz w:val="36"/>
          <w:szCs w:val="36"/>
          <w:lang w:eastAsia="en-GB" w:bidi="hi-IN"/>
          <w14:ligatures w14:val="none"/>
        </w:rPr>
        <w:t>6. Conclusion</w:t>
      </w:r>
    </w:p>
    <w:p w14:paraId="79C77AD8"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This project developed and evaluated three supervised machine learning models—Logistic Regression, Decision Tree, and Random Forest—for predicting loan default using borrower demographics, financial characteristics, and loan-specific information.</w:t>
      </w:r>
    </w:p>
    <w:p w14:paraId="74C0A56E"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After systematically comparing the models using multiple classification metrics, the </w:t>
      </w:r>
      <w:r w:rsidRPr="002007A2">
        <w:rPr>
          <w:rFonts w:ascii="Times New Roman" w:eastAsia="Times New Roman" w:hAnsi="Times New Roman" w:cs="Times New Roman"/>
          <w:b/>
          <w:bCs/>
          <w:kern w:val="0"/>
          <w:lang w:eastAsia="en-GB" w:bidi="hi-IN"/>
          <w14:ligatures w14:val="none"/>
        </w:rPr>
        <w:t>Random Forest classifier</w:t>
      </w:r>
      <w:r w:rsidRPr="002007A2">
        <w:rPr>
          <w:rFonts w:ascii="Times New Roman" w:eastAsia="Times New Roman" w:hAnsi="Times New Roman" w:cs="Times New Roman"/>
          <w:kern w:val="0"/>
          <w:lang w:eastAsia="en-GB" w:bidi="hi-IN"/>
          <w14:ligatures w14:val="none"/>
        </w:rPr>
        <w:t xml:space="preserve"> emerged as the best-performing model, achieving an </w:t>
      </w:r>
      <w:r w:rsidRPr="002007A2">
        <w:rPr>
          <w:rFonts w:ascii="Times New Roman" w:eastAsia="Times New Roman" w:hAnsi="Times New Roman" w:cs="Times New Roman"/>
          <w:b/>
          <w:bCs/>
          <w:kern w:val="0"/>
          <w:lang w:eastAsia="en-GB" w:bidi="hi-IN"/>
          <w14:ligatures w14:val="none"/>
        </w:rPr>
        <w:t>Accuracy of 93.40%</w:t>
      </w:r>
      <w:r w:rsidRPr="002007A2">
        <w:rPr>
          <w:rFonts w:ascii="Times New Roman" w:eastAsia="Times New Roman" w:hAnsi="Times New Roman" w:cs="Times New Roman"/>
          <w:kern w:val="0"/>
          <w:lang w:eastAsia="en-GB" w:bidi="hi-IN"/>
          <w14:ligatures w14:val="none"/>
        </w:rPr>
        <w:t xml:space="preserve">, </w:t>
      </w:r>
      <w:r w:rsidRPr="002007A2">
        <w:rPr>
          <w:rFonts w:ascii="Times New Roman" w:eastAsia="Times New Roman" w:hAnsi="Times New Roman" w:cs="Times New Roman"/>
          <w:b/>
          <w:bCs/>
          <w:kern w:val="0"/>
          <w:lang w:eastAsia="en-GB" w:bidi="hi-IN"/>
          <w14:ligatures w14:val="none"/>
        </w:rPr>
        <w:t>Precision of 96.00%</w:t>
      </w:r>
      <w:r w:rsidRPr="002007A2">
        <w:rPr>
          <w:rFonts w:ascii="Times New Roman" w:eastAsia="Times New Roman" w:hAnsi="Times New Roman" w:cs="Times New Roman"/>
          <w:kern w:val="0"/>
          <w:lang w:eastAsia="en-GB" w:bidi="hi-IN"/>
          <w14:ligatures w14:val="none"/>
        </w:rPr>
        <w:t xml:space="preserve">, and an excellent </w:t>
      </w:r>
      <w:r w:rsidRPr="002007A2">
        <w:rPr>
          <w:rFonts w:ascii="Times New Roman" w:eastAsia="Times New Roman" w:hAnsi="Times New Roman" w:cs="Times New Roman"/>
          <w:b/>
          <w:bCs/>
          <w:kern w:val="0"/>
          <w:lang w:eastAsia="en-GB" w:bidi="hi-IN"/>
          <w14:ligatures w14:val="none"/>
        </w:rPr>
        <w:t>ROC-AUC score of 0.929</w:t>
      </w:r>
      <w:r w:rsidRPr="002007A2">
        <w:rPr>
          <w:rFonts w:ascii="Times New Roman" w:eastAsia="Times New Roman" w:hAnsi="Times New Roman" w:cs="Times New Roman"/>
          <w:kern w:val="0"/>
          <w:lang w:eastAsia="en-GB" w:bidi="hi-IN"/>
          <w14:ligatures w14:val="none"/>
        </w:rPr>
        <w:t xml:space="preserve">. Feature importance analysis further demonstrated that financial variables, particularly the </w:t>
      </w:r>
      <w:r w:rsidRPr="002007A2">
        <w:rPr>
          <w:rFonts w:ascii="Times New Roman" w:eastAsia="Times New Roman" w:hAnsi="Times New Roman" w:cs="Times New Roman"/>
          <w:b/>
          <w:bCs/>
          <w:kern w:val="0"/>
          <w:lang w:eastAsia="en-GB" w:bidi="hi-IN"/>
          <w14:ligatures w14:val="none"/>
        </w:rPr>
        <w:t>loan-to-income ratio</w:t>
      </w:r>
      <w:r w:rsidRPr="002007A2">
        <w:rPr>
          <w:rFonts w:ascii="Times New Roman" w:eastAsia="Times New Roman" w:hAnsi="Times New Roman" w:cs="Times New Roman"/>
          <w:kern w:val="0"/>
          <w:lang w:eastAsia="en-GB" w:bidi="hi-IN"/>
          <w14:ligatures w14:val="none"/>
        </w:rPr>
        <w:t xml:space="preserve">, </w:t>
      </w:r>
      <w:r w:rsidRPr="002007A2">
        <w:rPr>
          <w:rFonts w:ascii="Times New Roman" w:eastAsia="Times New Roman" w:hAnsi="Times New Roman" w:cs="Times New Roman"/>
          <w:b/>
          <w:bCs/>
          <w:kern w:val="0"/>
          <w:lang w:eastAsia="en-GB" w:bidi="hi-IN"/>
          <w14:ligatures w14:val="none"/>
        </w:rPr>
        <w:t>borrower income</w:t>
      </w:r>
      <w:r w:rsidRPr="002007A2">
        <w:rPr>
          <w:rFonts w:ascii="Times New Roman" w:eastAsia="Times New Roman" w:hAnsi="Times New Roman" w:cs="Times New Roman"/>
          <w:kern w:val="0"/>
          <w:lang w:eastAsia="en-GB" w:bidi="hi-IN"/>
          <w14:ligatures w14:val="none"/>
        </w:rPr>
        <w:t xml:space="preserve">, and </w:t>
      </w:r>
      <w:r w:rsidRPr="002007A2">
        <w:rPr>
          <w:rFonts w:ascii="Times New Roman" w:eastAsia="Times New Roman" w:hAnsi="Times New Roman" w:cs="Times New Roman"/>
          <w:b/>
          <w:bCs/>
          <w:kern w:val="0"/>
          <w:lang w:eastAsia="en-GB" w:bidi="hi-IN"/>
          <w14:ligatures w14:val="none"/>
        </w:rPr>
        <w:t>interest rate</w:t>
      </w:r>
      <w:r w:rsidRPr="002007A2">
        <w:rPr>
          <w:rFonts w:ascii="Times New Roman" w:eastAsia="Times New Roman" w:hAnsi="Times New Roman" w:cs="Times New Roman"/>
          <w:kern w:val="0"/>
          <w:lang w:eastAsia="en-GB" w:bidi="hi-IN"/>
          <w14:ligatures w14:val="none"/>
        </w:rPr>
        <w:t>, play a central role in predicting credit risk.</w:t>
      </w:r>
    </w:p>
    <w:p w14:paraId="1D975BA2"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The results indicate that machine learning techniques can effectively support credit risk assessment by identifying borrowers with a higher probability of default while maintaining strong predictive performance.</w:t>
      </w:r>
    </w:p>
    <w:p w14:paraId="52A31444" w14:textId="0BC8C5B9" w:rsidR="002007A2" w:rsidRPr="002007A2" w:rsidRDefault="002007A2" w:rsidP="002007A2">
      <w:pPr>
        <w:rPr>
          <w:rFonts w:ascii="Times New Roman" w:eastAsia="Times New Roman" w:hAnsi="Times New Roman" w:cs="Times New Roman"/>
          <w:kern w:val="0"/>
          <w:lang w:eastAsia="en-GB" w:bidi="hi-IN"/>
          <w14:ligatures w14:val="none"/>
        </w:rPr>
      </w:pPr>
    </w:p>
    <w:p w14:paraId="554D5A4E" w14:textId="77777777" w:rsidR="002007A2" w:rsidRPr="002007A2" w:rsidRDefault="002007A2" w:rsidP="002007A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007A2">
        <w:rPr>
          <w:rFonts w:ascii="Times New Roman" w:eastAsia="Times New Roman" w:hAnsi="Times New Roman" w:cs="Times New Roman"/>
          <w:b/>
          <w:bCs/>
          <w:kern w:val="0"/>
          <w:sz w:val="36"/>
          <w:szCs w:val="36"/>
          <w:lang w:eastAsia="en-GB" w:bidi="hi-IN"/>
          <w14:ligatures w14:val="none"/>
        </w:rPr>
        <w:t>Key Contributions</w:t>
      </w:r>
    </w:p>
    <w:p w14:paraId="138E47DE"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The project successfully demonstrated:</w:t>
      </w:r>
    </w:p>
    <w:p w14:paraId="5467C7D8" w14:textId="77777777" w:rsidR="002007A2" w:rsidRPr="002007A2" w:rsidRDefault="002007A2" w:rsidP="002007A2">
      <w:pPr>
        <w:numPr>
          <w:ilvl w:val="0"/>
          <w:numId w:val="7"/>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A complete end-to-end machine learning workflow for credit risk prediction. </w:t>
      </w:r>
    </w:p>
    <w:p w14:paraId="2C6A8C27" w14:textId="77777777" w:rsidR="002007A2" w:rsidRPr="002007A2" w:rsidRDefault="002007A2" w:rsidP="002007A2">
      <w:pPr>
        <w:numPr>
          <w:ilvl w:val="0"/>
          <w:numId w:val="7"/>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Systematic data preprocessing, including duplicate removal, missing value treatment, categorical encoding, and feature scaling. </w:t>
      </w:r>
    </w:p>
    <w:p w14:paraId="0E8F701D" w14:textId="77777777" w:rsidR="002007A2" w:rsidRPr="002007A2" w:rsidRDefault="002007A2" w:rsidP="002007A2">
      <w:pPr>
        <w:numPr>
          <w:ilvl w:val="0"/>
          <w:numId w:val="7"/>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Comparative evaluation of three widely used classification algorithms. </w:t>
      </w:r>
    </w:p>
    <w:p w14:paraId="2FCCC800" w14:textId="77777777" w:rsidR="002007A2" w:rsidRPr="002007A2" w:rsidRDefault="002007A2" w:rsidP="002007A2">
      <w:pPr>
        <w:numPr>
          <w:ilvl w:val="0"/>
          <w:numId w:val="7"/>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Interpretation of model predictions using feature importance and confusion matrix analysis. </w:t>
      </w:r>
    </w:p>
    <w:p w14:paraId="5E217C11" w14:textId="77777777" w:rsidR="002007A2" w:rsidRPr="002007A2" w:rsidRDefault="002007A2" w:rsidP="002007A2">
      <w:pPr>
        <w:numPr>
          <w:ilvl w:val="0"/>
          <w:numId w:val="7"/>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Translation of technical model outputs into practical recommendations for credit risk management. </w:t>
      </w:r>
    </w:p>
    <w:p w14:paraId="45A190BC" w14:textId="106B9F3E" w:rsidR="002007A2" w:rsidRPr="002007A2" w:rsidRDefault="002007A2" w:rsidP="002007A2">
      <w:pPr>
        <w:rPr>
          <w:rFonts w:ascii="Times New Roman" w:eastAsia="Times New Roman" w:hAnsi="Times New Roman" w:cs="Times New Roman"/>
          <w:kern w:val="0"/>
          <w:lang w:eastAsia="en-GB" w:bidi="hi-IN"/>
          <w14:ligatures w14:val="none"/>
        </w:rPr>
      </w:pPr>
    </w:p>
    <w:p w14:paraId="623A6019" w14:textId="77777777" w:rsidR="002007A2" w:rsidRPr="002007A2" w:rsidRDefault="002007A2" w:rsidP="002007A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007A2">
        <w:rPr>
          <w:rFonts w:ascii="Times New Roman" w:eastAsia="Times New Roman" w:hAnsi="Times New Roman" w:cs="Times New Roman"/>
          <w:b/>
          <w:bCs/>
          <w:kern w:val="0"/>
          <w:sz w:val="36"/>
          <w:szCs w:val="36"/>
          <w:lang w:eastAsia="en-GB" w:bidi="hi-IN"/>
          <w14:ligatures w14:val="none"/>
        </w:rPr>
        <w:t>Limitations</w:t>
      </w:r>
    </w:p>
    <w:p w14:paraId="74859D2F"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lastRenderedPageBreak/>
        <w:t>Although the developed model performed well, several limitations should be acknowledged:</w:t>
      </w:r>
    </w:p>
    <w:p w14:paraId="44EC08D0" w14:textId="77777777" w:rsidR="002007A2" w:rsidRPr="002007A2" w:rsidRDefault="002007A2" w:rsidP="002007A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The dataset contains a limited number of borrower attributes and does not include variables such as credit scores, repayment history, outstanding debt, or macroeconomic indicators that may further improve prediction accuracy. </w:t>
      </w:r>
    </w:p>
    <w:p w14:paraId="2E1AED41" w14:textId="77777777" w:rsidR="002007A2" w:rsidRPr="002007A2" w:rsidRDefault="002007A2" w:rsidP="002007A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The analysis is based on a single historical dataset and therefore may not fully capture changes in borrower behaviour under different economic conditions. </w:t>
      </w:r>
    </w:p>
    <w:p w14:paraId="5A0C9A59" w14:textId="77777777" w:rsidR="002007A2" w:rsidRPr="002007A2" w:rsidRDefault="002007A2" w:rsidP="002007A2">
      <w:pPr>
        <w:numPr>
          <w:ilvl w:val="0"/>
          <w:numId w:val="8"/>
        </w:num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 xml:space="preserve">The Random Forest model, while highly accurate, provides lower interpretability than simpler statistical models such as Logistic Regression. </w:t>
      </w:r>
    </w:p>
    <w:p w14:paraId="308A29F7" w14:textId="54EFD92E" w:rsidR="002007A2" w:rsidRPr="002007A2" w:rsidRDefault="002007A2" w:rsidP="002007A2">
      <w:pPr>
        <w:rPr>
          <w:rFonts w:ascii="Times New Roman" w:eastAsia="Times New Roman" w:hAnsi="Times New Roman" w:cs="Times New Roman"/>
          <w:kern w:val="0"/>
          <w:lang w:eastAsia="en-GB" w:bidi="hi-IN"/>
          <w14:ligatures w14:val="none"/>
        </w:rPr>
      </w:pPr>
    </w:p>
    <w:p w14:paraId="162EE606" w14:textId="3841F20E" w:rsidR="002007A2" w:rsidRPr="002007A2" w:rsidRDefault="002007A2" w:rsidP="002007A2">
      <w:pPr>
        <w:rPr>
          <w:rFonts w:ascii="Times New Roman" w:eastAsia="Times New Roman" w:hAnsi="Times New Roman" w:cs="Times New Roman"/>
          <w:kern w:val="0"/>
          <w:lang w:eastAsia="en-GB" w:bidi="hi-IN"/>
          <w14:ligatures w14:val="none"/>
        </w:rPr>
      </w:pPr>
    </w:p>
    <w:p w14:paraId="483A2688" w14:textId="77777777" w:rsidR="002007A2" w:rsidRPr="002007A2" w:rsidRDefault="002007A2" w:rsidP="002007A2">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007A2">
        <w:rPr>
          <w:rFonts w:ascii="Times New Roman" w:eastAsia="Times New Roman" w:hAnsi="Times New Roman" w:cs="Times New Roman"/>
          <w:b/>
          <w:bCs/>
          <w:kern w:val="36"/>
          <w:sz w:val="48"/>
          <w:szCs w:val="48"/>
          <w:lang w:eastAsia="en-GB" w:bidi="hi-IN"/>
          <w14:ligatures w14:val="none"/>
        </w:rPr>
        <w:t>Final Remarks</w:t>
      </w:r>
    </w:p>
    <w:p w14:paraId="79E51B60" w14:textId="77777777" w:rsidR="002007A2" w:rsidRPr="002007A2" w:rsidRDefault="002007A2" w:rsidP="002007A2">
      <w:pPr>
        <w:spacing w:before="100" w:beforeAutospacing="1" w:after="100" w:afterAutospacing="1"/>
        <w:rPr>
          <w:rFonts w:ascii="Times New Roman" w:eastAsia="Times New Roman" w:hAnsi="Times New Roman" w:cs="Times New Roman"/>
          <w:kern w:val="0"/>
          <w:lang w:eastAsia="en-GB" w:bidi="hi-IN"/>
          <w14:ligatures w14:val="none"/>
        </w:rPr>
      </w:pPr>
      <w:r w:rsidRPr="002007A2">
        <w:rPr>
          <w:rFonts w:ascii="Times New Roman" w:eastAsia="Times New Roman" w:hAnsi="Times New Roman" w:cs="Times New Roman"/>
          <w:kern w:val="0"/>
          <w:lang w:eastAsia="en-GB" w:bidi="hi-IN"/>
          <w14:ligatures w14:val="none"/>
        </w:rPr>
        <w:t>The findings of this study demonstrate that machine learning provides an effective framework for credit risk prediction by combining borrower characteristics and loan attributes to estimate the likelihood of default. Among the evaluated models, Random Forest delivered the strongest predictive performance and showed considerable potential as a decision-support tool for financial institutions. While such models should complement rather than replace expert judgement, they can contribute to more consistent lending decisions, improved risk management, and reduced default-related losses.</w:t>
      </w:r>
    </w:p>
    <w:p w14:paraId="7428EED4" w14:textId="5DBF028A" w:rsidR="002007A2" w:rsidRPr="002007A2" w:rsidRDefault="002007A2" w:rsidP="002007A2">
      <w:pPr>
        <w:rPr>
          <w:rFonts w:ascii="Times New Roman" w:eastAsia="Times New Roman" w:hAnsi="Times New Roman" w:cs="Times New Roman"/>
          <w:kern w:val="0"/>
          <w:lang w:eastAsia="en-GB" w:bidi="hi-IN"/>
          <w14:ligatures w14:val="none"/>
        </w:rPr>
      </w:pPr>
    </w:p>
    <w:p w14:paraId="44248CA9" w14:textId="77777777" w:rsidR="002007A2" w:rsidRPr="00947D29" w:rsidRDefault="002007A2" w:rsidP="00947D29">
      <w:pPr>
        <w:pStyle w:val="pdq2pgselectionanchorcontainer"/>
        <w:rPr>
          <w:i/>
          <w:iCs/>
        </w:rPr>
      </w:pPr>
    </w:p>
    <w:sectPr w:rsidR="002007A2" w:rsidRPr="00947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912C93"/>
    <w:multiLevelType w:val="multilevel"/>
    <w:tmpl w:val="8238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1A22"/>
    <w:multiLevelType w:val="multilevel"/>
    <w:tmpl w:val="5DF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C4423"/>
    <w:multiLevelType w:val="multilevel"/>
    <w:tmpl w:val="1C9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B2B5C"/>
    <w:multiLevelType w:val="multilevel"/>
    <w:tmpl w:val="626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46263"/>
    <w:multiLevelType w:val="multilevel"/>
    <w:tmpl w:val="5AF2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05F5"/>
    <w:multiLevelType w:val="multilevel"/>
    <w:tmpl w:val="6BE0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30555A"/>
    <w:multiLevelType w:val="multilevel"/>
    <w:tmpl w:val="6EF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D2E9E"/>
    <w:multiLevelType w:val="multilevel"/>
    <w:tmpl w:val="32FC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375FF"/>
    <w:multiLevelType w:val="multilevel"/>
    <w:tmpl w:val="11BA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399741">
    <w:abstractNumId w:val="2"/>
  </w:num>
  <w:num w:numId="2" w16cid:durableId="1316497765">
    <w:abstractNumId w:val="0"/>
  </w:num>
  <w:num w:numId="3" w16cid:durableId="2630195">
    <w:abstractNumId w:val="5"/>
  </w:num>
  <w:num w:numId="4" w16cid:durableId="579800525">
    <w:abstractNumId w:val="3"/>
  </w:num>
  <w:num w:numId="5" w16cid:durableId="128744652">
    <w:abstractNumId w:val="1"/>
  </w:num>
  <w:num w:numId="6" w16cid:durableId="2055346516">
    <w:abstractNumId w:val="7"/>
  </w:num>
  <w:num w:numId="7" w16cid:durableId="792753420">
    <w:abstractNumId w:val="6"/>
  </w:num>
  <w:num w:numId="8" w16cid:durableId="1841846277">
    <w:abstractNumId w:val="4"/>
  </w:num>
  <w:num w:numId="9" w16cid:durableId="35824111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63C"/>
    <w:rsid w:val="00117657"/>
    <w:rsid w:val="002007A2"/>
    <w:rsid w:val="006A4D4F"/>
    <w:rsid w:val="00947D29"/>
    <w:rsid w:val="00B04694"/>
    <w:rsid w:val="00D0363C"/>
    <w:rsid w:val="00E02851"/>
    <w:rsid w:val="00FC79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74D2"/>
  <w15:chartTrackingRefBased/>
  <w15:docId w15:val="{D62121D8-E3BE-914C-93B3-1D8D5851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3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3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6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6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6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6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3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3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63C"/>
    <w:rPr>
      <w:rFonts w:eastAsiaTheme="majorEastAsia" w:cstheme="majorBidi"/>
      <w:color w:val="272727" w:themeColor="text1" w:themeTint="D8"/>
    </w:rPr>
  </w:style>
  <w:style w:type="paragraph" w:styleId="Title">
    <w:name w:val="Title"/>
    <w:basedOn w:val="Normal"/>
    <w:next w:val="Normal"/>
    <w:link w:val="TitleChar"/>
    <w:uiPriority w:val="10"/>
    <w:qFormat/>
    <w:rsid w:val="00D036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6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6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363C"/>
    <w:rPr>
      <w:i/>
      <w:iCs/>
      <w:color w:val="404040" w:themeColor="text1" w:themeTint="BF"/>
    </w:rPr>
  </w:style>
  <w:style w:type="paragraph" w:styleId="ListParagraph">
    <w:name w:val="List Paragraph"/>
    <w:basedOn w:val="Normal"/>
    <w:uiPriority w:val="34"/>
    <w:qFormat/>
    <w:rsid w:val="00D0363C"/>
    <w:pPr>
      <w:ind w:left="720"/>
      <w:contextualSpacing/>
    </w:pPr>
  </w:style>
  <w:style w:type="character" w:styleId="IntenseEmphasis">
    <w:name w:val="Intense Emphasis"/>
    <w:basedOn w:val="DefaultParagraphFont"/>
    <w:uiPriority w:val="21"/>
    <w:qFormat/>
    <w:rsid w:val="00D0363C"/>
    <w:rPr>
      <w:i/>
      <w:iCs/>
      <w:color w:val="2F5496" w:themeColor="accent1" w:themeShade="BF"/>
    </w:rPr>
  </w:style>
  <w:style w:type="paragraph" w:styleId="IntenseQuote">
    <w:name w:val="Intense Quote"/>
    <w:basedOn w:val="Normal"/>
    <w:next w:val="Normal"/>
    <w:link w:val="IntenseQuoteChar"/>
    <w:uiPriority w:val="30"/>
    <w:qFormat/>
    <w:rsid w:val="00D03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63C"/>
    <w:rPr>
      <w:i/>
      <w:iCs/>
      <w:color w:val="2F5496" w:themeColor="accent1" w:themeShade="BF"/>
    </w:rPr>
  </w:style>
  <w:style w:type="character" w:styleId="IntenseReference">
    <w:name w:val="Intense Reference"/>
    <w:basedOn w:val="DefaultParagraphFont"/>
    <w:uiPriority w:val="32"/>
    <w:qFormat/>
    <w:rsid w:val="00D0363C"/>
    <w:rPr>
      <w:b/>
      <w:bCs/>
      <w:smallCaps/>
      <w:color w:val="2F5496" w:themeColor="accent1" w:themeShade="BF"/>
      <w:spacing w:val="5"/>
    </w:rPr>
  </w:style>
  <w:style w:type="paragraph" w:styleId="NormalWeb">
    <w:name w:val="Normal (Web)"/>
    <w:basedOn w:val="Normal"/>
    <w:uiPriority w:val="99"/>
    <w:semiHidden/>
    <w:unhideWhenUsed/>
    <w:rsid w:val="00D0363C"/>
    <w:pPr>
      <w:spacing w:before="100" w:beforeAutospacing="1" w:after="100" w:afterAutospacing="1"/>
    </w:pPr>
    <w:rPr>
      <w:rFonts w:ascii="Times New Roman" w:eastAsia="Times New Roman" w:hAnsi="Times New Roman" w:cs="Times New Roman"/>
      <w:kern w:val="0"/>
      <w:lang w:eastAsia="en-GB" w:bidi="hi-IN"/>
      <w14:ligatures w14:val="none"/>
    </w:rPr>
  </w:style>
  <w:style w:type="character" w:styleId="Strong">
    <w:name w:val="Strong"/>
    <w:basedOn w:val="DefaultParagraphFont"/>
    <w:uiPriority w:val="22"/>
    <w:qFormat/>
    <w:rsid w:val="00D0363C"/>
    <w:rPr>
      <w:b/>
      <w:bCs/>
    </w:rPr>
  </w:style>
  <w:style w:type="character" w:styleId="HTMLCode">
    <w:name w:val="HTML Code"/>
    <w:basedOn w:val="DefaultParagraphFont"/>
    <w:uiPriority w:val="99"/>
    <w:semiHidden/>
    <w:unhideWhenUsed/>
    <w:rsid w:val="00D0363C"/>
    <w:rPr>
      <w:rFonts w:ascii="Courier New" w:eastAsia="Times New Roman" w:hAnsi="Courier New" w:cs="Courier New"/>
      <w:sz w:val="20"/>
      <w:szCs w:val="20"/>
    </w:rPr>
  </w:style>
  <w:style w:type="character" w:styleId="Emphasis">
    <w:name w:val="Emphasis"/>
    <w:basedOn w:val="DefaultParagraphFont"/>
    <w:uiPriority w:val="20"/>
    <w:qFormat/>
    <w:rsid w:val="00D0363C"/>
    <w:rPr>
      <w:i/>
      <w:iCs/>
    </w:rPr>
  </w:style>
  <w:style w:type="table" w:styleId="TableGrid">
    <w:name w:val="Table Grid"/>
    <w:basedOn w:val="TableNormal"/>
    <w:uiPriority w:val="39"/>
    <w:rsid w:val="00D03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036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947D29"/>
    <w:pPr>
      <w:spacing w:before="100" w:beforeAutospacing="1" w:after="100" w:afterAutospacing="1"/>
    </w:pPr>
    <w:rPr>
      <w:rFonts w:ascii="Times New Roman" w:eastAsia="Times New Roman" w:hAnsi="Times New Roman" w:cs="Times New Roman"/>
      <w:kern w:val="0"/>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07/relationships/diagramDrawing" Target="diagrams/drawing1.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diagramColors" Target="diagrams/colors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diagramQuickStyle" Target="diagrams/quickStyle1.xm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diagramLayout" Target="diagrams/layout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5.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13C53C-F014-E54D-A07A-2D715E81045C}" type="doc">
      <dgm:prSet loTypeId="urn:microsoft.com/office/officeart/2005/8/layout/bProcess4" loCatId="" qsTypeId="urn:microsoft.com/office/officeart/2005/8/quickstyle/simple5" qsCatId="simple" csTypeId="urn:microsoft.com/office/officeart/2005/8/colors/accent1_4" csCatId="accent1" phldr="1"/>
      <dgm:spPr/>
      <dgm:t>
        <a:bodyPr/>
        <a:lstStyle/>
        <a:p>
          <a:endParaRPr lang="en-GB"/>
        </a:p>
      </dgm:t>
    </dgm:pt>
    <dgm:pt modelId="{3EFC514D-F931-954A-82F9-F67815217ED6}">
      <dgm:prSet phldrT="[Text]"/>
      <dgm:spPr/>
      <dgm:t>
        <a:bodyPr/>
        <a:lstStyle/>
        <a:p>
          <a:r>
            <a:rPr lang="en-GB"/>
            <a:t>Raw Dataset</a:t>
          </a:r>
        </a:p>
      </dgm:t>
    </dgm:pt>
    <dgm:pt modelId="{74B1FAD9-E543-C34F-8248-AD800EEA44BA}" type="parTrans" cxnId="{01C472D9-C330-D749-925E-8DC9C692AA80}">
      <dgm:prSet/>
      <dgm:spPr/>
      <dgm:t>
        <a:bodyPr/>
        <a:lstStyle/>
        <a:p>
          <a:endParaRPr lang="en-GB"/>
        </a:p>
      </dgm:t>
    </dgm:pt>
    <dgm:pt modelId="{540AC56E-AB73-C941-929E-39B46090C1DF}" type="sibTrans" cxnId="{01C472D9-C330-D749-925E-8DC9C692AA80}">
      <dgm:prSet/>
      <dgm:spPr/>
      <dgm:t>
        <a:bodyPr/>
        <a:lstStyle/>
        <a:p>
          <a:endParaRPr lang="en-GB"/>
        </a:p>
      </dgm:t>
    </dgm:pt>
    <dgm:pt modelId="{50C7A655-C06F-8B41-879C-3A938D65B4C6}">
      <dgm:prSet phldrT="[Text]"/>
      <dgm:spPr/>
      <dgm:t>
        <a:bodyPr/>
        <a:lstStyle/>
        <a:p>
          <a:r>
            <a:rPr lang="en-GB"/>
            <a:t>Data Cleaning</a:t>
          </a:r>
        </a:p>
      </dgm:t>
    </dgm:pt>
    <dgm:pt modelId="{4FA76D75-8942-144C-B957-D0A82D9A0B7D}" type="parTrans" cxnId="{A69B065A-4FE7-9743-B85E-B8C95F0C089E}">
      <dgm:prSet/>
      <dgm:spPr/>
      <dgm:t>
        <a:bodyPr/>
        <a:lstStyle/>
        <a:p>
          <a:endParaRPr lang="en-GB"/>
        </a:p>
      </dgm:t>
    </dgm:pt>
    <dgm:pt modelId="{ADF9B949-1046-8348-814D-B9615FB1F13F}" type="sibTrans" cxnId="{A69B065A-4FE7-9743-B85E-B8C95F0C089E}">
      <dgm:prSet/>
      <dgm:spPr/>
      <dgm:t>
        <a:bodyPr/>
        <a:lstStyle/>
        <a:p>
          <a:endParaRPr lang="en-GB"/>
        </a:p>
      </dgm:t>
    </dgm:pt>
    <dgm:pt modelId="{37505A4C-6EBE-8E49-98A2-8911A51A4CCC}">
      <dgm:prSet phldrT="[Text]"/>
      <dgm:spPr/>
      <dgm:t>
        <a:bodyPr/>
        <a:lstStyle/>
        <a:p>
          <a:r>
            <a:rPr lang="en-GB"/>
            <a:t>Feature Encoding and Training</a:t>
          </a:r>
        </a:p>
      </dgm:t>
    </dgm:pt>
    <dgm:pt modelId="{6514DD33-8880-A24B-8CDB-93382CBA6151}" type="parTrans" cxnId="{62B307AC-BF6B-8141-B60C-230BC96744AE}">
      <dgm:prSet/>
      <dgm:spPr/>
      <dgm:t>
        <a:bodyPr/>
        <a:lstStyle/>
        <a:p>
          <a:endParaRPr lang="en-GB"/>
        </a:p>
      </dgm:t>
    </dgm:pt>
    <dgm:pt modelId="{489C94C9-5983-4848-A272-987C94422D67}" type="sibTrans" cxnId="{62B307AC-BF6B-8141-B60C-230BC96744AE}">
      <dgm:prSet/>
      <dgm:spPr/>
      <dgm:t>
        <a:bodyPr/>
        <a:lstStyle/>
        <a:p>
          <a:endParaRPr lang="en-GB"/>
        </a:p>
      </dgm:t>
    </dgm:pt>
    <dgm:pt modelId="{474AA799-D64C-8741-BF3C-2F6A7F6BCCE5}">
      <dgm:prSet phldrT="[Text]"/>
      <dgm:spPr/>
      <dgm:t>
        <a:bodyPr/>
        <a:lstStyle/>
        <a:p>
          <a:r>
            <a:rPr lang="en-GB"/>
            <a:t>Train-Test Split</a:t>
          </a:r>
        </a:p>
      </dgm:t>
    </dgm:pt>
    <dgm:pt modelId="{A66B6C4D-71DB-AA40-B27D-F1D0F7EE8F12}" type="parTrans" cxnId="{3A634A4F-7131-FE48-93B8-56C67B993C08}">
      <dgm:prSet/>
      <dgm:spPr/>
      <dgm:t>
        <a:bodyPr/>
        <a:lstStyle/>
        <a:p>
          <a:endParaRPr lang="en-GB"/>
        </a:p>
      </dgm:t>
    </dgm:pt>
    <dgm:pt modelId="{2C4AFCCD-6A9C-B14F-B678-FC32B3192ED2}" type="sibTrans" cxnId="{3A634A4F-7131-FE48-93B8-56C67B993C08}">
      <dgm:prSet/>
      <dgm:spPr/>
      <dgm:t>
        <a:bodyPr/>
        <a:lstStyle/>
        <a:p>
          <a:endParaRPr lang="en-GB"/>
        </a:p>
      </dgm:t>
    </dgm:pt>
    <dgm:pt modelId="{007E05A3-9660-784A-A46D-1A3E6CD91E7B}">
      <dgm:prSet phldrT="[Text]"/>
      <dgm:spPr/>
      <dgm:t>
        <a:bodyPr/>
        <a:lstStyle/>
        <a:p>
          <a:pPr>
            <a:buNone/>
          </a:pPr>
          <a:r>
            <a:rPr lang="en-IN"/>
            <a:t>Logistic Regression Decision Tree Random Forest</a:t>
          </a:r>
          <a:endParaRPr lang="en-GB"/>
        </a:p>
      </dgm:t>
    </dgm:pt>
    <dgm:pt modelId="{890C28FF-18A3-E34A-AD4E-7488968007DC}" type="parTrans" cxnId="{C2020227-A6E2-E44E-9077-FDCA7BC3E485}">
      <dgm:prSet/>
      <dgm:spPr/>
      <dgm:t>
        <a:bodyPr/>
        <a:lstStyle/>
        <a:p>
          <a:endParaRPr lang="en-GB"/>
        </a:p>
      </dgm:t>
    </dgm:pt>
    <dgm:pt modelId="{EFF68736-20B5-8042-8DB2-BE157F4C8BEC}" type="sibTrans" cxnId="{C2020227-A6E2-E44E-9077-FDCA7BC3E485}">
      <dgm:prSet/>
      <dgm:spPr/>
      <dgm:t>
        <a:bodyPr/>
        <a:lstStyle/>
        <a:p>
          <a:endParaRPr lang="en-GB"/>
        </a:p>
      </dgm:t>
    </dgm:pt>
    <dgm:pt modelId="{BC2741E8-F6AB-FC49-93E0-5BB72534DEF7}">
      <dgm:prSet phldrT="[Text]"/>
      <dgm:spPr/>
      <dgm:t>
        <a:bodyPr/>
        <a:lstStyle/>
        <a:p>
          <a:pPr>
            <a:buNone/>
          </a:pPr>
          <a:r>
            <a:rPr lang="en-IN"/>
            <a:t>Model Evaluation</a:t>
          </a:r>
          <a:endParaRPr lang="en-GB"/>
        </a:p>
      </dgm:t>
    </dgm:pt>
    <dgm:pt modelId="{2556E07C-B103-1545-B03A-783036F3437A}" type="parTrans" cxnId="{FA9A02B9-4C36-5A47-95CE-B02F3030BC80}">
      <dgm:prSet/>
      <dgm:spPr/>
      <dgm:t>
        <a:bodyPr/>
        <a:lstStyle/>
        <a:p>
          <a:endParaRPr lang="en-GB"/>
        </a:p>
      </dgm:t>
    </dgm:pt>
    <dgm:pt modelId="{8ED7322D-C5A0-D544-8E09-5E5DD57502B9}" type="sibTrans" cxnId="{FA9A02B9-4C36-5A47-95CE-B02F3030BC80}">
      <dgm:prSet/>
      <dgm:spPr/>
      <dgm:t>
        <a:bodyPr/>
        <a:lstStyle/>
        <a:p>
          <a:endParaRPr lang="en-GB"/>
        </a:p>
      </dgm:t>
    </dgm:pt>
    <dgm:pt modelId="{D06099F7-7471-4C4E-9FD3-6BD2EA681AAA}">
      <dgm:prSet phldrT="[Text]"/>
      <dgm:spPr/>
      <dgm:t>
        <a:bodyPr/>
        <a:lstStyle/>
        <a:p>
          <a:r>
            <a:rPr lang="en-GB"/>
            <a:t>Best Model Selection</a:t>
          </a:r>
        </a:p>
      </dgm:t>
    </dgm:pt>
    <dgm:pt modelId="{6633B324-1D16-7348-8DF1-0CAE3A315320}" type="parTrans" cxnId="{8AAAA203-2537-3B4F-8C5D-C48631559930}">
      <dgm:prSet/>
      <dgm:spPr/>
      <dgm:t>
        <a:bodyPr/>
        <a:lstStyle/>
        <a:p>
          <a:endParaRPr lang="en-GB"/>
        </a:p>
      </dgm:t>
    </dgm:pt>
    <dgm:pt modelId="{82041BDC-9C66-5D46-A67E-FC66D4C4CB84}" type="sibTrans" cxnId="{8AAAA203-2537-3B4F-8C5D-C48631559930}">
      <dgm:prSet/>
      <dgm:spPr/>
      <dgm:t>
        <a:bodyPr/>
        <a:lstStyle/>
        <a:p>
          <a:endParaRPr lang="en-GB"/>
        </a:p>
      </dgm:t>
    </dgm:pt>
    <dgm:pt modelId="{951E50B3-E29F-D348-8CAB-164B97058AD5}" type="pres">
      <dgm:prSet presAssocID="{4413C53C-F014-E54D-A07A-2D715E81045C}" presName="Name0" presStyleCnt="0">
        <dgm:presLayoutVars>
          <dgm:dir/>
          <dgm:resizeHandles/>
        </dgm:presLayoutVars>
      </dgm:prSet>
      <dgm:spPr/>
    </dgm:pt>
    <dgm:pt modelId="{347E1162-1013-DE4C-8CA2-A3BDA2EAC209}" type="pres">
      <dgm:prSet presAssocID="{3EFC514D-F931-954A-82F9-F67815217ED6}" presName="compNode" presStyleCnt="0"/>
      <dgm:spPr/>
    </dgm:pt>
    <dgm:pt modelId="{E65E0FB9-1E13-A548-BE6A-D82001F1CAC2}" type="pres">
      <dgm:prSet presAssocID="{3EFC514D-F931-954A-82F9-F67815217ED6}" presName="dummyConnPt" presStyleCnt="0"/>
      <dgm:spPr/>
    </dgm:pt>
    <dgm:pt modelId="{9342CC3B-345A-0C45-87DE-EB2E1AA55063}" type="pres">
      <dgm:prSet presAssocID="{3EFC514D-F931-954A-82F9-F67815217ED6}" presName="node" presStyleLbl="node1" presStyleIdx="0" presStyleCnt="7">
        <dgm:presLayoutVars>
          <dgm:bulletEnabled val="1"/>
        </dgm:presLayoutVars>
      </dgm:prSet>
      <dgm:spPr/>
    </dgm:pt>
    <dgm:pt modelId="{ADE3EE39-E94E-7B4E-BF2C-A85D53BA0F1A}" type="pres">
      <dgm:prSet presAssocID="{540AC56E-AB73-C941-929E-39B46090C1DF}" presName="sibTrans" presStyleLbl="bgSibTrans2D1" presStyleIdx="0" presStyleCnt="6"/>
      <dgm:spPr/>
    </dgm:pt>
    <dgm:pt modelId="{1C5ED7DD-01CB-4144-A06F-530FAB0B6FFD}" type="pres">
      <dgm:prSet presAssocID="{50C7A655-C06F-8B41-879C-3A938D65B4C6}" presName="compNode" presStyleCnt="0"/>
      <dgm:spPr/>
    </dgm:pt>
    <dgm:pt modelId="{478E0E49-C02D-944B-B88D-FF678DFB4B10}" type="pres">
      <dgm:prSet presAssocID="{50C7A655-C06F-8B41-879C-3A938D65B4C6}" presName="dummyConnPt" presStyleCnt="0"/>
      <dgm:spPr/>
    </dgm:pt>
    <dgm:pt modelId="{63F2DC93-3E8A-9B42-A458-EF2D06288DAE}" type="pres">
      <dgm:prSet presAssocID="{50C7A655-C06F-8B41-879C-3A938D65B4C6}" presName="node" presStyleLbl="node1" presStyleIdx="1" presStyleCnt="7">
        <dgm:presLayoutVars>
          <dgm:bulletEnabled val="1"/>
        </dgm:presLayoutVars>
      </dgm:prSet>
      <dgm:spPr/>
    </dgm:pt>
    <dgm:pt modelId="{6E9D0421-A936-FE4A-B448-F4D9F451349F}" type="pres">
      <dgm:prSet presAssocID="{ADF9B949-1046-8348-814D-B9615FB1F13F}" presName="sibTrans" presStyleLbl="bgSibTrans2D1" presStyleIdx="1" presStyleCnt="6"/>
      <dgm:spPr/>
    </dgm:pt>
    <dgm:pt modelId="{EC4FAAC0-3B86-8649-A742-63B62C270AF3}" type="pres">
      <dgm:prSet presAssocID="{37505A4C-6EBE-8E49-98A2-8911A51A4CCC}" presName="compNode" presStyleCnt="0"/>
      <dgm:spPr/>
    </dgm:pt>
    <dgm:pt modelId="{CBC0979D-522A-644F-B465-361121B4AC7F}" type="pres">
      <dgm:prSet presAssocID="{37505A4C-6EBE-8E49-98A2-8911A51A4CCC}" presName="dummyConnPt" presStyleCnt="0"/>
      <dgm:spPr/>
    </dgm:pt>
    <dgm:pt modelId="{B021CCFF-B04C-D04A-B124-C42EF2EAA4E6}" type="pres">
      <dgm:prSet presAssocID="{37505A4C-6EBE-8E49-98A2-8911A51A4CCC}" presName="node" presStyleLbl="node1" presStyleIdx="2" presStyleCnt="7">
        <dgm:presLayoutVars>
          <dgm:bulletEnabled val="1"/>
        </dgm:presLayoutVars>
      </dgm:prSet>
      <dgm:spPr/>
    </dgm:pt>
    <dgm:pt modelId="{0AF4136C-CF78-7B47-B942-35D5B132AF14}" type="pres">
      <dgm:prSet presAssocID="{489C94C9-5983-4848-A272-987C94422D67}" presName="sibTrans" presStyleLbl="bgSibTrans2D1" presStyleIdx="2" presStyleCnt="6"/>
      <dgm:spPr/>
    </dgm:pt>
    <dgm:pt modelId="{3C38304B-B3DC-B84F-A62A-23B0AC2416AF}" type="pres">
      <dgm:prSet presAssocID="{474AA799-D64C-8741-BF3C-2F6A7F6BCCE5}" presName="compNode" presStyleCnt="0"/>
      <dgm:spPr/>
    </dgm:pt>
    <dgm:pt modelId="{DC5D2AFA-6498-5043-AEE8-72FD2696C735}" type="pres">
      <dgm:prSet presAssocID="{474AA799-D64C-8741-BF3C-2F6A7F6BCCE5}" presName="dummyConnPt" presStyleCnt="0"/>
      <dgm:spPr/>
    </dgm:pt>
    <dgm:pt modelId="{46305E7D-CCD4-E64A-B88A-EDCA3F457766}" type="pres">
      <dgm:prSet presAssocID="{474AA799-D64C-8741-BF3C-2F6A7F6BCCE5}" presName="node" presStyleLbl="node1" presStyleIdx="3" presStyleCnt="7">
        <dgm:presLayoutVars>
          <dgm:bulletEnabled val="1"/>
        </dgm:presLayoutVars>
      </dgm:prSet>
      <dgm:spPr/>
    </dgm:pt>
    <dgm:pt modelId="{629C4FE8-3C91-2340-B4B6-4A7E85CB818B}" type="pres">
      <dgm:prSet presAssocID="{2C4AFCCD-6A9C-B14F-B678-FC32B3192ED2}" presName="sibTrans" presStyleLbl="bgSibTrans2D1" presStyleIdx="3" presStyleCnt="6"/>
      <dgm:spPr/>
    </dgm:pt>
    <dgm:pt modelId="{E57E215A-5787-784C-9C84-58160283F3F9}" type="pres">
      <dgm:prSet presAssocID="{007E05A3-9660-784A-A46D-1A3E6CD91E7B}" presName="compNode" presStyleCnt="0"/>
      <dgm:spPr/>
    </dgm:pt>
    <dgm:pt modelId="{ED3828E6-7190-9E44-95DC-F514A365C12D}" type="pres">
      <dgm:prSet presAssocID="{007E05A3-9660-784A-A46D-1A3E6CD91E7B}" presName="dummyConnPt" presStyleCnt="0"/>
      <dgm:spPr/>
    </dgm:pt>
    <dgm:pt modelId="{FE9E6247-F56B-C94D-90A9-D5112FD78C3B}" type="pres">
      <dgm:prSet presAssocID="{007E05A3-9660-784A-A46D-1A3E6CD91E7B}" presName="node" presStyleLbl="node1" presStyleIdx="4" presStyleCnt="7">
        <dgm:presLayoutVars>
          <dgm:bulletEnabled val="1"/>
        </dgm:presLayoutVars>
      </dgm:prSet>
      <dgm:spPr/>
    </dgm:pt>
    <dgm:pt modelId="{EF38A6D6-742A-AA47-8F2F-8E4C56121B05}" type="pres">
      <dgm:prSet presAssocID="{EFF68736-20B5-8042-8DB2-BE157F4C8BEC}" presName="sibTrans" presStyleLbl="bgSibTrans2D1" presStyleIdx="4" presStyleCnt="6"/>
      <dgm:spPr/>
    </dgm:pt>
    <dgm:pt modelId="{B2FC6B1E-DA96-7340-B3F8-26C932DF14D9}" type="pres">
      <dgm:prSet presAssocID="{BC2741E8-F6AB-FC49-93E0-5BB72534DEF7}" presName="compNode" presStyleCnt="0"/>
      <dgm:spPr/>
    </dgm:pt>
    <dgm:pt modelId="{D0833E51-D130-B445-926B-4B5FFDFB228F}" type="pres">
      <dgm:prSet presAssocID="{BC2741E8-F6AB-FC49-93E0-5BB72534DEF7}" presName="dummyConnPt" presStyleCnt="0"/>
      <dgm:spPr/>
    </dgm:pt>
    <dgm:pt modelId="{CE0EDD66-2507-7F45-9C16-22099E0D1199}" type="pres">
      <dgm:prSet presAssocID="{BC2741E8-F6AB-FC49-93E0-5BB72534DEF7}" presName="node" presStyleLbl="node1" presStyleIdx="5" presStyleCnt="7">
        <dgm:presLayoutVars>
          <dgm:bulletEnabled val="1"/>
        </dgm:presLayoutVars>
      </dgm:prSet>
      <dgm:spPr/>
    </dgm:pt>
    <dgm:pt modelId="{C5DBED38-B4C4-A246-AFE9-85728FB3A4AF}" type="pres">
      <dgm:prSet presAssocID="{8ED7322D-C5A0-D544-8E09-5E5DD57502B9}" presName="sibTrans" presStyleLbl="bgSibTrans2D1" presStyleIdx="5" presStyleCnt="6"/>
      <dgm:spPr/>
    </dgm:pt>
    <dgm:pt modelId="{E91BC15F-2F51-824F-A522-7D3ABA36E780}" type="pres">
      <dgm:prSet presAssocID="{D06099F7-7471-4C4E-9FD3-6BD2EA681AAA}" presName="compNode" presStyleCnt="0"/>
      <dgm:spPr/>
    </dgm:pt>
    <dgm:pt modelId="{6BB3A6B2-0D76-FF44-9BB3-85B93BFC056A}" type="pres">
      <dgm:prSet presAssocID="{D06099F7-7471-4C4E-9FD3-6BD2EA681AAA}" presName="dummyConnPt" presStyleCnt="0"/>
      <dgm:spPr/>
    </dgm:pt>
    <dgm:pt modelId="{1B8B26B6-B07B-8F4F-BB74-4DCD067B0EDD}" type="pres">
      <dgm:prSet presAssocID="{D06099F7-7471-4C4E-9FD3-6BD2EA681AAA}" presName="node" presStyleLbl="node1" presStyleIdx="6" presStyleCnt="7">
        <dgm:presLayoutVars>
          <dgm:bulletEnabled val="1"/>
        </dgm:presLayoutVars>
      </dgm:prSet>
      <dgm:spPr/>
    </dgm:pt>
  </dgm:ptLst>
  <dgm:cxnLst>
    <dgm:cxn modelId="{8AAAA203-2537-3B4F-8C5D-C48631559930}" srcId="{4413C53C-F014-E54D-A07A-2D715E81045C}" destId="{D06099F7-7471-4C4E-9FD3-6BD2EA681AAA}" srcOrd="6" destOrd="0" parTransId="{6633B324-1D16-7348-8DF1-0CAE3A315320}" sibTransId="{82041BDC-9C66-5D46-A67E-FC66D4C4CB84}"/>
    <dgm:cxn modelId="{C2020227-A6E2-E44E-9077-FDCA7BC3E485}" srcId="{4413C53C-F014-E54D-A07A-2D715E81045C}" destId="{007E05A3-9660-784A-A46D-1A3E6CD91E7B}" srcOrd="4" destOrd="0" parTransId="{890C28FF-18A3-E34A-AD4E-7488968007DC}" sibTransId="{EFF68736-20B5-8042-8DB2-BE157F4C8BEC}"/>
    <dgm:cxn modelId="{9FFFF037-64C1-EB46-B5C9-BFC2862D5200}" type="presOf" srcId="{50C7A655-C06F-8B41-879C-3A938D65B4C6}" destId="{63F2DC93-3E8A-9B42-A458-EF2D06288DAE}" srcOrd="0" destOrd="0" presId="urn:microsoft.com/office/officeart/2005/8/layout/bProcess4"/>
    <dgm:cxn modelId="{3A634A4F-7131-FE48-93B8-56C67B993C08}" srcId="{4413C53C-F014-E54D-A07A-2D715E81045C}" destId="{474AA799-D64C-8741-BF3C-2F6A7F6BCCE5}" srcOrd="3" destOrd="0" parTransId="{A66B6C4D-71DB-AA40-B27D-F1D0F7EE8F12}" sibTransId="{2C4AFCCD-6A9C-B14F-B678-FC32B3192ED2}"/>
    <dgm:cxn modelId="{A6AD7851-222E-994F-86B2-7B361DFCB145}" type="presOf" srcId="{540AC56E-AB73-C941-929E-39B46090C1DF}" destId="{ADE3EE39-E94E-7B4E-BF2C-A85D53BA0F1A}" srcOrd="0" destOrd="0" presId="urn:microsoft.com/office/officeart/2005/8/layout/bProcess4"/>
    <dgm:cxn modelId="{7EB3F556-C519-FE41-8781-389DF79F9D95}" type="presOf" srcId="{BC2741E8-F6AB-FC49-93E0-5BB72534DEF7}" destId="{CE0EDD66-2507-7F45-9C16-22099E0D1199}" srcOrd="0" destOrd="0" presId="urn:microsoft.com/office/officeart/2005/8/layout/bProcess4"/>
    <dgm:cxn modelId="{A69B065A-4FE7-9743-B85E-B8C95F0C089E}" srcId="{4413C53C-F014-E54D-A07A-2D715E81045C}" destId="{50C7A655-C06F-8B41-879C-3A938D65B4C6}" srcOrd="1" destOrd="0" parTransId="{4FA76D75-8942-144C-B957-D0A82D9A0B7D}" sibTransId="{ADF9B949-1046-8348-814D-B9615FB1F13F}"/>
    <dgm:cxn modelId="{CA4AE265-CA41-7C4A-BC27-E6EC6F3F1952}" type="presOf" srcId="{D06099F7-7471-4C4E-9FD3-6BD2EA681AAA}" destId="{1B8B26B6-B07B-8F4F-BB74-4DCD067B0EDD}" srcOrd="0" destOrd="0" presId="urn:microsoft.com/office/officeart/2005/8/layout/bProcess4"/>
    <dgm:cxn modelId="{31AB0F75-4A1B-4140-8810-BEF40C101DC6}" type="presOf" srcId="{4413C53C-F014-E54D-A07A-2D715E81045C}" destId="{951E50B3-E29F-D348-8CAB-164B97058AD5}" srcOrd="0" destOrd="0" presId="urn:microsoft.com/office/officeart/2005/8/layout/bProcess4"/>
    <dgm:cxn modelId="{72211B8E-E701-A04C-A977-1445A7F906A7}" type="presOf" srcId="{489C94C9-5983-4848-A272-987C94422D67}" destId="{0AF4136C-CF78-7B47-B942-35D5B132AF14}" srcOrd="0" destOrd="0" presId="urn:microsoft.com/office/officeart/2005/8/layout/bProcess4"/>
    <dgm:cxn modelId="{554F0393-A913-5F4C-BEC3-26648289049C}" type="presOf" srcId="{37505A4C-6EBE-8E49-98A2-8911A51A4CCC}" destId="{B021CCFF-B04C-D04A-B124-C42EF2EAA4E6}" srcOrd="0" destOrd="0" presId="urn:microsoft.com/office/officeart/2005/8/layout/bProcess4"/>
    <dgm:cxn modelId="{78BE8C9F-61D4-AB4C-AB01-88DECD186659}" type="presOf" srcId="{8ED7322D-C5A0-D544-8E09-5E5DD57502B9}" destId="{C5DBED38-B4C4-A246-AFE9-85728FB3A4AF}" srcOrd="0" destOrd="0" presId="urn:microsoft.com/office/officeart/2005/8/layout/bProcess4"/>
    <dgm:cxn modelId="{62B307AC-BF6B-8141-B60C-230BC96744AE}" srcId="{4413C53C-F014-E54D-A07A-2D715E81045C}" destId="{37505A4C-6EBE-8E49-98A2-8911A51A4CCC}" srcOrd="2" destOrd="0" parTransId="{6514DD33-8880-A24B-8CDB-93382CBA6151}" sibTransId="{489C94C9-5983-4848-A272-987C94422D67}"/>
    <dgm:cxn modelId="{BD0D45B3-088F-D349-BA25-1D3F7072AF83}" type="presOf" srcId="{2C4AFCCD-6A9C-B14F-B678-FC32B3192ED2}" destId="{629C4FE8-3C91-2340-B4B6-4A7E85CB818B}" srcOrd="0" destOrd="0" presId="urn:microsoft.com/office/officeart/2005/8/layout/bProcess4"/>
    <dgm:cxn modelId="{FA9A02B9-4C36-5A47-95CE-B02F3030BC80}" srcId="{4413C53C-F014-E54D-A07A-2D715E81045C}" destId="{BC2741E8-F6AB-FC49-93E0-5BB72534DEF7}" srcOrd="5" destOrd="0" parTransId="{2556E07C-B103-1545-B03A-783036F3437A}" sibTransId="{8ED7322D-C5A0-D544-8E09-5E5DD57502B9}"/>
    <dgm:cxn modelId="{223E72C1-4333-204B-BC92-3FBB1A9045EE}" type="presOf" srcId="{474AA799-D64C-8741-BF3C-2F6A7F6BCCE5}" destId="{46305E7D-CCD4-E64A-B88A-EDCA3F457766}" srcOrd="0" destOrd="0" presId="urn:microsoft.com/office/officeart/2005/8/layout/bProcess4"/>
    <dgm:cxn modelId="{5DB558C9-EA60-384B-9B3D-EBB7E656BDC4}" type="presOf" srcId="{EFF68736-20B5-8042-8DB2-BE157F4C8BEC}" destId="{EF38A6D6-742A-AA47-8F2F-8E4C56121B05}" srcOrd="0" destOrd="0" presId="urn:microsoft.com/office/officeart/2005/8/layout/bProcess4"/>
    <dgm:cxn modelId="{01C472D9-C330-D749-925E-8DC9C692AA80}" srcId="{4413C53C-F014-E54D-A07A-2D715E81045C}" destId="{3EFC514D-F931-954A-82F9-F67815217ED6}" srcOrd="0" destOrd="0" parTransId="{74B1FAD9-E543-C34F-8248-AD800EEA44BA}" sibTransId="{540AC56E-AB73-C941-929E-39B46090C1DF}"/>
    <dgm:cxn modelId="{442845DE-07B9-4946-85BB-EDD990DEFACF}" type="presOf" srcId="{ADF9B949-1046-8348-814D-B9615FB1F13F}" destId="{6E9D0421-A936-FE4A-B448-F4D9F451349F}" srcOrd="0" destOrd="0" presId="urn:microsoft.com/office/officeart/2005/8/layout/bProcess4"/>
    <dgm:cxn modelId="{BB83AFF7-0D7C-184E-9965-463A84431615}" type="presOf" srcId="{3EFC514D-F931-954A-82F9-F67815217ED6}" destId="{9342CC3B-345A-0C45-87DE-EB2E1AA55063}" srcOrd="0" destOrd="0" presId="urn:microsoft.com/office/officeart/2005/8/layout/bProcess4"/>
    <dgm:cxn modelId="{428FBEFB-1BF6-0B43-B75E-A3095961445E}" type="presOf" srcId="{007E05A3-9660-784A-A46D-1A3E6CD91E7B}" destId="{FE9E6247-F56B-C94D-90A9-D5112FD78C3B}" srcOrd="0" destOrd="0" presId="urn:microsoft.com/office/officeart/2005/8/layout/bProcess4"/>
    <dgm:cxn modelId="{8ABEB0D1-2ADB-CD41-B0F9-E114060CEC77}" type="presParOf" srcId="{951E50B3-E29F-D348-8CAB-164B97058AD5}" destId="{347E1162-1013-DE4C-8CA2-A3BDA2EAC209}" srcOrd="0" destOrd="0" presId="urn:microsoft.com/office/officeart/2005/8/layout/bProcess4"/>
    <dgm:cxn modelId="{A73AE90F-8384-C443-81D3-11BB1410715D}" type="presParOf" srcId="{347E1162-1013-DE4C-8CA2-A3BDA2EAC209}" destId="{E65E0FB9-1E13-A548-BE6A-D82001F1CAC2}" srcOrd="0" destOrd="0" presId="urn:microsoft.com/office/officeart/2005/8/layout/bProcess4"/>
    <dgm:cxn modelId="{DE9AD21F-C81E-0047-AE94-6F4493D2C847}" type="presParOf" srcId="{347E1162-1013-DE4C-8CA2-A3BDA2EAC209}" destId="{9342CC3B-345A-0C45-87DE-EB2E1AA55063}" srcOrd="1" destOrd="0" presId="urn:microsoft.com/office/officeart/2005/8/layout/bProcess4"/>
    <dgm:cxn modelId="{734B7E84-5A32-9D4B-B7C5-6F400E2CC433}" type="presParOf" srcId="{951E50B3-E29F-D348-8CAB-164B97058AD5}" destId="{ADE3EE39-E94E-7B4E-BF2C-A85D53BA0F1A}" srcOrd="1" destOrd="0" presId="urn:microsoft.com/office/officeart/2005/8/layout/bProcess4"/>
    <dgm:cxn modelId="{2C8E8059-8DDD-584A-A72E-0E98C9A5E4A5}" type="presParOf" srcId="{951E50B3-E29F-D348-8CAB-164B97058AD5}" destId="{1C5ED7DD-01CB-4144-A06F-530FAB0B6FFD}" srcOrd="2" destOrd="0" presId="urn:microsoft.com/office/officeart/2005/8/layout/bProcess4"/>
    <dgm:cxn modelId="{116ECB00-CE67-F142-9B37-68FD411BE265}" type="presParOf" srcId="{1C5ED7DD-01CB-4144-A06F-530FAB0B6FFD}" destId="{478E0E49-C02D-944B-B88D-FF678DFB4B10}" srcOrd="0" destOrd="0" presId="urn:microsoft.com/office/officeart/2005/8/layout/bProcess4"/>
    <dgm:cxn modelId="{A9D14E89-8860-784B-91F9-0F9FB2A320E5}" type="presParOf" srcId="{1C5ED7DD-01CB-4144-A06F-530FAB0B6FFD}" destId="{63F2DC93-3E8A-9B42-A458-EF2D06288DAE}" srcOrd="1" destOrd="0" presId="urn:microsoft.com/office/officeart/2005/8/layout/bProcess4"/>
    <dgm:cxn modelId="{33BDDFED-F402-0540-9589-CEDF80134966}" type="presParOf" srcId="{951E50B3-E29F-D348-8CAB-164B97058AD5}" destId="{6E9D0421-A936-FE4A-B448-F4D9F451349F}" srcOrd="3" destOrd="0" presId="urn:microsoft.com/office/officeart/2005/8/layout/bProcess4"/>
    <dgm:cxn modelId="{F57DF88E-6939-924B-9777-554C1F2DC912}" type="presParOf" srcId="{951E50B3-E29F-D348-8CAB-164B97058AD5}" destId="{EC4FAAC0-3B86-8649-A742-63B62C270AF3}" srcOrd="4" destOrd="0" presId="urn:microsoft.com/office/officeart/2005/8/layout/bProcess4"/>
    <dgm:cxn modelId="{721969D4-CFA6-DB48-8CCB-11526151575F}" type="presParOf" srcId="{EC4FAAC0-3B86-8649-A742-63B62C270AF3}" destId="{CBC0979D-522A-644F-B465-361121B4AC7F}" srcOrd="0" destOrd="0" presId="urn:microsoft.com/office/officeart/2005/8/layout/bProcess4"/>
    <dgm:cxn modelId="{EE65A665-E368-654D-B97A-8707B5E249E1}" type="presParOf" srcId="{EC4FAAC0-3B86-8649-A742-63B62C270AF3}" destId="{B021CCFF-B04C-D04A-B124-C42EF2EAA4E6}" srcOrd="1" destOrd="0" presId="urn:microsoft.com/office/officeart/2005/8/layout/bProcess4"/>
    <dgm:cxn modelId="{23C5D8DE-FD54-C149-B6C7-2DA785B79372}" type="presParOf" srcId="{951E50B3-E29F-D348-8CAB-164B97058AD5}" destId="{0AF4136C-CF78-7B47-B942-35D5B132AF14}" srcOrd="5" destOrd="0" presId="urn:microsoft.com/office/officeart/2005/8/layout/bProcess4"/>
    <dgm:cxn modelId="{9C493A52-F1C1-1A4C-9F81-943701CDE5D1}" type="presParOf" srcId="{951E50B3-E29F-D348-8CAB-164B97058AD5}" destId="{3C38304B-B3DC-B84F-A62A-23B0AC2416AF}" srcOrd="6" destOrd="0" presId="urn:microsoft.com/office/officeart/2005/8/layout/bProcess4"/>
    <dgm:cxn modelId="{44D0FDFD-3AE4-B444-941D-D9D4C5B68DFC}" type="presParOf" srcId="{3C38304B-B3DC-B84F-A62A-23B0AC2416AF}" destId="{DC5D2AFA-6498-5043-AEE8-72FD2696C735}" srcOrd="0" destOrd="0" presId="urn:microsoft.com/office/officeart/2005/8/layout/bProcess4"/>
    <dgm:cxn modelId="{F78296EE-F66B-7345-BA39-9B79CD9EC20A}" type="presParOf" srcId="{3C38304B-B3DC-B84F-A62A-23B0AC2416AF}" destId="{46305E7D-CCD4-E64A-B88A-EDCA3F457766}" srcOrd="1" destOrd="0" presId="urn:microsoft.com/office/officeart/2005/8/layout/bProcess4"/>
    <dgm:cxn modelId="{907BA781-AC90-CC41-98B7-537915A7B330}" type="presParOf" srcId="{951E50B3-E29F-D348-8CAB-164B97058AD5}" destId="{629C4FE8-3C91-2340-B4B6-4A7E85CB818B}" srcOrd="7" destOrd="0" presId="urn:microsoft.com/office/officeart/2005/8/layout/bProcess4"/>
    <dgm:cxn modelId="{F018DA99-14F0-6847-927A-7493B1C4C526}" type="presParOf" srcId="{951E50B3-E29F-D348-8CAB-164B97058AD5}" destId="{E57E215A-5787-784C-9C84-58160283F3F9}" srcOrd="8" destOrd="0" presId="urn:microsoft.com/office/officeart/2005/8/layout/bProcess4"/>
    <dgm:cxn modelId="{355DE3B7-43D0-9A48-AFB9-71D59C6129BA}" type="presParOf" srcId="{E57E215A-5787-784C-9C84-58160283F3F9}" destId="{ED3828E6-7190-9E44-95DC-F514A365C12D}" srcOrd="0" destOrd="0" presId="urn:microsoft.com/office/officeart/2005/8/layout/bProcess4"/>
    <dgm:cxn modelId="{A4BB34F1-CD66-5D41-AF05-9A82D72C8449}" type="presParOf" srcId="{E57E215A-5787-784C-9C84-58160283F3F9}" destId="{FE9E6247-F56B-C94D-90A9-D5112FD78C3B}" srcOrd="1" destOrd="0" presId="urn:microsoft.com/office/officeart/2005/8/layout/bProcess4"/>
    <dgm:cxn modelId="{BFF9A966-A11B-B14B-A9B5-EC40830597A5}" type="presParOf" srcId="{951E50B3-E29F-D348-8CAB-164B97058AD5}" destId="{EF38A6D6-742A-AA47-8F2F-8E4C56121B05}" srcOrd="9" destOrd="0" presId="urn:microsoft.com/office/officeart/2005/8/layout/bProcess4"/>
    <dgm:cxn modelId="{36C887FB-4733-7B4A-993F-0359041B348F}" type="presParOf" srcId="{951E50B3-E29F-D348-8CAB-164B97058AD5}" destId="{B2FC6B1E-DA96-7340-B3F8-26C932DF14D9}" srcOrd="10" destOrd="0" presId="urn:microsoft.com/office/officeart/2005/8/layout/bProcess4"/>
    <dgm:cxn modelId="{C1BDEA1E-475F-6E42-A76A-98F0C657A200}" type="presParOf" srcId="{B2FC6B1E-DA96-7340-B3F8-26C932DF14D9}" destId="{D0833E51-D130-B445-926B-4B5FFDFB228F}" srcOrd="0" destOrd="0" presId="urn:microsoft.com/office/officeart/2005/8/layout/bProcess4"/>
    <dgm:cxn modelId="{08276C16-A8C7-BD4A-B96B-65B52F49E45F}" type="presParOf" srcId="{B2FC6B1E-DA96-7340-B3F8-26C932DF14D9}" destId="{CE0EDD66-2507-7F45-9C16-22099E0D1199}" srcOrd="1" destOrd="0" presId="urn:microsoft.com/office/officeart/2005/8/layout/bProcess4"/>
    <dgm:cxn modelId="{36DD6525-7E63-7242-8063-E469A9518F2A}" type="presParOf" srcId="{951E50B3-E29F-D348-8CAB-164B97058AD5}" destId="{C5DBED38-B4C4-A246-AFE9-85728FB3A4AF}" srcOrd="11" destOrd="0" presId="urn:microsoft.com/office/officeart/2005/8/layout/bProcess4"/>
    <dgm:cxn modelId="{029CDC85-3164-DD49-BE15-33F471FC5FB1}" type="presParOf" srcId="{951E50B3-E29F-D348-8CAB-164B97058AD5}" destId="{E91BC15F-2F51-824F-A522-7D3ABA36E780}" srcOrd="12" destOrd="0" presId="urn:microsoft.com/office/officeart/2005/8/layout/bProcess4"/>
    <dgm:cxn modelId="{B44CB1FC-1ED9-4A45-B38D-4701F465FADA}" type="presParOf" srcId="{E91BC15F-2F51-824F-A522-7D3ABA36E780}" destId="{6BB3A6B2-0D76-FF44-9BB3-85B93BFC056A}" srcOrd="0" destOrd="0" presId="urn:microsoft.com/office/officeart/2005/8/layout/bProcess4"/>
    <dgm:cxn modelId="{C3A898FB-5CA5-F143-B855-B6F0EBAE22A1}" type="presParOf" srcId="{E91BC15F-2F51-824F-A522-7D3ABA36E780}" destId="{1B8B26B6-B07B-8F4F-BB74-4DCD067B0EDD}" srcOrd="1" destOrd="0" presId="urn:microsoft.com/office/officeart/2005/8/layout/bProcess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E3EE39-E94E-7B4E-BF2C-A85D53BA0F1A}">
      <dsp:nvSpPr>
        <dsp:cNvPr id="0" name=""/>
        <dsp:cNvSpPr/>
      </dsp:nvSpPr>
      <dsp:spPr>
        <a:xfrm rot="5400000">
          <a:off x="-249478" y="744045"/>
          <a:ext cx="1113305" cy="134775"/>
        </a:xfrm>
        <a:prstGeom prst="rect">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342CC3B-345A-0C45-87DE-EB2E1AA55063}">
      <dsp:nvSpPr>
        <dsp:cNvPr id="0" name=""/>
        <dsp:cNvSpPr/>
      </dsp:nvSpPr>
      <dsp:spPr>
        <a:xfrm>
          <a:off x="2759" y="27815"/>
          <a:ext cx="1497508" cy="898505"/>
        </a:xfrm>
        <a:prstGeom prst="roundRect">
          <a:avLst>
            <a:gd name="adj" fmla="val 10000"/>
          </a:avLst>
        </a:prstGeom>
        <a:gradFill rotWithShape="0">
          <a:gsLst>
            <a:gs pos="0">
              <a:schemeClr val="accent1">
                <a:shade val="50000"/>
                <a:hueOff val="0"/>
                <a:satOff val="0"/>
                <a:lumOff val="0"/>
                <a:alphaOff val="0"/>
                <a:satMod val="103000"/>
                <a:lumMod val="102000"/>
                <a:tint val="94000"/>
              </a:schemeClr>
            </a:gs>
            <a:gs pos="50000">
              <a:schemeClr val="accent1">
                <a:shade val="50000"/>
                <a:hueOff val="0"/>
                <a:satOff val="0"/>
                <a:lumOff val="0"/>
                <a:alphaOff val="0"/>
                <a:satMod val="110000"/>
                <a:lumMod val="100000"/>
                <a:shade val="100000"/>
              </a:schemeClr>
            </a:gs>
            <a:gs pos="100000">
              <a:schemeClr val="accent1">
                <a:shade val="5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Raw Dataset</a:t>
          </a:r>
        </a:p>
      </dsp:txBody>
      <dsp:txXfrm>
        <a:off x="29075" y="54131"/>
        <a:ext cx="1444876" cy="845873"/>
      </dsp:txXfrm>
    </dsp:sp>
    <dsp:sp modelId="{6E9D0421-A936-FE4A-B448-F4D9F451349F}">
      <dsp:nvSpPr>
        <dsp:cNvPr id="0" name=""/>
        <dsp:cNvSpPr/>
      </dsp:nvSpPr>
      <dsp:spPr>
        <a:xfrm rot="5400000">
          <a:off x="-249478" y="1867177"/>
          <a:ext cx="1113305" cy="134775"/>
        </a:xfrm>
        <a:prstGeom prst="rect">
          <a:avLst/>
        </a:prstGeom>
        <a:gradFill rotWithShape="0">
          <a:gsLst>
            <a:gs pos="0">
              <a:schemeClr val="accent1">
                <a:shade val="90000"/>
                <a:hueOff val="138475"/>
                <a:satOff val="-2957"/>
                <a:lumOff val="11036"/>
                <a:alphaOff val="0"/>
                <a:satMod val="103000"/>
                <a:lumMod val="102000"/>
                <a:tint val="94000"/>
              </a:schemeClr>
            </a:gs>
            <a:gs pos="50000">
              <a:schemeClr val="accent1">
                <a:shade val="90000"/>
                <a:hueOff val="138475"/>
                <a:satOff val="-2957"/>
                <a:lumOff val="11036"/>
                <a:alphaOff val="0"/>
                <a:satMod val="110000"/>
                <a:lumMod val="100000"/>
                <a:shade val="100000"/>
              </a:schemeClr>
            </a:gs>
            <a:gs pos="100000">
              <a:schemeClr val="accent1">
                <a:shade val="90000"/>
                <a:hueOff val="138475"/>
                <a:satOff val="-2957"/>
                <a:lumOff val="11036"/>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63F2DC93-3E8A-9B42-A458-EF2D06288DAE}">
      <dsp:nvSpPr>
        <dsp:cNvPr id="0" name=""/>
        <dsp:cNvSpPr/>
      </dsp:nvSpPr>
      <dsp:spPr>
        <a:xfrm>
          <a:off x="2759" y="1150947"/>
          <a:ext cx="1497508" cy="898505"/>
        </a:xfrm>
        <a:prstGeom prst="roundRect">
          <a:avLst>
            <a:gd name="adj" fmla="val 10000"/>
          </a:avLst>
        </a:prstGeom>
        <a:gradFill rotWithShape="0">
          <a:gsLst>
            <a:gs pos="0">
              <a:schemeClr val="accent1">
                <a:shade val="50000"/>
                <a:hueOff val="114998"/>
                <a:satOff val="-2801"/>
                <a:lumOff val="12256"/>
                <a:alphaOff val="0"/>
                <a:satMod val="103000"/>
                <a:lumMod val="102000"/>
                <a:tint val="94000"/>
              </a:schemeClr>
            </a:gs>
            <a:gs pos="50000">
              <a:schemeClr val="accent1">
                <a:shade val="50000"/>
                <a:hueOff val="114998"/>
                <a:satOff val="-2801"/>
                <a:lumOff val="12256"/>
                <a:alphaOff val="0"/>
                <a:satMod val="110000"/>
                <a:lumMod val="100000"/>
                <a:shade val="100000"/>
              </a:schemeClr>
            </a:gs>
            <a:gs pos="100000">
              <a:schemeClr val="accent1">
                <a:shade val="50000"/>
                <a:hueOff val="114998"/>
                <a:satOff val="-2801"/>
                <a:lumOff val="12256"/>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Data Cleaning</a:t>
          </a:r>
        </a:p>
      </dsp:txBody>
      <dsp:txXfrm>
        <a:off x="29075" y="1177263"/>
        <a:ext cx="1444876" cy="845873"/>
      </dsp:txXfrm>
    </dsp:sp>
    <dsp:sp modelId="{0AF4136C-CF78-7B47-B942-35D5B132AF14}">
      <dsp:nvSpPr>
        <dsp:cNvPr id="0" name=""/>
        <dsp:cNvSpPr/>
      </dsp:nvSpPr>
      <dsp:spPr>
        <a:xfrm>
          <a:off x="312087" y="2428742"/>
          <a:ext cx="1981860" cy="134775"/>
        </a:xfrm>
        <a:prstGeom prst="rect">
          <a:avLst/>
        </a:prstGeom>
        <a:gradFill rotWithShape="0">
          <a:gsLst>
            <a:gs pos="0">
              <a:schemeClr val="accent1">
                <a:shade val="90000"/>
                <a:hueOff val="276951"/>
                <a:satOff val="-5914"/>
                <a:lumOff val="22073"/>
                <a:alphaOff val="0"/>
                <a:satMod val="103000"/>
                <a:lumMod val="102000"/>
                <a:tint val="94000"/>
              </a:schemeClr>
            </a:gs>
            <a:gs pos="50000">
              <a:schemeClr val="accent1">
                <a:shade val="90000"/>
                <a:hueOff val="276951"/>
                <a:satOff val="-5914"/>
                <a:lumOff val="22073"/>
                <a:alphaOff val="0"/>
                <a:satMod val="110000"/>
                <a:lumMod val="100000"/>
                <a:shade val="100000"/>
              </a:schemeClr>
            </a:gs>
            <a:gs pos="100000">
              <a:schemeClr val="accent1">
                <a:shade val="90000"/>
                <a:hueOff val="276951"/>
                <a:satOff val="-5914"/>
                <a:lumOff val="22073"/>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21CCFF-B04C-D04A-B124-C42EF2EAA4E6}">
      <dsp:nvSpPr>
        <dsp:cNvPr id="0" name=""/>
        <dsp:cNvSpPr/>
      </dsp:nvSpPr>
      <dsp:spPr>
        <a:xfrm>
          <a:off x="2759" y="2274078"/>
          <a:ext cx="1497508" cy="898505"/>
        </a:xfrm>
        <a:prstGeom prst="roundRect">
          <a:avLst>
            <a:gd name="adj" fmla="val 10000"/>
          </a:avLst>
        </a:prstGeom>
        <a:gradFill rotWithShape="0">
          <a:gsLst>
            <a:gs pos="0">
              <a:schemeClr val="accent1">
                <a:shade val="50000"/>
                <a:hueOff val="229996"/>
                <a:satOff val="-5601"/>
                <a:lumOff val="24512"/>
                <a:alphaOff val="0"/>
                <a:satMod val="103000"/>
                <a:lumMod val="102000"/>
                <a:tint val="94000"/>
              </a:schemeClr>
            </a:gs>
            <a:gs pos="50000">
              <a:schemeClr val="accent1">
                <a:shade val="50000"/>
                <a:hueOff val="229996"/>
                <a:satOff val="-5601"/>
                <a:lumOff val="24512"/>
                <a:alphaOff val="0"/>
                <a:satMod val="110000"/>
                <a:lumMod val="100000"/>
                <a:shade val="100000"/>
              </a:schemeClr>
            </a:gs>
            <a:gs pos="100000">
              <a:schemeClr val="accent1">
                <a:shade val="50000"/>
                <a:hueOff val="229996"/>
                <a:satOff val="-5601"/>
                <a:lumOff val="2451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Feature Encoding and Training</a:t>
          </a:r>
        </a:p>
      </dsp:txBody>
      <dsp:txXfrm>
        <a:off x="29075" y="2300394"/>
        <a:ext cx="1444876" cy="845873"/>
      </dsp:txXfrm>
    </dsp:sp>
    <dsp:sp modelId="{629C4FE8-3C91-2340-B4B6-4A7E85CB818B}">
      <dsp:nvSpPr>
        <dsp:cNvPr id="0" name=""/>
        <dsp:cNvSpPr/>
      </dsp:nvSpPr>
      <dsp:spPr>
        <a:xfrm rot="16200000">
          <a:off x="1742207" y="1867177"/>
          <a:ext cx="1113305" cy="134775"/>
        </a:xfrm>
        <a:prstGeom prst="rect">
          <a:avLst/>
        </a:prstGeom>
        <a:gradFill rotWithShape="0">
          <a:gsLst>
            <a:gs pos="0">
              <a:schemeClr val="accent1">
                <a:shade val="90000"/>
                <a:hueOff val="415426"/>
                <a:satOff val="-8871"/>
                <a:lumOff val="33109"/>
                <a:alphaOff val="0"/>
                <a:satMod val="103000"/>
                <a:lumMod val="102000"/>
                <a:tint val="94000"/>
              </a:schemeClr>
            </a:gs>
            <a:gs pos="50000">
              <a:schemeClr val="accent1">
                <a:shade val="90000"/>
                <a:hueOff val="415426"/>
                <a:satOff val="-8871"/>
                <a:lumOff val="33109"/>
                <a:alphaOff val="0"/>
                <a:satMod val="110000"/>
                <a:lumMod val="100000"/>
                <a:shade val="100000"/>
              </a:schemeClr>
            </a:gs>
            <a:gs pos="100000">
              <a:schemeClr val="accent1">
                <a:shade val="90000"/>
                <a:hueOff val="415426"/>
                <a:satOff val="-8871"/>
                <a:lumOff val="3310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46305E7D-CCD4-E64A-B88A-EDCA3F457766}">
      <dsp:nvSpPr>
        <dsp:cNvPr id="0" name=""/>
        <dsp:cNvSpPr/>
      </dsp:nvSpPr>
      <dsp:spPr>
        <a:xfrm>
          <a:off x="1994445" y="2274078"/>
          <a:ext cx="1497508" cy="898505"/>
        </a:xfrm>
        <a:prstGeom prst="roundRect">
          <a:avLst>
            <a:gd name="adj" fmla="val 10000"/>
          </a:avLst>
        </a:prstGeom>
        <a:gradFill rotWithShape="0">
          <a:gsLst>
            <a:gs pos="0">
              <a:schemeClr val="accent1">
                <a:shade val="50000"/>
                <a:hueOff val="344994"/>
                <a:satOff val="-8402"/>
                <a:lumOff val="36768"/>
                <a:alphaOff val="0"/>
                <a:satMod val="103000"/>
                <a:lumMod val="102000"/>
                <a:tint val="94000"/>
              </a:schemeClr>
            </a:gs>
            <a:gs pos="50000">
              <a:schemeClr val="accent1">
                <a:shade val="50000"/>
                <a:hueOff val="344994"/>
                <a:satOff val="-8402"/>
                <a:lumOff val="36768"/>
                <a:alphaOff val="0"/>
                <a:satMod val="110000"/>
                <a:lumMod val="100000"/>
                <a:shade val="100000"/>
              </a:schemeClr>
            </a:gs>
            <a:gs pos="100000">
              <a:schemeClr val="accent1">
                <a:shade val="50000"/>
                <a:hueOff val="344994"/>
                <a:satOff val="-8402"/>
                <a:lumOff val="3676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Train-Test Split</a:t>
          </a:r>
        </a:p>
      </dsp:txBody>
      <dsp:txXfrm>
        <a:off x="2020761" y="2300394"/>
        <a:ext cx="1444876" cy="845873"/>
      </dsp:txXfrm>
    </dsp:sp>
    <dsp:sp modelId="{EF38A6D6-742A-AA47-8F2F-8E4C56121B05}">
      <dsp:nvSpPr>
        <dsp:cNvPr id="0" name=""/>
        <dsp:cNvSpPr/>
      </dsp:nvSpPr>
      <dsp:spPr>
        <a:xfrm rot="16200000">
          <a:off x="1742207" y="744045"/>
          <a:ext cx="1113305" cy="134775"/>
        </a:xfrm>
        <a:prstGeom prst="rect">
          <a:avLst/>
        </a:prstGeom>
        <a:gradFill rotWithShape="0">
          <a:gsLst>
            <a:gs pos="0">
              <a:schemeClr val="accent1">
                <a:shade val="90000"/>
                <a:hueOff val="276951"/>
                <a:satOff val="-5914"/>
                <a:lumOff val="22073"/>
                <a:alphaOff val="0"/>
                <a:satMod val="103000"/>
                <a:lumMod val="102000"/>
                <a:tint val="94000"/>
              </a:schemeClr>
            </a:gs>
            <a:gs pos="50000">
              <a:schemeClr val="accent1">
                <a:shade val="90000"/>
                <a:hueOff val="276951"/>
                <a:satOff val="-5914"/>
                <a:lumOff val="22073"/>
                <a:alphaOff val="0"/>
                <a:satMod val="110000"/>
                <a:lumMod val="100000"/>
                <a:shade val="100000"/>
              </a:schemeClr>
            </a:gs>
            <a:gs pos="100000">
              <a:schemeClr val="accent1">
                <a:shade val="90000"/>
                <a:hueOff val="276951"/>
                <a:satOff val="-5914"/>
                <a:lumOff val="22073"/>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FE9E6247-F56B-C94D-90A9-D5112FD78C3B}">
      <dsp:nvSpPr>
        <dsp:cNvPr id="0" name=""/>
        <dsp:cNvSpPr/>
      </dsp:nvSpPr>
      <dsp:spPr>
        <a:xfrm>
          <a:off x="1994445" y="1150947"/>
          <a:ext cx="1497508" cy="898505"/>
        </a:xfrm>
        <a:prstGeom prst="roundRect">
          <a:avLst>
            <a:gd name="adj" fmla="val 10000"/>
          </a:avLst>
        </a:prstGeom>
        <a:gradFill rotWithShape="0">
          <a:gsLst>
            <a:gs pos="0">
              <a:schemeClr val="accent1">
                <a:shade val="50000"/>
                <a:hueOff val="344994"/>
                <a:satOff val="-8402"/>
                <a:lumOff val="36768"/>
                <a:alphaOff val="0"/>
                <a:satMod val="103000"/>
                <a:lumMod val="102000"/>
                <a:tint val="94000"/>
              </a:schemeClr>
            </a:gs>
            <a:gs pos="50000">
              <a:schemeClr val="accent1">
                <a:shade val="50000"/>
                <a:hueOff val="344994"/>
                <a:satOff val="-8402"/>
                <a:lumOff val="36768"/>
                <a:alphaOff val="0"/>
                <a:satMod val="110000"/>
                <a:lumMod val="100000"/>
                <a:shade val="100000"/>
              </a:schemeClr>
            </a:gs>
            <a:gs pos="100000">
              <a:schemeClr val="accent1">
                <a:shade val="50000"/>
                <a:hueOff val="344994"/>
                <a:satOff val="-8402"/>
                <a:lumOff val="3676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Logistic Regression Decision Tree Random Forest</a:t>
          </a:r>
          <a:endParaRPr lang="en-GB" sz="1300" kern="1200"/>
        </a:p>
      </dsp:txBody>
      <dsp:txXfrm>
        <a:off x="2020761" y="1177263"/>
        <a:ext cx="1444876" cy="845873"/>
      </dsp:txXfrm>
    </dsp:sp>
    <dsp:sp modelId="{C5DBED38-B4C4-A246-AFE9-85728FB3A4AF}">
      <dsp:nvSpPr>
        <dsp:cNvPr id="0" name=""/>
        <dsp:cNvSpPr/>
      </dsp:nvSpPr>
      <dsp:spPr>
        <a:xfrm>
          <a:off x="2303773" y="182479"/>
          <a:ext cx="1981860" cy="134775"/>
        </a:xfrm>
        <a:prstGeom prst="rect">
          <a:avLst/>
        </a:prstGeom>
        <a:gradFill rotWithShape="0">
          <a:gsLst>
            <a:gs pos="0">
              <a:schemeClr val="accent1">
                <a:shade val="90000"/>
                <a:hueOff val="138475"/>
                <a:satOff val="-2957"/>
                <a:lumOff val="11036"/>
                <a:alphaOff val="0"/>
                <a:satMod val="103000"/>
                <a:lumMod val="102000"/>
                <a:tint val="94000"/>
              </a:schemeClr>
            </a:gs>
            <a:gs pos="50000">
              <a:schemeClr val="accent1">
                <a:shade val="90000"/>
                <a:hueOff val="138475"/>
                <a:satOff val="-2957"/>
                <a:lumOff val="11036"/>
                <a:alphaOff val="0"/>
                <a:satMod val="110000"/>
                <a:lumMod val="100000"/>
                <a:shade val="100000"/>
              </a:schemeClr>
            </a:gs>
            <a:gs pos="100000">
              <a:schemeClr val="accent1">
                <a:shade val="90000"/>
                <a:hueOff val="138475"/>
                <a:satOff val="-2957"/>
                <a:lumOff val="11036"/>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CE0EDD66-2507-7F45-9C16-22099E0D1199}">
      <dsp:nvSpPr>
        <dsp:cNvPr id="0" name=""/>
        <dsp:cNvSpPr/>
      </dsp:nvSpPr>
      <dsp:spPr>
        <a:xfrm>
          <a:off x="1994445" y="27815"/>
          <a:ext cx="1497508" cy="898505"/>
        </a:xfrm>
        <a:prstGeom prst="roundRect">
          <a:avLst>
            <a:gd name="adj" fmla="val 10000"/>
          </a:avLst>
        </a:prstGeom>
        <a:gradFill rotWithShape="0">
          <a:gsLst>
            <a:gs pos="0">
              <a:schemeClr val="accent1">
                <a:shade val="50000"/>
                <a:hueOff val="229996"/>
                <a:satOff val="-5601"/>
                <a:lumOff val="24512"/>
                <a:alphaOff val="0"/>
                <a:satMod val="103000"/>
                <a:lumMod val="102000"/>
                <a:tint val="94000"/>
              </a:schemeClr>
            </a:gs>
            <a:gs pos="50000">
              <a:schemeClr val="accent1">
                <a:shade val="50000"/>
                <a:hueOff val="229996"/>
                <a:satOff val="-5601"/>
                <a:lumOff val="24512"/>
                <a:alphaOff val="0"/>
                <a:satMod val="110000"/>
                <a:lumMod val="100000"/>
                <a:shade val="100000"/>
              </a:schemeClr>
            </a:gs>
            <a:gs pos="100000">
              <a:schemeClr val="accent1">
                <a:shade val="50000"/>
                <a:hueOff val="229996"/>
                <a:satOff val="-5601"/>
                <a:lumOff val="2451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Model Evaluation</a:t>
          </a:r>
          <a:endParaRPr lang="en-GB" sz="1300" kern="1200"/>
        </a:p>
      </dsp:txBody>
      <dsp:txXfrm>
        <a:off x="2020761" y="54131"/>
        <a:ext cx="1444876" cy="845873"/>
      </dsp:txXfrm>
    </dsp:sp>
    <dsp:sp modelId="{1B8B26B6-B07B-8F4F-BB74-4DCD067B0EDD}">
      <dsp:nvSpPr>
        <dsp:cNvPr id="0" name=""/>
        <dsp:cNvSpPr/>
      </dsp:nvSpPr>
      <dsp:spPr>
        <a:xfrm>
          <a:off x="3986132" y="27815"/>
          <a:ext cx="1497508" cy="898505"/>
        </a:xfrm>
        <a:prstGeom prst="roundRect">
          <a:avLst>
            <a:gd name="adj" fmla="val 10000"/>
          </a:avLst>
        </a:prstGeom>
        <a:gradFill rotWithShape="0">
          <a:gsLst>
            <a:gs pos="0">
              <a:schemeClr val="accent1">
                <a:shade val="50000"/>
                <a:hueOff val="114998"/>
                <a:satOff val="-2801"/>
                <a:lumOff val="12256"/>
                <a:alphaOff val="0"/>
                <a:satMod val="103000"/>
                <a:lumMod val="102000"/>
                <a:tint val="94000"/>
              </a:schemeClr>
            </a:gs>
            <a:gs pos="50000">
              <a:schemeClr val="accent1">
                <a:shade val="50000"/>
                <a:hueOff val="114998"/>
                <a:satOff val="-2801"/>
                <a:lumOff val="12256"/>
                <a:alphaOff val="0"/>
                <a:satMod val="110000"/>
                <a:lumMod val="100000"/>
                <a:shade val="100000"/>
              </a:schemeClr>
            </a:gs>
            <a:gs pos="100000">
              <a:schemeClr val="accent1">
                <a:shade val="50000"/>
                <a:hueOff val="114998"/>
                <a:satOff val="-2801"/>
                <a:lumOff val="12256"/>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Best Model Selection</a:t>
          </a:r>
        </a:p>
      </dsp:txBody>
      <dsp:txXfrm>
        <a:off x="4012448" y="54131"/>
        <a:ext cx="1444876" cy="84587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3029</Words>
  <Characters>17266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pruni2003@gmail.com</dc:creator>
  <cp:keywords/>
  <dc:description/>
  <cp:lastModifiedBy>pruni2003@gmail.com</cp:lastModifiedBy>
  <cp:revision>1</cp:revision>
  <dcterms:created xsi:type="dcterms:W3CDTF">2026-08-07T08:30:00Z</dcterms:created>
  <dcterms:modified xsi:type="dcterms:W3CDTF">2026-08-07T09:43:00Z</dcterms:modified>
</cp:coreProperties>
</file>