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68F4CC" w14:textId="6E842E5E" w:rsidR="00253306" w:rsidRPr="00206C51" w:rsidRDefault="00253306" w:rsidP="00206C51">
      <w:pPr>
        <w:spacing w:before="100" w:beforeAutospacing="1" w:after="100" w:afterAutospacing="1"/>
        <w:jc w:val="center"/>
        <w:outlineLvl w:val="0"/>
        <w:rPr>
          <w:rFonts w:ascii="Times New Roman" w:eastAsia="Times New Roman" w:hAnsi="Times New Roman" w:cs="Times New Roman"/>
          <w:b/>
          <w:bCs/>
          <w:kern w:val="36"/>
          <w:sz w:val="48"/>
          <w:szCs w:val="48"/>
          <w:u w:val="single"/>
          <w:lang w:eastAsia="en-GB" w:bidi="hi-IN"/>
          <w14:ligatures w14:val="none"/>
        </w:rPr>
      </w:pPr>
      <w:r w:rsidRPr="00206C51">
        <w:rPr>
          <w:rFonts w:ascii="Times New Roman" w:eastAsia="Times New Roman" w:hAnsi="Times New Roman" w:cs="Times New Roman"/>
          <w:b/>
          <w:bCs/>
          <w:kern w:val="36"/>
          <w:sz w:val="48"/>
          <w:szCs w:val="48"/>
          <w:u w:val="single"/>
          <w:lang w:eastAsia="en-GB" w:bidi="hi-IN"/>
          <w14:ligatures w14:val="none"/>
        </w:rPr>
        <w:t>Portfolio Optimization and Performance Evaluation using Modern Portfolio Theory (MPT)</w:t>
      </w:r>
    </w:p>
    <w:p w14:paraId="311862FE" w14:textId="77777777" w:rsidR="00253306" w:rsidRPr="00206C51" w:rsidRDefault="00253306" w:rsidP="00206C51">
      <w:pPr>
        <w:spacing w:before="100" w:beforeAutospacing="1" w:after="100" w:afterAutospacing="1"/>
        <w:jc w:val="center"/>
        <w:outlineLvl w:val="0"/>
        <w:rPr>
          <w:rFonts w:ascii="Times New Roman" w:eastAsia="Times New Roman" w:hAnsi="Times New Roman" w:cs="Times New Roman"/>
          <w:b/>
          <w:bCs/>
          <w:kern w:val="36"/>
          <w:sz w:val="48"/>
          <w:szCs w:val="48"/>
          <w:lang w:eastAsia="en-GB" w:bidi="hi-IN"/>
          <w14:ligatures w14:val="none"/>
        </w:rPr>
      </w:pPr>
    </w:p>
    <w:p w14:paraId="211A0F4F" w14:textId="7AE8A2FC" w:rsidR="00253306" w:rsidRPr="00206C51" w:rsidRDefault="00253306" w:rsidP="00253306">
      <w:pPr>
        <w:spacing w:before="100" w:beforeAutospacing="1" w:after="100" w:afterAutospacing="1"/>
        <w:outlineLvl w:val="0"/>
        <w:rPr>
          <w:rFonts w:ascii="Times New Roman" w:eastAsia="Times New Roman" w:hAnsi="Times New Roman" w:cs="Times New Roman"/>
          <w:b/>
          <w:bCs/>
          <w:kern w:val="36"/>
          <w:sz w:val="40"/>
          <w:szCs w:val="40"/>
          <w:lang w:eastAsia="en-GB" w:bidi="hi-IN"/>
          <w14:ligatures w14:val="none"/>
        </w:rPr>
      </w:pPr>
      <w:r w:rsidRPr="00206C51">
        <w:rPr>
          <w:rFonts w:ascii="Times New Roman" w:eastAsia="Times New Roman" w:hAnsi="Times New Roman" w:cs="Times New Roman"/>
          <w:b/>
          <w:bCs/>
          <w:kern w:val="36"/>
          <w:sz w:val="40"/>
          <w:szCs w:val="40"/>
          <w:lang w:eastAsia="en-GB" w:bidi="hi-IN"/>
          <w14:ligatures w14:val="none"/>
        </w:rPr>
        <w:t xml:space="preserve">Introduction </w:t>
      </w:r>
    </w:p>
    <w:p w14:paraId="7FCA0C15" w14:textId="77777777" w:rsidR="00253306" w:rsidRPr="00253306" w:rsidRDefault="00253306"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Modern Portfolio Theory (MPT), introduced by Harry Markowitz (1952), remains one of the foundational frameworks for constructing investment portfolios that balance expected return and risk through diversification. Rather than selecting securities solely on the basis of expected returns, MPT emphasises combining assets whose returns are imperfectly correlated to improve the portfolio's overall risk-return profile.</w:t>
      </w:r>
    </w:p>
    <w:p w14:paraId="053E7F4A" w14:textId="77777777" w:rsidR="00253306" w:rsidRPr="00253306" w:rsidRDefault="00253306"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This project evaluates the application of Modern Portfolio Theory to a portfolio of four Indian blue-chip companies—</w:t>
      </w:r>
      <w:r w:rsidRPr="00253306">
        <w:rPr>
          <w:rFonts w:ascii="Times New Roman" w:eastAsia="Times New Roman" w:hAnsi="Times New Roman" w:cs="Times New Roman"/>
          <w:b/>
          <w:bCs/>
          <w:kern w:val="0"/>
          <w:lang w:eastAsia="en-GB" w:bidi="hi-IN"/>
          <w14:ligatures w14:val="none"/>
        </w:rPr>
        <w:t>HDFC Bank, Infosys, Reliance Industries and Hindustan Unilever (HUL)</w:t>
      </w:r>
      <w:r w:rsidRPr="00253306">
        <w:rPr>
          <w:rFonts w:ascii="Times New Roman" w:eastAsia="Times New Roman" w:hAnsi="Times New Roman" w:cs="Times New Roman"/>
          <w:kern w:val="0"/>
          <w:lang w:eastAsia="en-GB" w:bidi="hi-IN"/>
          <w14:ligatures w14:val="none"/>
        </w:rPr>
        <w:t xml:space="preserve">—over the period </w:t>
      </w:r>
      <w:r w:rsidRPr="00253306">
        <w:rPr>
          <w:rFonts w:ascii="Times New Roman" w:eastAsia="Times New Roman" w:hAnsi="Times New Roman" w:cs="Times New Roman"/>
          <w:b/>
          <w:bCs/>
          <w:kern w:val="0"/>
          <w:lang w:eastAsia="en-GB" w:bidi="hi-IN"/>
          <w14:ligatures w14:val="none"/>
        </w:rPr>
        <w:t>January 2019 to December 2025</w:t>
      </w:r>
      <w:r w:rsidRPr="00253306">
        <w:rPr>
          <w:rFonts w:ascii="Times New Roman" w:eastAsia="Times New Roman" w:hAnsi="Times New Roman" w:cs="Times New Roman"/>
          <w:kern w:val="0"/>
          <w:lang w:eastAsia="en-GB" w:bidi="hi-IN"/>
          <w14:ligatures w14:val="none"/>
        </w:rPr>
        <w:t>. The study investigates whether optimized portfolios constructed using Monte Carlo simulation and constrained optimization outperform a naïve Equal-Weighted Portfolio (EWPF) and the NIFTY 50 benchmark on a risk-adjusted basis.</w:t>
      </w:r>
    </w:p>
    <w:p w14:paraId="49A5DE86" w14:textId="77777777" w:rsidR="00253306" w:rsidRPr="00253306" w:rsidRDefault="00253306"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The analysis progresses systematically from exploratory data analysis to portfolio optimization and finally to performance evaluation using both traditional and downside risk measures.</w:t>
      </w:r>
    </w:p>
    <w:p w14:paraId="7B568DB2" w14:textId="17C9DE93" w:rsidR="00253306" w:rsidRPr="00253306" w:rsidRDefault="00253306" w:rsidP="00253306">
      <w:pPr>
        <w:rPr>
          <w:rFonts w:ascii="Times New Roman" w:eastAsia="Times New Roman" w:hAnsi="Times New Roman" w:cs="Times New Roman"/>
          <w:kern w:val="0"/>
          <w:lang w:eastAsia="en-GB" w:bidi="hi-IN"/>
          <w14:ligatures w14:val="none"/>
        </w:rPr>
      </w:pPr>
    </w:p>
    <w:p w14:paraId="4286EFC2" w14:textId="77777777" w:rsidR="00253306" w:rsidRPr="00253306" w:rsidRDefault="00253306" w:rsidP="00253306">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253306">
        <w:rPr>
          <w:rFonts w:ascii="Times New Roman" w:eastAsia="Times New Roman" w:hAnsi="Times New Roman" w:cs="Times New Roman"/>
          <w:b/>
          <w:bCs/>
          <w:kern w:val="0"/>
          <w:sz w:val="27"/>
          <w:szCs w:val="27"/>
          <w:lang w:eastAsia="en-GB" w:bidi="hi-IN"/>
          <w14:ligatures w14:val="none"/>
        </w:rPr>
        <w:t>Objectives</w:t>
      </w:r>
    </w:p>
    <w:p w14:paraId="4DA8B653" w14:textId="221F00B0" w:rsidR="00253306" w:rsidRPr="00253306" w:rsidRDefault="00206C51" w:rsidP="00206C51">
      <w:pPr>
        <w:numPr>
          <w:ilvl w:val="0"/>
          <w:numId w:val="1"/>
        </w:num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To a</w:t>
      </w:r>
      <w:r w:rsidR="00253306" w:rsidRPr="00253306">
        <w:rPr>
          <w:rFonts w:ascii="Times New Roman" w:eastAsia="Times New Roman" w:hAnsi="Times New Roman" w:cs="Times New Roman"/>
          <w:kern w:val="0"/>
          <w:lang w:eastAsia="en-GB" w:bidi="hi-IN"/>
          <w14:ligatures w14:val="none"/>
        </w:rPr>
        <w:t xml:space="preserve">nalyse the historical performance of selected Indian equities. </w:t>
      </w:r>
    </w:p>
    <w:p w14:paraId="5C67679E" w14:textId="3637D2B8" w:rsidR="00253306" w:rsidRPr="00253306" w:rsidRDefault="00206C51" w:rsidP="00206C51">
      <w:pPr>
        <w:numPr>
          <w:ilvl w:val="0"/>
          <w:numId w:val="1"/>
        </w:num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To c</w:t>
      </w:r>
      <w:r w:rsidR="00253306" w:rsidRPr="00253306">
        <w:rPr>
          <w:rFonts w:ascii="Times New Roman" w:eastAsia="Times New Roman" w:hAnsi="Times New Roman" w:cs="Times New Roman"/>
          <w:kern w:val="0"/>
          <w:lang w:eastAsia="en-GB" w:bidi="hi-IN"/>
          <w14:ligatures w14:val="none"/>
        </w:rPr>
        <w:t xml:space="preserve">onstruct an Equal-Weighted Portfolio as a baseline. </w:t>
      </w:r>
    </w:p>
    <w:p w14:paraId="05FEED99" w14:textId="0B60162D" w:rsidR="00253306" w:rsidRPr="00253306" w:rsidRDefault="00206C51" w:rsidP="00206C51">
      <w:pPr>
        <w:numPr>
          <w:ilvl w:val="0"/>
          <w:numId w:val="1"/>
        </w:num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To g</w:t>
      </w:r>
      <w:r w:rsidR="00253306" w:rsidRPr="00253306">
        <w:rPr>
          <w:rFonts w:ascii="Times New Roman" w:eastAsia="Times New Roman" w:hAnsi="Times New Roman" w:cs="Times New Roman"/>
          <w:kern w:val="0"/>
          <w:lang w:eastAsia="en-GB" w:bidi="hi-IN"/>
          <w14:ligatures w14:val="none"/>
        </w:rPr>
        <w:t xml:space="preserve">enerate portfolios using Monte Carlo simulation. </w:t>
      </w:r>
    </w:p>
    <w:p w14:paraId="1FEDA7DA" w14:textId="0976C856" w:rsidR="00253306" w:rsidRPr="00253306" w:rsidRDefault="00206C51" w:rsidP="00206C51">
      <w:pPr>
        <w:numPr>
          <w:ilvl w:val="0"/>
          <w:numId w:val="1"/>
        </w:num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To o</w:t>
      </w:r>
      <w:r w:rsidR="00253306" w:rsidRPr="00253306">
        <w:rPr>
          <w:rFonts w:ascii="Times New Roman" w:eastAsia="Times New Roman" w:hAnsi="Times New Roman" w:cs="Times New Roman"/>
          <w:kern w:val="0"/>
          <w:lang w:eastAsia="en-GB" w:bidi="hi-IN"/>
          <w14:ligatures w14:val="none"/>
        </w:rPr>
        <w:t xml:space="preserve">btain mathematically optimal portfolios through constrained optimization. </w:t>
      </w:r>
    </w:p>
    <w:p w14:paraId="7B4D228B" w14:textId="4DC34F14" w:rsidR="00253306" w:rsidRPr="00253306" w:rsidRDefault="00206C51" w:rsidP="00206C51">
      <w:pPr>
        <w:numPr>
          <w:ilvl w:val="0"/>
          <w:numId w:val="1"/>
        </w:num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To e</w:t>
      </w:r>
      <w:r w:rsidR="00253306" w:rsidRPr="00253306">
        <w:rPr>
          <w:rFonts w:ascii="Times New Roman" w:eastAsia="Times New Roman" w:hAnsi="Times New Roman" w:cs="Times New Roman"/>
          <w:kern w:val="0"/>
          <w:lang w:eastAsia="en-GB" w:bidi="hi-IN"/>
          <w14:ligatures w14:val="none"/>
        </w:rPr>
        <w:t xml:space="preserve">valuate portfolio performance using risk-adjusted measures. </w:t>
      </w:r>
    </w:p>
    <w:p w14:paraId="59333238" w14:textId="6447B7E1" w:rsidR="00253306" w:rsidRPr="00253306" w:rsidRDefault="00206C51" w:rsidP="00206C51">
      <w:pPr>
        <w:numPr>
          <w:ilvl w:val="0"/>
          <w:numId w:val="1"/>
        </w:numPr>
        <w:spacing w:before="100" w:beforeAutospacing="1" w:after="100" w:afterAutospacing="1"/>
        <w:jc w:val="both"/>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To c</w:t>
      </w:r>
      <w:r w:rsidR="00253306" w:rsidRPr="00253306">
        <w:rPr>
          <w:rFonts w:ascii="Times New Roman" w:eastAsia="Times New Roman" w:hAnsi="Times New Roman" w:cs="Times New Roman"/>
          <w:kern w:val="0"/>
          <w:lang w:eastAsia="en-GB" w:bidi="hi-IN"/>
          <w14:ligatures w14:val="none"/>
        </w:rPr>
        <w:t>ompare portfolio strategies with the NIFTY 50 benchmark.</w:t>
      </w:r>
    </w:p>
    <w:p w14:paraId="32DCDFF6" w14:textId="77777777" w:rsidR="00253306" w:rsidRDefault="00253306" w:rsidP="00206C51">
      <w:pPr>
        <w:jc w:val="both"/>
      </w:pPr>
    </w:p>
    <w:p w14:paraId="60198EF1" w14:textId="40BCC3F8" w:rsidR="00253306" w:rsidRPr="00253306" w:rsidRDefault="00253306" w:rsidP="00253306">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06C51">
        <w:rPr>
          <w:rFonts w:ascii="Times New Roman" w:eastAsia="Times New Roman" w:hAnsi="Times New Roman" w:cs="Times New Roman"/>
          <w:b/>
          <w:bCs/>
          <w:kern w:val="36"/>
          <w:sz w:val="40"/>
          <w:szCs w:val="40"/>
          <w:lang w:eastAsia="en-GB" w:bidi="hi-IN"/>
          <w14:ligatures w14:val="none"/>
        </w:rPr>
        <w:t>Methodology</w:t>
      </w:r>
      <w:r w:rsidRPr="00253306">
        <w:rPr>
          <w:rFonts w:ascii="Times New Roman" w:eastAsia="Times New Roman" w:hAnsi="Times New Roman" w:cs="Times New Roman"/>
          <w:b/>
          <w:bCs/>
          <w:kern w:val="36"/>
          <w:sz w:val="48"/>
          <w:szCs w:val="48"/>
          <w:lang w:eastAsia="en-GB" w:bidi="hi-IN"/>
          <w14:ligatures w14:val="none"/>
        </w:rPr>
        <w:t xml:space="preserve"> </w:t>
      </w:r>
    </w:p>
    <w:p w14:paraId="4F8D9927" w14:textId="634150EA" w:rsidR="00253306" w:rsidRDefault="00253306"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The study follows a structured workflow illustrated below</w:t>
      </w:r>
      <w:r>
        <w:rPr>
          <w:rFonts w:ascii="Times New Roman" w:eastAsia="Times New Roman" w:hAnsi="Times New Roman" w:cs="Times New Roman"/>
          <w:kern w:val="0"/>
          <w:lang w:eastAsia="en-GB" w:bidi="hi-IN"/>
          <w14:ligatures w14:val="none"/>
        </w:rPr>
        <w:t>:</w:t>
      </w:r>
      <w:r>
        <w:rPr>
          <w:rFonts w:ascii="Times New Roman" w:eastAsia="Times New Roman" w:hAnsi="Times New Roman" w:cs="Times New Roman"/>
          <w:kern w:val="0"/>
          <w:lang w:eastAsia="en-GB" w:bidi="hi-IN"/>
          <w14:ligatures w14:val="none"/>
        </w:rPr>
        <w:br/>
      </w:r>
    </w:p>
    <w:p w14:paraId="6EA05F7F" w14:textId="2211CFAE" w:rsidR="00625196" w:rsidRDefault="00625196" w:rsidP="00253306">
      <w:pPr>
        <w:spacing w:before="100" w:beforeAutospacing="1" w:after="100" w:afterAutospacing="1"/>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lastRenderedPageBreak/>
        <w:drawing>
          <wp:inline distT="0" distB="0" distL="0" distR="0" wp14:anchorId="20590694" wp14:editId="125E105E">
            <wp:extent cx="5486400" cy="3200400"/>
            <wp:effectExtent l="12700" t="0" r="63500" b="0"/>
            <wp:docPr id="523961980"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384B75A9" w14:textId="77777777" w:rsidR="00625196" w:rsidRDefault="00625196" w:rsidP="00253306">
      <w:pPr>
        <w:spacing w:before="100" w:beforeAutospacing="1" w:after="100" w:afterAutospacing="1"/>
        <w:rPr>
          <w:rFonts w:ascii="Times New Roman" w:eastAsia="Times New Roman" w:hAnsi="Times New Roman" w:cs="Times New Roman"/>
          <w:kern w:val="0"/>
          <w:lang w:eastAsia="en-GB" w:bidi="hi-IN"/>
          <w14:ligatures w14:val="none"/>
        </w:rPr>
      </w:pPr>
    </w:p>
    <w:p w14:paraId="67489DAC" w14:textId="4B3B2D73" w:rsidR="00253306" w:rsidRPr="00253306" w:rsidRDefault="00253306"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 xml:space="preserve">Historical daily adjusted closing prices were downloaded from Yahoo Finance using the </w:t>
      </w:r>
      <w:proofErr w:type="spellStart"/>
      <w:r w:rsidRPr="00253306">
        <w:rPr>
          <w:rFonts w:ascii="Times New Roman" w:eastAsia="Times New Roman" w:hAnsi="Times New Roman" w:cs="Times New Roman"/>
          <w:b/>
          <w:bCs/>
          <w:kern w:val="0"/>
          <w:lang w:eastAsia="en-GB" w:bidi="hi-IN"/>
          <w14:ligatures w14:val="none"/>
        </w:rPr>
        <w:t>yfinance</w:t>
      </w:r>
      <w:proofErr w:type="spellEnd"/>
      <w:r w:rsidRPr="00253306">
        <w:rPr>
          <w:rFonts w:ascii="Times New Roman" w:eastAsia="Times New Roman" w:hAnsi="Times New Roman" w:cs="Times New Roman"/>
          <w:kern w:val="0"/>
          <w:lang w:eastAsia="en-GB" w:bidi="hi-IN"/>
          <w14:ligatures w14:val="none"/>
        </w:rPr>
        <w:t xml:space="preserve"> package. Daily returns were computed after validating the dataset for missing values and ensuring chronological consistency.</w:t>
      </w:r>
    </w:p>
    <w:p w14:paraId="67D5BB9B" w14:textId="77777777" w:rsidR="00253306" w:rsidRPr="00253306" w:rsidRDefault="00253306"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An Equal-Weighted Portfolio was first constructed to provide a simple diversification benchmark. Portfolio optimization was then performed using two complementary approaches:</w:t>
      </w:r>
    </w:p>
    <w:p w14:paraId="0D8B0746" w14:textId="77777777" w:rsidR="00253306" w:rsidRPr="00253306" w:rsidRDefault="00253306" w:rsidP="00206C51">
      <w:pPr>
        <w:numPr>
          <w:ilvl w:val="0"/>
          <w:numId w:val="2"/>
        </w:num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b/>
          <w:bCs/>
          <w:kern w:val="0"/>
          <w:lang w:eastAsia="en-GB" w:bidi="hi-IN"/>
          <w14:ligatures w14:val="none"/>
        </w:rPr>
        <w:t>Monte Carlo simulation (10,000 portfolios)</w:t>
      </w:r>
      <w:r w:rsidRPr="00253306">
        <w:rPr>
          <w:rFonts w:ascii="Times New Roman" w:eastAsia="Times New Roman" w:hAnsi="Times New Roman" w:cs="Times New Roman"/>
          <w:kern w:val="0"/>
          <w:lang w:eastAsia="en-GB" w:bidi="hi-IN"/>
          <w14:ligatures w14:val="none"/>
        </w:rPr>
        <w:t xml:space="preserve"> to explore the feasible investment opportunity set. </w:t>
      </w:r>
    </w:p>
    <w:p w14:paraId="29A2B35E" w14:textId="77777777" w:rsidR="00253306" w:rsidRPr="00253306" w:rsidRDefault="00253306" w:rsidP="00206C51">
      <w:pPr>
        <w:numPr>
          <w:ilvl w:val="0"/>
          <w:numId w:val="2"/>
        </w:num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b/>
          <w:bCs/>
          <w:kern w:val="0"/>
          <w:lang w:eastAsia="en-GB" w:bidi="hi-IN"/>
          <w14:ligatures w14:val="none"/>
        </w:rPr>
        <w:t>Sequential Least Squares Programming (SLSQP)</w:t>
      </w:r>
      <w:r w:rsidRPr="00253306">
        <w:rPr>
          <w:rFonts w:ascii="Times New Roman" w:eastAsia="Times New Roman" w:hAnsi="Times New Roman" w:cs="Times New Roman"/>
          <w:kern w:val="0"/>
          <w:lang w:eastAsia="en-GB" w:bidi="hi-IN"/>
          <w14:ligatures w14:val="none"/>
        </w:rPr>
        <w:t xml:space="preserve"> to obtain mathematically optimal Maximum Sharpe and Minimum Variance portfolios under realistic investment constraints: </w:t>
      </w:r>
    </w:p>
    <w:p w14:paraId="61C7D3B2" w14:textId="77777777" w:rsidR="00253306" w:rsidRPr="00253306" w:rsidRDefault="00253306" w:rsidP="00206C51">
      <w:pPr>
        <w:numPr>
          <w:ilvl w:val="1"/>
          <w:numId w:val="2"/>
        </w:num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 xml:space="preserve">Portfolio weights sum to one. </w:t>
      </w:r>
    </w:p>
    <w:p w14:paraId="4A11367F" w14:textId="77777777" w:rsidR="00253306" w:rsidRPr="00253306" w:rsidRDefault="00253306" w:rsidP="00206C51">
      <w:pPr>
        <w:numPr>
          <w:ilvl w:val="1"/>
          <w:numId w:val="2"/>
        </w:num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 xml:space="preserve">No short selling. </w:t>
      </w:r>
    </w:p>
    <w:p w14:paraId="11647005" w14:textId="77777777" w:rsidR="00253306" w:rsidRPr="00253306" w:rsidRDefault="00253306" w:rsidP="00206C51">
      <w:pPr>
        <w:numPr>
          <w:ilvl w:val="1"/>
          <w:numId w:val="2"/>
        </w:num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 xml:space="preserve">Portfolio weights bounded between 0 and 1. </w:t>
      </w:r>
    </w:p>
    <w:p w14:paraId="552A270A" w14:textId="77777777" w:rsidR="00253306" w:rsidRPr="00253306" w:rsidRDefault="00253306"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Portfolio performance was evaluated using:</w:t>
      </w:r>
    </w:p>
    <w:p w14:paraId="4D287F73" w14:textId="77777777" w:rsidR="00253306" w:rsidRPr="00253306" w:rsidRDefault="00253306" w:rsidP="00206C51">
      <w:pPr>
        <w:numPr>
          <w:ilvl w:val="0"/>
          <w:numId w:val="3"/>
        </w:num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 xml:space="preserve">Annualized Return </w:t>
      </w:r>
    </w:p>
    <w:p w14:paraId="25AE504C" w14:textId="77777777" w:rsidR="00253306" w:rsidRPr="00253306" w:rsidRDefault="00253306" w:rsidP="00206C51">
      <w:pPr>
        <w:numPr>
          <w:ilvl w:val="0"/>
          <w:numId w:val="3"/>
        </w:num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 xml:space="preserve">Annualized Volatility </w:t>
      </w:r>
    </w:p>
    <w:p w14:paraId="2B4B2E34" w14:textId="77777777" w:rsidR="00253306" w:rsidRPr="00253306" w:rsidRDefault="00253306" w:rsidP="00206C51">
      <w:pPr>
        <w:numPr>
          <w:ilvl w:val="0"/>
          <w:numId w:val="3"/>
        </w:num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 xml:space="preserve">Sharpe Ratio </w:t>
      </w:r>
    </w:p>
    <w:p w14:paraId="7E385C60" w14:textId="77777777" w:rsidR="00253306" w:rsidRPr="00253306" w:rsidRDefault="00253306" w:rsidP="00206C51">
      <w:pPr>
        <w:numPr>
          <w:ilvl w:val="0"/>
          <w:numId w:val="3"/>
        </w:num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 xml:space="preserve">Maximum Drawdown </w:t>
      </w:r>
    </w:p>
    <w:p w14:paraId="533CC6C2" w14:textId="77777777" w:rsidR="00253306" w:rsidRPr="00253306" w:rsidRDefault="00253306" w:rsidP="00206C51">
      <w:pPr>
        <w:numPr>
          <w:ilvl w:val="0"/>
          <w:numId w:val="3"/>
        </w:num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 xml:space="preserve">Calmar Ratio </w:t>
      </w:r>
    </w:p>
    <w:p w14:paraId="5DA1F24B" w14:textId="77777777" w:rsidR="00253306" w:rsidRDefault="00253306"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253306">
        <w:rPr>
          <w:rFonts w:ascii="Times New Roman" w:eastAsia="Times New Roman" w:hAnsi="Times New Roman" w:cs="Times New Roman"/>
          <w:kern w:val="0"/>
          <w:lang w:eastAsia="en-GB" w:bidi="hi-IN"/>
          <w14:ligatures w14:val="none"/>
        </w:rPr>
        <w:t>Finally, all portfolios were benchmarked against the NIFTY 50 Index.</w:t>
      </w:r>
    </w:p>
    <w:p w14:paraId="06467505" w14:textId="77777777" w:rsidR="00625196" w:rsidRDefault="00625196" w:rsidP="00253306">
      <w:pPr>
        <w:spacing w:before="100" w:beforeAutospacing="1" w:after="100" w:afterAutospacing="1"/>
        <w:rPr>
          <w:rFonts w:ascii="Times New Roman" w:eastAsia="Times New Roman" w:hAnsi="Times New Roman" w:cs="Times New Roman"/>
          <w:kern w:val="0"/>
          <w:lang w:eastAsia="en-GB" w:bidi="hi-IN"/>
          <w14:ligatures w14:val="none"/>
        </w:rPr>
      </w:pPr>
    </w:p>
    <w:p w14:paraId="15BFB46C" w14:textId="7B792AC9" w:rsidR="00625196" w:rsidRPr="00206C51" w:rsidRDefault="00625196" w:rsidP="00625196">
      <w:pPr>
        <w:spacing w:before="100" w:beforeAutospacing="1" w:after="100" w:afterAutospacing="1"/>
        <w:outlineLvl w:val="0"/>
        <w:rPr>
          <w:rFonts w:ascii="Times New Roman" w:eastAsia="Times New Roman" w:hAnsi="Times New Roman" w:cs="Times New Roman"/>
          <w:b/>
          <w:bCs/>
          <w:kern w:val="36"/>
          <w:sz w:val="40"/>
          <w:szCs w:val="40"/>
          <w:lang w:eastAsia="en-GB" w:bidi="hi-IN"/>
          <w14:ligatures w14:val="none"/>
        </w:rPr>
      </w:pPr>
      <w:r w:rsidRPr="00206C51">
        <w:rPr>
          <w:rFonts w:ascii="Times New Roman" w:eastAsia="Times New Roman" w:hAnsi="Times New Roman" w:cs="Times New Roman"/>
          <w:b/>
          <w:bCs/>
          <w:kern w:val="36"/>
          <w:sz w:val="40"/>
          <w:szCs w:val="40"/>
          <w:lang w:eastAsia="en-GB" w:bidi="hi-IN"/>
          <w14:ligatures w14:val="none"/>
        </w:rPr>
        <w:lastRenderedPageBreak/>
        <w:t xml:space="preserve">Exploratory Data Analysis </w:t>
      </w:r>
    </w:p>
    <w:p w14:paraId="76794BCD" w14:textId="1FE9DB34" w:rsidR="00625196" w:rsidRPr="00625196" w:rsidRDefault="00625196"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625196">
        <w:rPr>
          <w:rFonts w:ascii="Times New Roman" w:eastAsia="Times New Roman" w:hAnsi="Times New Roman" w:cs="Times New Roman"/>
          <w:kern w:val="0"/>
          <w:lang w:eastAsia="en-GB" w:bidi="hi-IN"/>
          <w14:ligatures w14:val="none"/>
        </w:rPr>
        <w:t xml:space="preserve">The normalized price chart indicates substantial differences in the long-term performance of the four stocks. Reliance Industries and </w:t>
      </w:r>
      <w:r w:rsidR="007E2BAB">
        <w:rPr>
          <w:rFonts w:ascii="Times New Roman" w:eastAsia="Times New Roman" w:hAnsi="Times New Roman" w:cs="Times New Roman"/>
          <w:kern w:val="0"/>
          <w:lang w:eastAsia="en-GB" w:bidi="hi-IN"/>
          <w14:ligatures w14:val="none"/>
        </w:rPr>
        <w:t xml:space="preserve">Infosys </w:t>
      </w:r>
      <w:r w:rsidRPr="00625196">
        <w:rPr>
          <w:rFonts w:ascii="Times New Roman" w:eastAsia="Times New Roman" w:hAnsi="Times New Roman" w:cs="Times New Roman"/>
          <w:kern w:val="0"/>
          <w:lang w:eastAsia="en-GB" w:bidi="hi-IN"/>
          <w14:ligatures w14:val="none"/>
        </w:rPr>
        <w:t xml:space="preserve">exhibited the strongest cumulative appreciation during the study period, whereas HDFC Bank and </w:t>
      </w:r>
      <w:r w:rsidR="007E2BAB">
        <w:rPr>
          <w:rFonts w:ascii="Times New Roman" w:eastAsia="Times New Roman" w:hAnsi="Times New Roman" w:cs="Times New Roman"/>
          <w:kern w:val="0"/>
          <w:lang w:eastAsia="en-GB" w:bidi="hi-IN"/>
          <w14:ligatures w14:val="none"/>
        </w:rPr>
        <w:t xml:space="preserve">Hindustan Unilever </w:t>
      </w:r>
      <w:r w:rsidRPr="00625196">
        <w:rPr>
          <w:rFonts w:ascii="Times New Roman" w:eastAsia="Times New Roman" w:hAnsi="Times New Roman" w:cs="Times New Roman"/>
          <w:kern w:val="0"/>
          <w:lang w:eastAsia="en-GB" w:bidi="hi-IN"/>
          <w14:ligatures w14:val="none"/>
        </w:rPr>
        <w:t>experienced comparatively slower growth.</w:t>
      </w:r>
    </w:p>
    <w:p w14:paraId="265DFCFF" w14:textId="77777777" w:rsidR="00625196" w:rsidRPr="00625196" w:rsidRDefault="00625196"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625196">
        <w:rPr>
          <w:rFonts w:ascii="Times New Roman" w:eastAsia="Times New Roman" w:hAnsi="Times New Roman" w:cs="Times New Roman"/>
          <w:kern w:val="0"/>
          <w:lang w:eastAsia="en-GB" w:bidi="hi-IN"/>
          <w14:ligatures w14:val="none"/>
        </w:rPr>
        <w:t>The correlation matrix revealed moderate positive correlations among the selected stocks, ranging approximately between 0.25 and 0.42. Since none of the assets moved perfectly together, combining them offered meaningful diversification opportunities, consistent with the principles of Modern Portfolio Theory.</w:t>
      </w:r>
    </w:p>
    <w:p w14:paraId="7EBF9055" w14:textId="5DBC1D25" w:rsidR="00625196" w:rsidRDefault="00625196"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625196">
        <w:rPr>
          <w:rFonts w:ascii="Times New Roman" w:eastAsia="Times New Roman" w:hAnsi="Times New Roman" w:cs="Times New Roman"/>
          <w:kern w:val="0"/>
          <w:lang w:eastAsia="en-GB" w:bidi="hi-IN"/>
          <w14:ligatures w14:val="none"/>
        </w:rPr>
        <w:t xml:space="preserve">Individual stock performance further demonstrated that </w:t>
      </w:r>
      <w:r w:rsidR="00645566">
        <w:rPr>
          <w:rFonts w:ascii="Times New Roman" w:eastAsia="Times New Roman" w:hAnsi="Times New Roman" w:cs="Times New Roman"/>
          <w:kern w:val="0"/>
          <w:lang w:eastAsia="en-GB" w:bidi="hi-IN"/>
          <w14:ligatures w14:val="none"/>
        </w:rPr>
        <w:t>Reliance</w:t>
      </w:r>
      <w:r w:rsidRPr="00625196">
        <w:rPr>
          <w:rFonts w:ascii="Times New Roman" w:eastAsia="Times New Roman" w:hAnsi="Times New Roman" w:cs="Times New Roman"/>
          <w:kern w:val="0"/>
          <w:lang w:eastAsia="en-GB" w:bidi="hi-IN"/>
          <w14:ligatures w14:val="none"/>
        </w:rPr>
        <w:t xml:space="preserve"> achieved the highest Sharpe Ratio (0.4</w:t>
      </w:r>
      <w:r w:rsidR="00645566">
        <w:rPr>
          <w:rFonts w:ascii="Times New Roman" w:eastAsia="Times New Roman" w:hAnsi="Times New Roman" w:cs="Times New Roman"/>
          <w:kern w:val="0"/>
          <w:lang w:eastAsia="en-GB" w:bidi="hi-IN"/>
          <w14:ligatures w14:val="none"/>
        </w:rPr>
        <w:t>34</w:t>
      </w:r>
      <w:r w:rsidRPr="00625196">
        <w:rPr>
          <w:rFonts w:ascii="Times New Roman" w:eastAsia="Times New Roman" w:hAnsi="Times New Roman" w:cs="Times New Roman"/>
          <w:kern w:val="0"/>
          <w:lang w:eastAsia="en-GB" w:bidi="hi-IN"/>
          <w14:ligatures w14:val="none"/>
        </w:rPr>
        <w:t xml:space="preserve">), followed closely by </w:t>
      </w:r>
      <w:r w:rsidR="00645566">
        <w:rPr>
          <w:rFonts w:ascii="Times New Roman" w:eastAsia="Times New Roman" w:hAnsi="Times New Roman" w:cs="Times New Roman"/>
          <w:kern w:val="0"/>
          <w:lang w:eastAsia="en-GB" w:bidi="hi-IN"/>
          <w14:ligatures w14:val="none"/>
        </w:rPr>
        <w:t>Infosys</w:t>
      </w:r>
      <w:r w:rsidRPr="00625196">
        <w:rPr>
          <w:rFonts w:ascii="Times New Roman" w:eastAsia="Times New Roman" w:hAnsi="Times New Roman" w:cs="Times New Roman"/>
          <w:kern w:val="0"/>
          <w:lang w:eastAsia="en-GB" w:bidi="hi-IN"/>
          <w14:ligatures w14:val="none"/>
        </w:rPr>
        <w:t xml:space="preserve"> (0.39</w:t>
      </w:r>
      <w:r w:rsidR="00645566">
        <w:rPr>
          <w:rFonts w:ascii="Times New Roman" w:eastAsia="Times New Roman" w:hAnsi="Times New Roman" w:cs="Times New Roman"/>
          <w:kern w:val="0"/>
          <w:lang w:eastAsia="en-GB" w:bidi="hi-IN"/>
          <w14:ligatures w14:val="none"/>
        </w:rPr>
        <w:t>7</w:t>
      </w:r>
      <w:r w:rsidRPr="00625196">
        <w:rPr>
          <w:rFonts w:ascii="Times New Roman" w:eastAsia="Times New Roman" w:hAnsi="Times New Roman" w:cs="Times New Roman"/>
          <w:kern w:val="0"/>
          <w:lang w:eastAsia="en-GB" w:bidi="hi-IN"/>
          <w14:ligatures w14:val="none"/>
        </w:rPr>
        <w:t>), indicating superior historical risk-adjusted performance. Infosys recorded a negative Sharpe Ratio because its annualized return remained below the assumed 6% risk-free rate.</w:t>
      </w:r>
    </w:p>
    <w:p w14:paraId="4741FD44" w14:textId="7CCC1491" w:rsidR="00625196" w:rsidRDefault="00187969" w:rsidP="00625196">
      <w:pPr>
        <w:spacing w:before="100" w:beforeAutospacing="1" w:after="100" w:afterAutospacing="1"/>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drawing>
          <wp:inline distT="0" distB="0" distL="0" distR="0" wp14:anchorId="3C3DF344" wp14:editId="1A9AF5E0">
            <wp:extent cx="5731510" cy="2752725"/>
            <wp:effectExtent l="0" t="0" r="0" b="3175"/>
            <wp:docPr id="28917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79959" name="Picture 2891799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52725"/>
                    </a:xfrm>
                    <a:prstGeom prst="rect">
                      <a:avLst/>
                    </a:prstGeom>
                  </pic:spPr>
                </pic:pic>
              </a:graphicData>
            </a:graphic>
          </wp:inline>
        </w:drawing>
      </w:r>
    </w:p>
    <w:p w14:paraId="4DFBA8E4" w14:textId="19FDD12C" w:rsidR="00625196" w:rsidRDefault="00625196" w:rsidP="00625196">
      <w:pPr>
        <w:spacing w:before="100" w:beforeAutospacing="1" w:after="100" w:afterAutospacing="1"/>
        <w:jc w:val="center"/>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Figure 1: Normalised Stock Prices</w:t>
      </w:r>
    </w:p>
    <w:p w14:paraId="68969D89" w14:textId="77777777" w:rsidR="00625196" w:rsidRDefault="00625196" w:rsidP="00625196">
      <w:pPr>
        <w:spacing w:before="100" w:beforeAutospacing="1" w:after="100" w:afterAutospacing="1"/>
        <w:rPr>
          <w:rFonts w:ascii="Times New Roman" w:eastAsia="Times New Roman" w:hAnsi="Times New Roman" w:cs="Times New Roman"/>
          <w:kern w:val="0"/>
          <w:lang w:eastAsia="en-GB" w:bidi="hi-IN"/>
          <w14:ligatures w14:val="none"/>
        </w:rPr>
      </w:pPr>
    </w:p>
    <w:p w14:paraId="6774CA6E" w14:textId="73AFD1C7" w:rsidR="00625196" w:rsidRDefault="00187969" w:rsidP="00625196">
      <w:pPr>
        <w:spacing w:before="100" w:beforeAutospacing="1" w:after="100" w:afterAutospacing="1"/>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lastRenderedPageBreak/>
        <w:drawing>
          <wp:inline distT="0" distB="0" distL="0" distR="0" wp14:anchorId="3B0FC544" wp14:editId="43FC85CB">
            <wp:extent cx="5731510" cy="4492625"/>
            <wp:effectExtent l="0" t="0" r="0" b="3175"/>
            <wp:docPr id="1936324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24273" name="Picture 1936324273"/>
                    <pic:cNvPicPr/>
                  </pic:nvPicPr>
                  <pic:blipFill>
                    <a:blip r:embed="rId11">
                      <a:extLst>
                        <a:ext uri="{28A0092B-C50C-407E-A947-70E740481C1C}">
                          <a14:useLocalDpi xmlns:a14="http://schemas.microsoft.com/office/drawing/2010/main" val="0"/>
                        </a:ext>
                      </a:extLst>
                    </a:blip>
                    <a:stretch>
                      <a:fillRect/>
                    </a:stretch>
                  </pic:blipFill>
                  <pic:spPr>
                    <a:xfrm>
                      <a:off x="0" y="0"/>
                      <a:ext cx="5731510" cy="4492625"/>
                    </a:xfrm>
                    <a:prstGeom prst="rect">
                      <a:avLst/>
                    </a:prstGeom>
                  </pic:spPr>
                </pic:pic>
              </a:graphicData>
            </a:graphic>
          </wp:inline>
        </w:drawing>
      </w:r>
    </w:p>
    <w:p w14:paraId="092F14AA" w14:textId="64CB12E7" w:rsidR="00625196" w:rsidRDefault="00625196" w:rsidP="00625196">
      <w:pPr>
        <w:spacing w:before="100" w:beforeAutospacing="1" w:after="100" w:afterAutospacing="1"/>
        <w:jc w:val="center"/>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Figure 2: Correlation Heatmap</w:t>
      </w:r>
    </w:p>
    <w:p w14:paraId="7E7EA901" w14:textId="77777777" w:rsidR="00625196" w:rsidRDefault="00625196" w:rsidP="00625196">
      <w:pPr>
        <w:spacing w:before="100" w:beforeAutospacing="1" w:after="100" w:afterAutospacing="1"/>
        <w:rPr>
          <w:rFonts w:ascii="Times New Roman" w:eastAsia="Times New Roman" w:hAnsi="Times New Roman" w:cs="Times New Roman"/>
          <w:kern w:val="0"/>
          <w:lang w:eastAsia="en-GB" w:bidi="hi-IN"/>
          <w14:ligatures w14:val="none"/>
        </w:rPr>
      </w:pPr>
    </w:p>
    <w:p w14:paraId="5E812C95" w14:textId="388A16E7" w:rsidR="00625196" w:rsidRDefault="00187969" w:rsidP="00625196">
      <w:pPr>
        <w:spacing w:before="100" w:beforeAutospacing="1" w:after="100" w:afterAutospacing="1"/>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noProof/>
          <w:kern w:val="0"/>
          <w:lang w:eastAsia="en-GB" w:bidi="hi-IN"/>
        </w:rPr>
        <w:drawing>
          <wp:inline distT="0" distB="0" distL="0" distR="0" wp14:anchorId="249D79CE" wp14:editId="0E6FEE02">
            <wp:extent cx="5731510" cy="1569085"/>
            <wp:effectExtent l="0" t="0" r="0" b="5715"/>
            <wp:docPr id="298821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21586" name="Picture 298821586"/>
                    <pic:cNvPicPr/>
                  </pic:nvPicPr>
                  <pic:blipFill>
                    <a:blip r:embed="rId12">
                      <a:extLst>
                        <a:ext uri="{28A0092B-C50C-407E-A947-70E740481C1C}">
                          <a14:useLocalDpi xmlns:a14="http://schemas.microsoft.com/office/drawing/2010/main" val="0"/>
                        </a:ext>
                      </a:extLst>
                    </a:blip>
                    <a:stretch>
                      <a:fillRect/>
                    </a:stretch>
                  </pic:blipFill>
                  <pic:spPr>
                    <a:xfrm>
                      <a:off x="0" y="0"/>
                      <a:ext cx="5731510" cy="1569085"/>
                    </a:xfrm>
                    <a:prstGeom prst="rect">
                      <a:avLst/>
                    </a:prstGeom>
                  </pic:spPr>
                </pic:pic>
              </a:graphicData>
            </a:graphic>
          </wp:inline>
        </w:drawing>
      </w:r>
    </w:p>
    <w:p w14:paraId="07D55E3C" w14:textId="412A73CD" w:rsidR="00625196" w:rsidRDefault="00625196" w:rsidP="00625196">
      <w:pPr>
        <w:spacing w:before="100" w:beforeAutospacing="1" w:after="100" w:afterAutospacing="1"/>
        <w:jc w:val="center"/>
        <w:rPr>
          <w:rFonts w:ascii="Times New Roman" w:eastAsia="Times New Roman" w:hAnsi="Times New Roman" w:cs="Times New Roman"/>
          <w:kern w:val="0"/>
          <w:lang w:eastAsia="en-GB" w:bidi="hi-IN"/>
          <w14:ligatures w14:val="none"/>
        </w:rPr>
      </w:pPr>
      <w:r>
        <w:rPr>
          <w:rFonts w:ascii="Times New Roman" w:eastAsia="Times New Roman" w:hAnsi="Times New Roman" w:cs="Times New Roman"/>
          <w:kern w:val="0"/>
          <w:lang w:eastAsia="en-GB" w:bidi="hi-IN"/>
          <w14:ligatures w14:val="none"/>
        </w:rPr>
        <w:t>Table 1: Risk-Return Performance of Individual Stocks</w:t>
      </w:r>
    </w:p>
    <w:p w14:paraId="082D61CA" w14:textId="77777777" w:rsidR="00625196" w:rsidRDefault="00625196" w:rsidP="00625196">
      <w:pPr>
        <w:spacing w:before="100" w:beforeAutospacing="1" w:after="100" w:afterAutospacing="1"/>
        <w:rPr>
          <w:rFonts w:ascii="Times New Roman" w:eastAsia="Times New Roman" w:hAnsi="Times New Roman" w:cs="Times New Roman"/>
          <w:kern w:val="0"/>
          <w:lang w:eastAsia="en-GB" w:bidi="hi-IN"/>
          <w14:ligatures w14:val="none"/>
        </w:rPr>
      </w:pPr>
    </w:p>
    <w:p w14:paraId="25DAEA77" w14:textId="77D750AE" w:rsidR="00625196" w:rsidRPr="00206C51" w:rsidRDefault="00625196" w:rsidP="00206C51">
      <w:pPr>
        <w:spacing w:before="100" w:beforeAutospacing="1" w:after="100" w:afterAutospacing="1"/>
        <w:outlineLvl w:val="0"/>
        <w:rPr>
          <w:rFonts w:ascii="Times New Roman" w:eastAsia="Times New Roman" w:hAnsi="Times New Roman" w:cs="Times New Roman"/>
          <w:b/>
          <w:bCs/>
          <w:kern w:val="36"/>
          <w:sz w:val="40"/>
          <w:szCs w:val="40"/>
          <w:lang w:eastAsia="en-GB" w:bidi="hi-IN"/>
          <w14:ligatures w14:val="none"/>
        </w:rPr>
      </w:pPr>
      <w:r w:rsidRPr="00206C51">
        <w:rPr>
          <w:rFonts w:ascii="Times New Roman" w:eastAsia="Times New Roman" w:hAnsi="Times New Roman" w:cs="Times New Roman"/>
          <w:b/>
          <w:bCs/>
          <w:kern w:val="36"/>
          <w:sz w:val="40"/>
          <w:szCs w:val="40"/>
          <w:lang w:eastAsia="en-GB" w:bidi="hi-IN"/>
          <w14:ligatures w14:val="none"/>
        </w:rPr>
        <w:t>Portfolio Construction and Optimization</w:t>
      </w:r>
    </w:p>
    <w:p w14:paraId="3DF48BBC" w14:textId="77777777" w:rsidR="00625196" w:rsidRDefault="00625196" w:rsidP="00206C51">
      <w:pPr>
        <w:pStyle w:val="pdq2pgselectionanchorcontainer"/>
        <w:jc w:val="both"/>
      </w:pPr>
      <w:r>
        <w:t>The Equal-Weighted Portfolio allocated 25% of capital to each stock and served as the baseline strategy against which optimization techniques were evaluated.</w:t>
      </w:r>
    </w:p>
    <w:p w14:paraId="69A17600" w14:textId="77777777" w:rsidR="00625196" w:rsidRDefault="00625196" w:rsidP="00206C51">
      <w:pPr>
        <w:pStyle w:val="NormalWeb"/>
        <w:jc w:val="both"/>
      </w:pPr>
      <w:r>
        <w:lastRenderedPageBreak/>
        <w:t>Monte Carlo simulation generated 10,000 randomly weighted portfolios, allowing visualization of the feasible risk-return opportunity set. Each portfolio was evaluated using annualized return, volatility and the Sharpe Ratio. The simulation identified portfolios with the highest Sharpe Ratio and the lowest variance.</w:t>
      </w:r>
    </w:p>
    <w:p w14:paraId="7238BB82" w14:textId="77777777" w:rsidR="00625196" w:rsidRDefault="00625196" w:rsidP="00206C51">
      <w:pPr>
        <w:pStyle w:val="NormalWeb"/>
        <w:jc w:val="both"/>
      </w:pPr>
      <w:r>
        <w:t>To obtain mathematically optimal solutions, constrained optimization was subsequently performed using the SLSQP algorithm. Unlike Monte Carlo simulation, which relies on random sampling, SLSQP directly solves the optimization problem while satisfying practical investment constraints.</w:t>
      </w:r>
    </w:p>
    <w:p w14:paraId="057E5E72" w14:textId="34B1C86E" w:rsidR="00625196" w:rsidRDefault="00625196" w:rsidP="00206C51">
      <w:pPr>
        <w:pStyle w:val="NormalWeb"/>
        <w:jc w:val="both"/>
      </w:pPr>
      <w:r>
        <w:t>The optimized Maximum Sharpe portfolio allocated nearly all capital between Reliance Industries and</w:t>
      </w:r>
      <w:r w:rsidR="00645566">
        <w:t xml:space="preserve"> Infosys</w:t>
      </w:r>
      <w:r>
        <w:t xml:space="preserve">, reflecting their superior historical risk-adjusted performance. Conversely, the Minimum Variance portfolio assigned a larger allocation to </w:t>
      </w:r>
      <w:r w:rsidR="00645566">
        <w:t>Hindustan Unilever</w:t>
      </w:r>
      <w:r>
        <w:t xml:space="preserve"> because optimization sought to minimize overall portfolio volatility rather than maximize individual stock returns.</w:t>
      </w:r>
    </w:p>
    <w:p w14:paraId="5BF9E466" w14:textId="77777777" w:rsidR="00625196" w:rsidRDefault="00625196" w:rsidP="00206C51">
      <w:pPr>
        <w:pStyle w:val="NormalWeb"/>
        <w:jc w:val="both"/>
      </w:pPr>
      <w:r>
        <w:t>The close agreement between Monte Carlo portfolios and their mathematically optimized counterparts indicates that the random simulation successfully approximated the optimal region of the feasible investment set.</w:t>
      </w:r>
    </w:p>
    <w:p w14:paraId="00A38943" w14:textId="3A802E3E" w:rsidR="00625196" w:rsidRDefault="00187969" w:rsidP="00625196">
      <w:pPr>
        <w:spacing w:before="100" w:beforeAutospacing="1" w:after="100" w:afterAutospacing="1"/>
        <w:rPr>
          <w:rFonts w:ascii="Times New Roman" w:eastAsia="Times New Roman" w:hAnsi="Times New Roman" w:cs="Times New Roman"/>
          <w:b/>
          <w:bCs/>
          <w:kern w:val="36"/>
          <w:sz w:val="48"/>
          <w:szCs w:val="48"/>
          <w:lang w:eastAsia="en-GB" w:bidi="hi-IN"/>
          <w14:ligatures w14:val="none"/>
        </w:rPr>
      </w:pPr>
      <w:r>
        <w:rPr>
          <w:rFonts w:ascii="Times New Roman" w:eastAsia="Times New Roman" w:hAnsi="Times New Roman" w:cs="Times New Roman"/>
          <w:b/>
          <w:bCs/>
          <w:noProof/>
          <w:kern w:val="36"/>
          <w:sz w:val="48"/>
          <w:szCs w:val="48"/>
          <w:lang w:eastAsia="en-GB" w:bidi="hi-IN"/>
        </w:rPr>
        <w:drawing>
          <wp:inline distT="0" distB="0" distL="0" distR="0" wp14:anchorId="627ADC75" wp14:editId="207A9B0D">
            <wp:extent cx="5731510" cy="4481195"/>
            <wp:effectExtent l="0" t="0" r="0" b="1905"/>
            <wp:docPr id="1334333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33234" name="Picture 13343332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481195"/>
                    </a:xfrm>
                    <a:prstGeom prst="rect">
                      <a:avLst/>
                    </a:prstGeom>
                  </pic:spPr>
                </pic:pic>
              </a:graphicData>
            </a:graphic>
          </wp:inline>
        </w:drawing>
      </w:r>
    </w:p>
    <w:p w14:paraId="11636337" w14:textId="7603CE35" w:rsidR="00A97457" w:rsidRPr="00A97457" w:rsidRDefault="00A97457" w:rsidP="00A97457">
      <w:pPr>
        <w:spacing w:before="100" w:beforeAutospacing="1" w:after="100" w:afterAutospacing="1"/>
        <w:jc w:val="center"/>
        <w:rPr>
          <w:rFonts w:ascii="Times New Roman" w:eastAsia="Times New Roman" w:hAnsi="Times New Roman" w:cs="Times New Roman"/>
          <w:kern w:val="0"/>
          <w:lang w:eastAsia="en-GB" w:bidi="hi-IN"/>
          <w14:ligatures w14:val="none"/>
        </w:rPr>
      </w:pPr>
      <w:r w:rsidRPr="00A97457">
        <w:rPr>
          <w:rFonts w:ascii="Times New Roman" w:eastAsia="Times New Roman" w:hAnsi="Times New Roman" w:cs="Times New Roman"/>
          <w:kern w:val="0"/>
          <w:lang w:eastAsia="en-GB" w:bidi="hi-IN"/>
          <w14:ligatures w14:val="none"/>
        </w:rPr>
        <w:t>Figure 3: Risk-Return on Individual Stocks</w:t>
      </w:r>
    </w:p>
    <w:p w14:paraId="792B7076" w14:textId="77777777" w:rsidR="00625196" w:rsidRDefault="00625196" w:rsidP="00625196">
      <w:pPr>
        <w:spacing w:before="100" w:beforeAutospacing="1" w:after="100" w:afterAutospacing="1"/>
        <w:rPr>
          <w:rFonts w:ascii="Times New Roman" w:eastAsia="Times New Roman" w:hAnsi="Times New Roman" w:cs="Times New Roman"/>
          <w:b/>
          <w:bCs/>
          <w:kern w:val="36"/>
          <w:sz w:val="48"/>
          <w:szCs w:val="48"/>
          <w:lang w:eastAsia="en-GB" w:bidi="hi-IN"/>
          <w14:ligatures w14:val="none"/>
        </w:rPr>
      </w:pPr>
    </w:p>
    <w:p w14:paraId="492D995F" w14:textId="0EE41DC7" w:rsidR="00625196" w:rsidRDefault="00187969" w:rsidP="00625196">
      <w:pPr>
        <w:spacing w:before="100" w:beforeAutospacing="1" w:after="100" w:afterAutospacing="1"/>
        <w:rPr>
          <w:rFonts w:ascii="Times New Roman" w:eastAsia="Times New Roman" w:hAnsi="Times New Roman" w:cs="Times New Roman"/>
          <w:b/>
          <w:bCs/>
          <w:kern w:val="36"/>
          <w:sz w:val="48"/>
          <w:szCs w:val="48"/>
          <w:lang w:eastAsia="en-GB" w:bidi="hi-IN"/>
          <w14:ligatures w14:val="none"/>
        </w:rPr>
      </w:pPr>
      <w:r>
        <w:rPr>
          <w:rFonts w:ascii="Times New Roman" w:eastAsia="Times New Roman" w:hAnsi="Times New Roman" w:cs="Times New Roman"/>
          <w:b/>
          <w:bCs/>
          <w:noProof/>
          <w:kern w:val="36"/>
          <w:sz w:val="48"/>
          <w:szCs w:val="48"/>
          <w:lang w:eastAsia="en-GB" w:bidi="hi-IN"/>
        </w:rPr>
        <w:drawing>
          <wp:inline distT="0" distB="0" distL="0" distR="0" wp14:anchorId="60570374" wp14:editId="25BEB6E1">
            <wp:extent cx="5731510" cy="4355465"/>
            <wp:effectExtent l="0" t="0" r="0" b="635"/>
            <wp:docPr id="1634707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07783" name="Picture 16347077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355465"/>
                    </a:xfrm>
                    <a:prstGeom prst="rect">
                      <a:avLst/>
                    </a:prstGeom>
                  </pic:spPr>
                </pic:pic>
              </a:graphicData>
            </a:graphic>
          </wp:inline>
        </w:drawing>
      </w:r>
    </w:p>
    <w:p w14:paraId="7D2B9CEF" w14:textId="000591AF" w:rsidR="00A97457" w:rsidRDefault="00A97457" w:rsidP="00A97457">
      <w:pPr>
        <w:spacing w:before="100" w:beforeAutospacing="1" w:after="100" w:afterAutospacing="1"/>
        <w:jc w:val="center"/>
        <w:rPr>
          <w:rFonts w:ascii="Times New Roman" w:eastAsia="Times New Roman" w:hAnsi="Times New Roman" w:cs="Times New Roman"/>
          <w:kern w:val="36"/>
          <w:lang w:eastAsia="en-GB" w:bidi="hi-IN"/>
          <w14:ligatures w14:val="none"/>
        </w:rPr>
      </w:pPr>
      <w:r>
        <w:rPr>
          <w:rFonts w:ascii="Times New Roman" w:eastAsia="Times New Roman" w:hAnsi="Times New Roman" w:cs="Times New Roman"/>
          <w:kern w:val="36"/>
          <w:lang w:eastAsia="en-GB" w:bidi="hi-IN"/>
          <w14:ligatures w14:val="none"/>
        </w:rPr>
        <w:t>Figure 4: Efficient Frontier using Monte Carlo Simulation</w:t>
      </w:r>
    </w:p>
    <w:p w14:paraId="0D41D5D8" w14:textId="77777777" w:rsidR="008B4227" w:rsidRPr="00A97457" w:rsidRDefault="008B4227" w:rsidP="00A97457">
      <w:pPr>
        <w:spacing w:before="100" w:beforeAutospacing="1" w:after="100" w:afterAutospacing="1"/>
        <w:jc w:val="center"/>
        <w:rPr>
          <w:rFonts w:ascii="Times New Roman" w:eastAsia="Times New Roman" w:hAnsi="Times New Roman" w:cs="Times New Roman"/>
          <w:kern w:val="36"/>
          <w:lang w:eastAsia="en-GB" w:bidi="hi-IN"/>
          <w14:ligatures w14:val="none"/>
        </w:rPr>
      </w:pPr>
    </w:p>
    <w:p w14:paraId="545BC404" w14:textId="47E42F2D" w:rsidR="00A97457" w:rsidRDefault="00187969" w:rsidP="00625196">
      <w:pPr>
        <w:spacing w:before="100" w:beforeAutospacing="1" w:after="100" w:afterAutospacing="1"/>
        <w:rPr>
          <w:rFonts w:ascii="Times New Roman" w:eastAsia="Times New Roman" w:hAnsi="Times New Roman" w:cs="Times New Roman"/>
          <w:b/>
          <w:bCs/>
          <w:kern w:val="36"/>
          <w:sz w:val="48"/>
          <w:szCs w:val="48"/>
          <w:lang w:eastAsia="en-GB" w:bidi="hi-IN"/>
          <w14:ligatures w14:val="none"/>
        </w:rPr>
      </w:pPr>
      <w:r>
        <w:rPr>
          <w:rFonts w:ascii="Times New Roman" w:eastAsia="Times New Roman" w:hAnsi="Times New Roman" w:cs="Times New Roman"/>
          <w:b/>
          <w:bCs/>
          <w:noProof/>
          <w:kern w:val="36"/>
          <w:sz w:val="48"/>
          <w:szCs w:val="48"/>
          <w:lang w:eastAsia="en-GB" w:bidi="hi-IN"/>
        </w:rPr>
        <w:drawing>
          <wp:inline distT="0" distB="0" distL="0" distR="0" wp14:anchorId="17F2BAD9" wp14:editId="21CBE28B">
            <wp:extent cx="5731510" cy="1434465"/>
            <wp:effectExtent l="0" t="0" r="0" b="635"/>
            <wp:docPr id="415453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53598" name="Picture 4154535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434465"/>
                    </a:xfrm>
                    <a:prstGeom prst="rect">
                      <a:avLst/>
                    </a:prstGeom>
                  </pic:spPr>
                </pic:pic>
              </a:graphicData>
            </a:graphic>
          </wp:inline>
        </w:drawing>
      </w:r>
    </w:p>
    <w:p w14:paraId="178650EB" w14:textId="308D858A" w:rsidR="008B4227" w:rsidRPr="008B4227" w:rsidRDefault="008B4227" w:rsidP="008B4227">
      <w:pPr>
        <w:spacing w:before="100" w:beforeAutospacing="1" w:after="100" w:afterAutospacing="1"/>
        <w:jc w:val="center"/>
        <w:rPr>
          <w:rFonts w:ascii="Times New Roman" w:eastAsia="Times New Roman" w:hAnsi="Times New Roman" w:cs="Times New Roman"/>
          <w:kern w:val="36"/>
          <w:lang w:eastAsia="en-GB" w:bidi="hi-IN"/>
          <w14:ligatures w14:val="none"/>
        </w:rPr>
      </w:pPr>
      <w:r>
        <w:rPr>
          <w:rFonts w:ascii="Times New Roman" w:eastAsia="Times New Roman" w:hAnsi="Times New Roman" w:cs="Times New Roman"/>
          <w:kern w:val="36"/>
          <w:lang w:eastAsia="en-GB" w:bidi="hi-IN"/>
          <w14:ligatures w14:val="none"/>
        </w:rPr>
        <w:t>Table 2: Portfolio Weights</w:t>
      </w:r>
    </w:p>
    <w:p w14:paraId="3A4CF781" w14:textId="3198E208" w:rsidR="00A97457" w:rsidRPr="00206C51" w:rsidRDefault="00A97457" w:rsidP="00A97457">
      <w:pPr>
        <w:spacing w:before="100" w:beforeAutospacing="1" w:after="100" w:afterAutospacing="1"/>
        <w:outlineLvl w:val="0"/>
        <w:rPr>
          <w:rFonts w:ascii="Times New Roman" w:eastAsia="Times New Roman" w:hAnsi="Times New Roman" w:cs="Times New Roman"/>
          <w:b/>
          <w:bCs/>
          <w:kern w:val="36"/>
          <w:sz w:val="40"/>
          <w:szCs w:val="40"/>
          <w:lang w:eastAsia="en-GB" w:bidi="hi-IN"/>
          <w14:ligatures w14:val="none"/>
        </w:rPr>
      </w:pPr>
      <w:r w:rsidRPr="00206C51">
        <w:rPr>
          <w:rFonts w:ascii="Times New Roman" w:eastAsia="Times New Roman" w:hAnsi="Times New Roman" w:cs="Times New Roman"/>
          <w:b/>
          <w:bCs/>
          <w:kern w:val="36"/>
          <w:sz w:val="40"/>
          <w:szCs w:val="40"/>
          <w:lang w:eastAsia="en-GB" w:bidi="hi-IN"/>
          <w14:ligatures w14:val="none"/>
        </w:rPr>
        <w:t xml:space="preserve">Performance Evaluation and Benchmark Comparison </w:t>
      </w:r>
    </w:p>
    <w:p w14:paraId="35BFF431" w14:textId="6A112CD7" w:rsidR="00A97457" w:rsidRPr="00A97457" w:rsidRDefault="00A97457"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A97457">
        <w:rPr>
          <w:rFonts w:ascii="Times New Roman" w:eastAsia="Times New Roman" w:hAnsi="Times New Roman" w:cs="Times New Roman"/>
          <w:kern w:val="0"/>
          <w:lang w:eastAsia="en-GB" w:bidi="hi-IN"/>
          <w14:ligatures w14:val="none"/>
        </w:rPr>
        <w:t>The optimized Maximum Sharpe portfolio achieved the highest annualized return (17.</w:t>
      </w:r>
      <w:r w:rsidR="00645566">
        <w:rPr>
          <w:rFonts w:ascii="Times New Roman" w:eastAsia="Times New Roman" w:hAnsi="Times New Roman" w:cs="Times New Roman"/>
          <w:kern w:val="0"/>
          <w:lang w:eastAsia="en-GB" w:bidi="hi-IN"/>
          <w14:ligatures w14:val="none"/>
        </w:rPr>
        <w:t>6</w:t>
      </w:r>
      <w:r w:rsidRPr="00A97457">
        <w:rPr>
          <w:rFonts w:ascii="Times New Roman" w:eastAsia="Times New Roman" w:hAnsi="Times New Roman" w:cs="Times New Roman"/>
          <w:kern w:val="0"/>
          <w:lang w:eastAsia="en-GB" w:bidi="hi-IN"/>
          <w14:ligatures w14:val="none"/>
        </w:rPr>
        <w:t>%) and the strongest risk-adjusted performance, with a Sharpe Ratio of approximately 0.5</w:t>
      </w:r>
      <w:r w:rsidR="00645566">
        <w:rPr>
          <w:rFonts w:ascii="Times New Roman" w:eastAsia="Times New Roman" w:hAnsi="Times New Roman" w:cs="Times New Roman"/>
          <w:kern w:val="0"/>
          <w:lang w:eastAsia="en-GB" w:bidi="hi-IN"/>
          <w14:ligatures w14:val="none"/>
        </w:rPr>
        <w:t>2</w:t>
      </w:r>
      <w:r w:rsidRPr="00A97457">
        <w:rPr>
          <w:rFonts w:ascii="Times New Roman" w:eastAsia="Times New Roman" w:hAnsi="Times New Roman" w:cs="Times New Roman"/>
          <w:kern w:val="0"/>
          <w:lang w:eastAsia="en-GB" w:bidi="hi-IN"/>
          <w14:ligatures w14:val="none"/>
        </w:rPr>
        <w:t xml:space="preserve">. The </w:t>
      </w:r>
      <w:r w:rsidRPr="00A97457">
        <w:rPr>
          <w:rFonts w:ascii="Times New Roman" w:eastAsia="Times New Roman" w:hAnsi="Times New Roman" w:cs="Times New Roman"/>
          <w:kern w:val="0"/>
          <w:lang w:eastAsia="en-GB" w:bidi="hi-IN"/>
          <w14:ligatures w14:val="none"/>
        </w:rPr>
        <w:lastRenderedPageBreak/>
        <w:t>Minimum Variance portfolio exhibited the lowest annualized volatility (17.4%), although this reduction in risk came at the cost of lower returns.</w:t>
      </w:r>
    </w:p>
    <w:p w14:paraId="2007DDF6" w14:textId="77777777" w:rsidR="00A97457" w:rsidRPr="00A97457" w:rsidRDefault="00A97457"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A97457">
        <w:rPr>
          <w:rFonts w:ascii="Times New Roman" w:eastAsia="Times New Roman" w:hAnsi="Times New Roman" w:cs="Times New Roman"/>
          <w:kern w:val="0"/>
          <w:lang w:eastAsia="en-GB" w:bidi="hi-IN"/>
          <w14:ligatures w14:val="none"/>
        </w:rPr>
        <w:t>Downside risk analysis complemented these findings. Maximum Drawdown quantified the largest historical loss experienced by each portfolio, while the Calmar Ratio evaluated return relative to that worst decline. Together with the Sharpe Ratio, these measures provided a comprehensive assessment of portfolio quality from both total-risk and downside-risk perspectives.</w:t>
      </w:r>
    </w:p>
    <w:p w14:paraId="68DAD7E5" w14:textId="77777777" w:rsidR="00A97457" w:rsidRPr="00A97457" w:rsidRDefault="00A97457"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A97457">
        <w:rPr>
          <w:rFonts w:ascii="Times New Roman" w:eastAsia="Times New Roman" w:hAnsi="Times New Roman" w:cs="Times New Roman"/>
          <w:kern w:val="0"/>
          <w:lang w:eastAsia="en-GB" w:bidi="hi-IN"/>
          <w14:ligatures w14:val="none"/>
        </w:rPr>
        <w:t>Benchmark comparison demonstrated that the optimized portfolios generally outperformed the NIFTY 50 on a risk-adjusted basis during the historical sample period. However, these findings should be interpreted as evidence of superior historical performance rather than a guarantee of future outperformance.</w:t>
      </w:r>
    </w:p>
    <w:p w14:paraId="48BB48D7" w14:textId="350AEF5E" w:rsidR="00A97457" w:rsidRDefault="00187969" w:rsidP="00A97457">
      <w:pPr>
        <w:spacing w:before="100" w:beforeAutospacing="1" w:after="100" w:afterAutospacing="1"/>
        <w:rPr>
          <w:rFonts w:ascii="Times New Roman" w:eastAsia="Times New Roman" w:hAnsi="Times New Roman" w:cs="Times New Roman"/>
          <w:kern w:val="36"/>
          <w:lang w:eastAsia="en-GB" w:bidi="hi-IN"/>
          <w14:ligatures w14:val="none"/>
        </w:rPr>
      </w:pPr>
      <w:r>
        <w:rPr>
          <w:rFonts w:ascii="Times New Roman" w:eastAsia="Times New Roman" w:hAnsi="Times New Roman" w:cs="Times New Roman"/>
          <w:noProof/>
          <w:kern w:val="36"/>
          <w:lang w:eastAsia="en-GB" w:bidi="hi-IN"/>
        </w:rPr>
        <w:drawing>
          <wp:inline distT="0" distB="0" distL="0" distR="0" wp14:anchorId="7F8DB0ED" wp14:editId="593A0482">
            <wp:extent cx="5731510" cy="3028315"/>
            <wp:effectExtent l="0" t="0" r="0" b="0"/>
            <wp:docPr id="1019188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88549" name="Picture 10191885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28315"/>
                    </a:xfrm>
                    <a:prstGeom prst="rect">
                      <a:avLst/>
                    </a:prstGeom>
                  </pic:spPr>
                </pic:pic>
              </a:graphicData>
            </a:graphic>
          </wp:inline>
        </w:drawing>
      </w:r>
    </w:p>
    <w:p w14:paraId="13B717F0" w14:textId="2C8801E3" w:rsidR="00A97457" w:rsidRDefault="00A97457" w:rsidP="00A97457">
      <w:pPr>
        <w:spacing w:before="100" w:beforeAutospacing="1" w:after="100" w:afterAutospacing="1"/>
        <w:jc w:val="center"/>
        <w:rPr>
          <w:rFonts w:ascii="Times New Roman" w:eastAsia="Times New Roman" w:hAnsi="Times New Roman" w:cs="Times New Roman"/>
          <w:kern w:val="36"/>
          <w:lang w:eastAsia="en-GB" w:bidi="hi-IN"/>
          <w14:ligatures w14:val="none"/>
        </w:rPr>
      </w:pPr>
      <w:r>
        <w:rPr>
          <w:rFonts w:ascii="Times New Roman" w:eastAsia="Times New Roman" w:hAnsi="Times New Roman" w:cs="Times New Roman"/>
          <w:kern w:val="36"/>
          <w:lang w:eastAsia="en-GB" w:bidi="hi-IN"/>
          <w14:ligatures w14:val="none"/>
        </w:rPr>
        <w:t>Figure 5: Growth of ₹1 Invested in Portfolios vs Nifty 50</w:t>
      </w:r>
    </w:p>
    <w:p w14:paraId="57296CB1" w14:textId="77777777" w:rsidR="00A97457" w:rsidRDefault="00A97457" w:rsidP="00A97457">
      <w:pPr>
        <w:spacing w:before="100" w:beforeAutospacing="1" w:after="100" w:afterAutospacing="1"/>
        <w:rPr>
          <w:rFonts w:ascii="Times New Roman" w:eastAsia="Times New Roman" w:hAnsi="Times New Roman" w:cs="Times New Roman"/>
          <w:kern w:val="36"/>
          <w:lang w:eastAsia="en-GB" w:bidi="hi-IN"/>
          <w14:ligatures w14:val="none"/>
        </w:rPr>
      </w:pPr>
    </w:p>
    <w:p w14:paraId="6A299401" w14:textId="63EDE54C" w:rsidR="00A97457" w:rsidRDefault="00187969" w:rsidP="00A97457">
      <w:pPr>
        <w:spacing w:before="100" w:beforeAutospacing="1" w:after="100" w:afterAutospacing="1"/>
        <w:rPr>
          <w:rFonts w:ascii="Times New Roman" w:eastAsia="Times New Roman" w:hAnsi="Times New Roman" w:cs="Times New Roman"/>
          <w:kern w:val="36"/>
          <w:lang w:eastAsia="en-GB" w:bidi="hi-IN"/>
          <w14:ligatures w14:val="none"/>
        </w:rPr>
      </w:pPr>
      <w:r>
        <w:rPr>
          <w:rFonts w:ascii="Times New Roman" w:eastAsia="Times New Roman" w:hAnsi="Times New Roman" w:cs="Times New Roman"/>
          <w:noProof/>
          <w:kern w:val="36"/>
          <w:lang w:eastAsia="en-GB" w:bidi="hi-IN"/>
        </w:rPr>
        <w:drawing>
          <wp:inline distT="0" distB="0" distL="0" distR="0" wp14:anchorId="38828EF8" wp14:editId="79C016DD">
            <wp:extent cx="5731510" cy="1637665"/>
            <wp:effectExtent l="0" t="0" r="0" b="635"/>
            <wp:docPr id="13817524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52461" name="Picture 13817524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637665"/>
                    </a:xfrm>
                    <a:prstGeom prst="rect">
                      <a:avLst/>
                    </a:prstGeom>
                  </pic:spPr>
                </pic:pic>
              </a:graphicData>
            </a:graphic>
          </wp:inline>
        </w:drawing>
      </w:r>
    </w:p>
    <w:p w14:paraId="0ED26E6D" w14:textId="45066226" w:rsidR="00A97457" w:rsidRDefault="00A97457" w:rsidP="00A97457">
      <w:pPr>
        <w:spacing w:before="100" w:beforeAutospacing="1" w:after="100" w:afterAutospacing="1"/>
        <w:jc w:val="center"/>
        <w:rPr>
          <w:rFonts w:ascii="Times New Roman" w:eastAsia="Times New Roman" w:hAnsi="Times New Roman" w:cs="Times New Roman"/>
          <w:kern w:val="36"/>
          <w:lang w:eastAsia="en-GB" w:bidi="hi-IN"/>
          <w14:ligatures w14:val="none"/>
        </w:rPr>
      </w:pPr>
      <w:r>
        <w:rPr>
          <w:rFonts w:ascii="Times New Roman" w:eastAsia="Times New Roman" w:hAnsi="Times New Roman" w:cs="Times New Roman"/>
          <w:kern w:val="36"/>
          <w:lang w:eastAsia="en-GB" w:bidi="hi-IN"/>
          <w14:ligatures w14:val="none"/>
        </w:rPr>
        <w:t xml:space="preserve">Table </w:t>
      </w:r>
      <w:r w:rsidR="008B4227">
        <w:rPr>
          <w:rFonts w:ascii="Times New Roman" w:eastAsia="Times New Roman" w:hAnsi="Times New Roman" w:cs="Times New Roman"/>
          <w:kern w:val="36"/>
          <w:lang w:eastAsia="en-GB" w:bidi="hi-IN"/>
          <w14:ligatures w14:val="none"/>
        </w:rPr>
        <w:t>3</w:t>
      </w:r>
      <w:r>
        <w:rPr>
          <w:rFonts w:ascii="Times New Roman" w:eastAsia="Times New Roman" w:hAnsi="Times New Roman" w:cs="Times New Roman"/>
          <w:kern w:val="36"/>
          <w:lang w:eastAsia="en-GB" w:bidi="hi-IN"/>
          <w14:ligatures w14:val="none"/>
        </w:rPr>
        <w:t>: Final Performance Comparison</w:t>
      </w:r>
    </w:p>
    <w:p w14:paraId="426C05ED" w14:textId="77777777" w:rsidR="00A97457" w:rsidRPr="00A97457" w:rsidRDefault="00A97457" w:rsidP="00A97457">
      <w:pPr>
        <w:spacing w:before="100" w:beforeAutospacing="1" w:after="100" w:afterAutospacing="1"/>
        <w:rPr>
          <w:rFonts w:ascii="Times New Roman" w:eastAsia="Times New Roman" w:hAnsi="Times New Roman" w:cs="Times New Roman"/>
          <w:kern w:val="36"/>
          <w:lang w:eastAsia="en-GB" w:bidi="hi-IN"/>
          <w14:ligatures w14:val="none"/>
        </w:rPr>
      </w:pPr>
    </w:p>
    <w:p w14:paraId="6E80EA50" w14:textId="7EFC1AC5" w:rsidR="00253306" w:rsidRPr="00253306" w:rsidRDefault="00253306" w:rsidP="00253306">
      <w:pPr>
        <w:spacing w:before="100" w:beforeAutospacing="1" w:after="100" w:afterAutospacing="1"/>
        <w:rPr>
          <w:rFonts w:ascii="Times New Roman" w:eastAsia="Times New Roman" w:hAnsi="Times New Roman" w:cs="Times New Roman"/>
          <w:kern w:val="0"/>
          <w:lang w:eastAsia="en-GB" w:bidi="hi-IN"/>
          <w14:ligatures w14:val="none"/>
        </w:rPr>
      </w:pPr>
    </w:p>
    <w:p w14:paraId="2A481E06" w14:textId="3EC224AD" w:rsidR="00206C51" w:rsidRPr="00206C51" w:rsidRDefault="00206C51" w:rsidP="00206C51">
      <w:pPr>
        <w:spacing w:before="100" w:beforeAutospacing="1" w:after="100" w:afterAutospacing="1"/>
        <w:outlineLvl w:val="0"/>
        <w:rPr>
          <w:rFonts w:ascii="Times New Roman" w:eastAsia="Times New Roman" w:hAnsi="Times New Roman" w:cs="Times New Roman"/>
          <w:b/>
          <w:bCs/>
          <w:kern w:val="36"/>
          <w:sz w:val="48"/>
          <w:szCs w:val="48"/>
          <w:lang w:eastAsia="en-GB" w:bidi="hi-IN"/>
          <w14:ligatures w14:val="none"/>
        </w:rPr>
      </w:pPr>
      <w:r w:rsidRPr="00206C51">
        <w:rPr>
          <w:rFonts w:ascii="Times New Roman" w:eastAsia="Times New Roman" w:hAnsi="Times New Roman" w:cs="Times New Roman"/>
          <w:b/>
          <w:bCs/>
          <w:kern w:val="36"/>
          <w:sz w:val="40"/>
          <w:szCs w:val="40"/>
          <w:lang w:eastAsia="en-GB" w:bidi="hi-IN"/>
          <w14:ligatures w14:val="none"/>
        </w:rPr>
        <w:t>Conclusion</w:t>
      </w:r>
      <w:r w:rsidRPr="00206C51">
        <w:rPr>
          <w:rFonts w:ascii="Times New Roman" w:eastAsia="Times New Roman" w:hAnsi="Times New Roman" w:cs="Times New Roman"/>
          <w:b/>
          <w:bCs/>
          <w:kern w:val="36"/>
          <w:sz w:val="48"/>
          <w:szCs w:val="48"/>
          <w:lang w:eastAsia="en-GB" w:bidi="hi-IN"/>
          <w14:ligatures w14:val="none"/>
        </w:rPr>
        <w:t xml:space="preserve"> </w:t>
      </w:r>
    </w:p>
    <w:p w14:paraId="2BB48E0B" w14:textId="77777777" w:rsidR="00206C51" w:rsidRPr="00206C51" w:rsidRDefault="00206C51"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206C51">
        <w:rPr>
          <w:rFonts w:ascii="Times New Roman" w:eastAsia="Times New Roman" w:hAnsi="Times New Roman" w:cs="Times New Roman"/>
          <w:kern w:val="0"/>
          <w:lang w:eastAsia="en-GB" w:bidi="hi-IN"/>
          <w14:ligatures w14:val="none"/>
        </w:rPr>
        <w:t>This study demonstrates the practical application of Modern Portfolio Theory to portfolio construction using Indian equity data between 2019 and 2025. By combining Monte Carlo simulation with constrained numerical optimization, the analysis identified portfolios that exhibited stronger historical risk-adjusted performance than a simple Equal-Weighted Portfolio.</w:t>
      </w:r>
    </w:p>
    <w:p w14:paraId="48BA08DF" w14:textId="77777777" w:rsidR="00206C51" w:rsidRPr="00206C51" w:rsidRDefault="00206C51"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206C51">
        <w:rPr>
          <w:rFonts w:ascii="Times New Roman" w:eastAsia="Times New Roman" w:hAnsi="Times New Roman" w:cs="Times New Roman"/>
          <w:kern w:val="0"/>
          <w:lang w:eastAsia="en-GB" w:bidi="hi-IN"/>
          <w14:ligatures w14:val="none"/>
        </w:rPr>
        <w:t>The inclusion of Maximum Drawdown and the Calmar Ratio extended the evaluation beyond traditional volatility-based measures, providing a more comprehensive assessment of downside risk. Benchmarking against the NIFTY 50 further placed the optimized portfolios within a realistic investment context.</w:t>
      </w:r>
    </w:p>
    <w:p w14:paraId="23F33ACA" w14:textId="77777777" w:rsidR="00206C51" w:rsidRPr="00206C51" w:rsidRDefault="00206C51" w:rsidP="00206C51">
      <w:pPr>
        <w:spacing w:before="100" w:beforeAutospacing="1" w:after="100" w:afterAutospacing="1"/>
        <w:jc w:val="both"/>
        <w:rPr>
          <w:rFonts w:ascii="Times New Roman" w:eastAsia="Times New Roman" w:hAnsi="Times New Roman" w:cs="Times New Roman"/>
          <w:kern w:val="0"/>
          <w:lang w:eastAsia="en-GB" w:bidi="hi-IN"/>
          <w14:ligatures w14:val="none"/>
        </w:rPr>
      </w:pPr>
      <w:r w:rsidRPr="00206C51">
        <w:rPr>
          <w:rFonts w:ascii="Times New Roman" w:eastAsia="Times New Roman" w:hAnsi="Times New Roman" w:cs="Times New Roman"/>
          <w:kern w:val="0"/>
          <w:lang w:eastAsia="en-GB" w:bidi="hi-IN"/>
          <w14:ligatures w14:val="none"/>
        </w:rPr>
        <w:t xml:space="preserve">While the optimized portfolios outperformed the benchmark during the study period, the results remain conditional upon historical market conditions. Future research may extend the analysis through rolling-window optimization, out-of-sample </w:t>
      </w:r>
      <w:proofErr w:type="spellStart"/>
      <w:r w:rsidRPr="00206C51">
        <w:rPr>
          <w:rFonts w:ascii="Times New Roman" w:eastAsia="Times New Roman" w:hAnsi="Times New Roman" w:cs="Times New Roman"/>
          <w:kern w:val="0"/>
          <w:lang w:eastAsia="en-GB" w:bidi="hi-IN"/>
          <w14:ligatures w14:val="none"/>
        </w:rPr>
        <w:t>backtesting</w:t>
      </w:r>
      <w:proofErr w:type="spellEnd"/>
      <w:r w:rsidRPr="00206C51">
        <w:rPr>
          <w:rFonts w:ascii="Times New Roman" w:eastAsia="Times New Roman" w:hAnsi="Times New Roman" w:cs="Times New Roman"/>
          <w:kern w:val="0"/>
          <w:lang w:eastAsia="en-GB" w:bidi="hi-IN"/>
          <w14:ligatures w14:val="none"/>
        </w:rPr>
        <w:t>, larger investment universes, and advanced risk measures such as Value at Risk (</w:t>
      </w:r>
      <w:proofErr w:type="spellStart"/>
      <w:r w:rsidRPr="00206C51">
        <w:rPr>
          <w:rFonts w:ascii="Times New Roman" w:eastAsia="Times New Roman" w:hAnsi="Times New Roman" w:cs="Times New Roman"/>
          <w:kern w:val="0"/>
          <w:lang w:eastAsia="en-GB" w:bidi="hi-IN"/>
          <w14:ligatures w14:val="none"/>
        </w:rPr>
        <w:t>VaR</w:t>
      </w:r>
      <w:proofErr w:type="spellEnd"/>
      <w:r w:rsidRPr="00206C51">
        <w:rPr>
          <w:rFonts w:ascii="Times New Roman" w:eastAsia="Times New Roman" w:hAnsi="Times New Roman" w:cs="Times New Roman"/>
          <w:kern w:val="0"/>
          <w:lang w:eastAsia="en-GB" w:bidi="hi-IN"/>
          <w14:ligatures w14:val="none"/>
        </w:rPr>
        <w:t>) and Conditional Value at Risk (CVaR).</w:t>
      </w:r>
    </w:p>
    <w:p w14:paraId="09185766" w14:textId="76D87CCD" w:rsidR="00253306" w:rsidRDefault="00253306"/>
    <w:sectPr w:rsidR="00253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7B2CD0"/>
    <w:multiLevelType w:val="multilevel"/>
    <w:tmpl w:val="E35E0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17347"/>
    <w:multiLevelType w:val="multilevel"/>
    <w:tmpl w:val="7DEE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E33E9"/>
    <w:multiLevelType w:val="multilevel"/>
    <w:tmpl w:val="8B88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235270">
    <w:abstractNumId w:val="2"/>
  </w:num>
  <w:num w:numId="2" w16cid:durableId="834612096">
    <w:abstractNumId w:val="0"/>
  </w:num>
  <w:num w:numId="3" w16cid:durableId="180854895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306"/>
    <w:rsid w:val="00187969"/>
    <w:rsid w:val="00206C51"/>
    <w:rsid w:val="00253306"/>
    <w:rsid w:val="00625196"/>
    <w:rsid w:val="00645566"/>
    <w:rsid w:val="006A4D4F"/>
    <w:rsid w:val="007E2BAB"/>
    <w:rsid w:val="00813D3D"/>
    <w:rsid w:val="008B4227"/>
    <w:rsid w:val="00A43DAA"/>
    <w:rsid w:val="00A97457"/>
    <w:rsid w:val="00CA591B"/>
    <w:rsid w:val="00F55B70"/>
    <w:rsid w:val="00FC79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1BE3B"/>
  <w15:chartTrackingRefBased/>
  <w15:docId w15:val="{53D2AFF0-1BF5-3C4B-BAC0-7A86CA5EC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3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3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533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3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3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3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3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3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3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3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3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533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3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3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306"/>
    <w:rPr>
      <w:rFonts w:eastAsiaTheme="majorEastAsia" w:cstheme="majorBidi"/>
      <w:color w:val="272727" w:themeColor="text1" w:themeTint="D8"/>
    </w:rPr>
  </w:style>
  <w:style w:type="paragraph" w:styleId="Title">
    <w:name w:val="Title"/>
    <w:basedOn w:val="Normal"/>
    <w:next w:val="Normal"/>
    <w:link w:val="TitleChar"/>
    <w:uiPriority w:val="10"/>
    <w:qFormat/>
    <w:rsid w:val="002533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3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3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3306"/>
    <w:rPr>
      <w:i/>
      <w:iCs/>
      <w:color w:val="404040" w:themeColor="text1" w:themeTint="BF"/>
    </w:rPr>
  </w:style>
  <w:style w:type="paragraph" w:styleId="ListParagraph">
    <w:name w:val="List Paragraph"/>
    <w:basedOn w:val="Normal"/>
    <w:uiPriority w:val="34"/>
    <w:qFormat/>
    <w:rsid w:val="00253306"/>
    <w:pPr>
      <w:ind w:left="720"/>
      <w:contextualSpacing/>
    </w:pPr>
  </w:style>
  <w:style w:type="character" w:styleId="IntenseEmphasis">
    <w:name w:val="Intense Emphasis"/>
    <w:basedOn w:val="DefaultParagraphFont"/>
    <w:uiPriority w:val="21"/>
    <w:qFormat/>
    <w:rsid w:val="00253306"/>
    <w:rPr>
      <w:i/>
      <w:iCs/>
      <w:color w:val="2F5496" w:themeColor="accent1" w:themeShade="BF"/>
    </w:rPr>
  </w:style>
  <w:style w:type="paragraph" w:styleId="IntenseQuote">
    <w:name w:val="Intense Quote"/>
    <w:basedOn w:val="Normal"/>
    <w:next w:val="Normal"/>
    <w:link w:val="IntenseQuoteChar"/>
    <w:uiPriority w:val="30"/>
    <w:qFormat/>
    <w:rsid w:val="002533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306"/>
    <w:rPr>
      <w:i/>
      <w:iCs/>
      <w:color w:val="2F5496" w:themeColor="accent1" w:themeShade="BF"/>
    </w:rPr>
  </w:style>
  <w:style w:type="character" w:styleId="IntenseReference">
    <w:name w:val="Intense Reference"/>
    <w:basedOn w:val="DefaultParagraphFont"/>
    <w:uiPriority w:val="32"/>
    <w:qFormat/>
    <w:rsid w:val="00253306"/>
    <w:rPr>
      <w:b/>
      <w:bCs/>
      <w:smallCaps/>
      <w:color w:val="2F5496" w:themeColor="accent1" w:themeShade="BF"/>
      <w:spacing w:val="5"/>
    </w:rPr>
  </w:style>
  <w:style w:type="character" w:styleId="Emphasis">
    <w:name w:val="Emphasis"/>
    <w:basedOn w:val="DefaultParagraphFont"/>
    <w:uiPriority w:val="20"/>
    <w:qFormat/>
    <w:rsid w:val="00253306"/>
    <w:rPr>
      <w:i/>
      <w:iCs/>
    </w:rPr>
  </w:style>
  <w:style w:type="paragraph" w:styleId="NormalWeb">
    <w:name w:val="Normal (Web)"/>
    <w:basedOn w:val="Normal"/>
    <w:uiPriority w:val="99"/>
    <w:semiHidden/>
    <w:unhideWhenUsed/>
    <w:rsid w:val="00253306"/>
    <w:pPr>
      <w:spacing w:before="100" w:beforeAutospacing="1" w:after="100" w:afterAutospacing="1"/>
    </w:pPr>
    <w:rPr>
      <w:rFonts w:ascii="Times New Roman" w:eastAsia="Times New Roman" w:hAnsi="Times New Roman" w:cs="Times New Roman"/>
      <w:kern w:val="0"/>
      <w:lang w:eastAsia="en-GB" w:bidi="hi-IN"/>
      <w14:ligatures w14:val="none"/>
    </w:rPr>
  </w:style>
  <w:style w:type="character" w:styleId="Strong">
    <w:name w:val="Strong"/>
    <w:basedOn w:val="DefaultParagraphFont"/>
    <w:uiPriority w:val="22"/>
    <w:qFormat/>
    <w:rsid w:val="00253306"/>
    <w:rPr>
      <w:b/>
      <w:bCs/>
    </w:rPr>
  </w:style>
  <w:style w:type="paragraph" w:customStyle="1" w:styleId="pdq2pgselectionanchorcontainer">
    <w:name w:val="pdq2pg_selectionanchorcontainer"/>
    <w:basedOn w:val="Normal"/>
    <w:rsid w:val="00253306"/>
    <w:pPr>
      <w:spacing w:before="100" w:beforeAutospacing="1" w:after="100" w:afterAutospacing="1"/>
    </w:pPr>
    <w:rPr>
      <w:rFonts w:ascii="Times New Roman" w:eastAsia="Times New Roman" w:hAnsi="Times New Roman" w:cs="Times New Roman"/>
      <w:kern w:val="0"/>
      <w:lang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5" Type="http://schemas.openxmlformats.org/officeDocument/2006/relationships/diagramData" Target="diagrams/data1.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3#1">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5F2C67C-8245-D647-8FCB-6DDB1C539434}" type="doc">
      <dgm:prSet loTypeId="urn:microsoft.com/office/officeart/2005/8/layout/bProcess4" loCatId="" qsTypeId="urn:microsoft.com/office/officeart/2005/8/quickstyle/simple1#1" qsCatId="simple" csTypeId="urn:microsoft.com/office/officeart/2005/8/colors/colorful3#1" csCatId="colorful" phldr="1"/>
      <dgm:spPr/>
      <dgm:t>
        <a:bodyPr/>
        <a:lstStyle/>
        <a:p>
          <a:endParaRPr lang="en-GB"/>
        </a:p>
      </dgm:t>
    </dgm:pt>
    <dgm:pt modelId="{79D83FBE-B62B-4E4C-BA51-DD169569CABD}">
      <dgm:prSet phldrT="[Text]"/>
      <dgm:spPr/>
      <dgm:t>
        <a:bodyPr/>
        <a:lstStyle/>
        <a:p>
          <a:r>
            <a:rPr lang="en-GB"/>
            <a:t>Historical Price Data</a:t>
          </a:r>
        </a:p>
        <a:p>
          <a:endParaRPr lang="en-GB"/>
        </a:p>
      </dgm:t>
    </dgm:pt>
    <dgm:pt modelId="{16A64514-CEAA-4449-8206-E5DB434E0ACB}" type="parTrans" cxnId="{D5DFB48C-D209-3A4D-BE13-6FFA91D18638}">
      <dgm:prSet/>
      <dgm:spPr/>
      <dgm:t>
        <a:bodyPr/>
        <a:lstStyle/>
        <a:p>
          <a:endParaRPr lang="en-GB"/>
        </a:p>
      </dgm:t>
    </dgm:pt>
    <dgm:pt modelId="{90DAB91F-1AFB-ED4D-BCEA-2FB16954E4CA}" type="sibTrans" cxnId="{D5DFB48C-D209-3A4D-BE13-6FFA91D18638}">
      <dgm:prSet/>
      <dgm:spPr/>
      <dgm:t>
        <a:bodyPr/>
        <a:lstStyle/>
        <a:p>
          <a:endParaRPr lang="en-GB"/>
        </a:p>
      </dgm:t>
    </dgm:pt>
    <dgm:pt modelId="{F6E322C8-12D6-5A44-8856-78A5DA597604}">
      <dgm:prSet phldrT="[Text]"/>
      <dgm:spPr/>
      <dgm:t>
        <a:bodyPr/>
        <a:lstStyle/>
        <a:p>
          <a:r>
            <a:rPr lang="en-GB"/>
            <a:t>Data Cleaning</a:t>
          </a:r>
        </a:p>
      </dgm:t>
    </dgm:pt>
    <dgm:pt modelId="{DE86B012-62F9-E449-AB73-96413C842998}" type="parTrans" cxnId="{F5EA938B-DDF0-2F4E-B8FF-527B5ADEE952}">
      <dgm:prSet/>
      <dgm:spPr/>
      <dgm:t>
        <a:bodyPr/>
        <a:lstStyle/>
        <a:p>
          <a:endParaRPr lang="en-GB"/>
        </a:p>
      </dgm:t>
    </dgm:pt>
    <dgm:pt modelId="{DAA44D11-3934-5742-92EC-6B0AA85E2895}" type="sibTrans" cxnId="{F5EA938B-DDF0-2F4E-B8FF-527B5ADEE952}">
      <dgm:prSet/>
      <dgm:spPr/>
      <dgm:t>
        <a:bodyPr/>
        <a:lstStyle/>
        <a:p>
          <a:endParaRPr lang="en-GB"/>
        </a:p>
      </dgm:t>
    </dgm:pt>
    <dgm:pt modelId="{3A930E02-B100-C447-A469-49125F50BA5C}">
      <dgm:prSet phldrT="[Text]"/>
      <dgm:spPr/>
      <dgm:t>
        <a:bodyPr/>
        <a:lstStyle/>
        <a:p>
          <a:r>
            <a:rPr lang="en-GB"/>
            <a:t>Exploratory Data Analysis</a:t>
          </a:r>
        </a:p>
      </dgm:t>
    </dgm:pt>
    <dgm:pt modelId="{40017DCF-AFDA-C44D-A440-9FBA222CB2EA}" type="parTrans" cxnId="{8A13EED5-81A8-2A4B-A3B2-B9F0962ABEF9}">
      <dgm:prSet/>
      <dgm:spPr/>
      <dgm:t>
        <a:bodyPr/>
        <a:lstStyle/>
        <a:p>
          <a:endParaRPr lang="en-GB"/>
        </a:p>
      </dgm:t>
    </dgm:pt>
    <dgm:pt modelId="{C4E5ADE5-1A61-6F4C-A2AF-4361901C5574}" type="sibTrans" cxnId="{8A13EED5-81A8-2A4B-A3B2-B9F0962ABEF9}">
      <dgm:prSet/>
      <dgm:spPr/>
      <dgm:t>
        <a:bodyPr/>
        <a:lstStyle/>
        <a:p>
          <a:endParaRPr lang="en-GB"/>
        </a:p>
      </dgm:t>
    </dgm:pt>
    <dgm:pt modelId="{9BE7E304-6C3E-7446-9AE9-14467F51E5DD}">
      <dgm:prSet phldrT="[Text]"/>
      <dgm:spPr/>
      <dgm:t>
        <a:bodyPr/>
        <a:lstStyle/>
        <a:p>
          <a:r>
            <a:rPr lang="en-GB"/>
            <a:t>Individual Stock Risk Analysis</a:t>
          </a:r>
        </a:p>
      </dgm:t>
    </dgm:pt>
    <dgm:pt modelId="{83548F52-4235-F746-8C74-23F199F4FD3B}" type="parTrans" cxnId="{D66690C2-5844-B54E-95DD-0EE653619F4D}">
      <dgm:prSet/>
      <dgm:spPr/>
      <dgm:t>
        <a:bodyPr/>
        <a:lstStyle/>
        <a:p>
          <a:endParaRPr lang="en-GB"/>
        </a:p>
      </dgm:t>
    </dgm:pt>
    <dgm:pt modelId="{67044566-237D-AF44-9FA2-10F5968760DF}" type="sibTrans" cxnId="{D66690C2-5844-B54E-95DD-0EE653619F4D}">
      <dgm:prSet/>
      <dgm:spPr/>
      <dgm:t>
        <a:bodyPr/>
        <a:lstStyle/>
        <a:p>
          <a:endParaRPr lang="en-GB"/>
        </a:p>
      </dgm:t>
    </dgm:pt>
    <dgm:pt modelId="{5B5261BF-568B-5141-A8A3-E93DF7F6D770}">
      <dgm:prSet phldrT="[Text]"/>
      <dgm:spPr/>
      <dgm:t>
        <a:bodyPr/>
        <a:lstStyle/>
        <a:p>
          <a:r>
            <a:rPr lang="en-GB"/>
            <a:t>Equally-Weighted Portfolio</a:t>
          </a:r>
        </a:p>
      </dgm:t>
    </dgm:pt>
    <dgm:pt modelId="{421DE3C6-B7A7-374E-ABA2-34154ABC73DC}" type="parTrans" cxnId="{0635B144-6C5C-484E-99DC-AD4CD1895E71}">
      <dgm:prSet/>
      <dgm:spPr/>
      <dgm:t>
        <a:bodyPr/>
        <a:lstStyle/>
        <a:p>
          <a:endParaRPr lang="en-GB"/>
        </a:p>
      </dgm:t>
    </dgm:pt>
    <dgm:pt modelId="{F32A4159-420D-A649-B118-A2EE28EE8AD6}" type="sibTrans" cxnId="{0635B144-6C5C-484E-99DC-AD4CD1895E71}">
      <dgm:prSet/>
      <dgm:spPr/>
      <dgm:t>
        <a:bodyPr/>
        <a:lstStyle/>
        <a:p>
          <a:endParaRPr lang="en-GB"/>
        </a:p>
      </dgm:t>
    </dgm:pt>
    <dgm:pt modelId="{8F330ED5-C23E-A94D-A3C9-4A23F76FD88B}">
      <dgm:prSet phldrT="[Text]"/>
      <dgm:spPr/>
      <dgm:t>
        <a:bodyPr/>
        <a:lstStyle/>
        <a:p>
          <a:r>
            <a:rPr lang="en-GB"/>
            <a:t>Monte Carlo Simulation</a:t>
          </a:r>
        </a:p>
      </dgm:t>
    </dgm:pt>
    <dgm:pt modelId="{FB1A2542-A6D8-BE4C-A0B3-CE6C92825CBE}" type="parTrans" cxnId="{CEE57500-5604-7B4C-82C0-6DCFC07AE034}">
      <dgm:prSet/>
      <dgm:spPr/>
      <dgm:t>
        <a:bodyPr/>
        <a:lstStyle/>
        <a:p>
          <a:endParaRPr lang="en-GB"/>
        </a:p>
      </dgm:t>
    </dgm:pt>
    <dgm:pt modelId="{E811F90A-613A-6A45-BD60-3E94C76F952D}" type="sibTrans" cxnId="{CEE57500-5604-7B4C-82C0-6DCFC07AE034}">
      <dgm:prSet/>
      <dgm:spPr/>
      <dgm:t>
        <a:bodyPr/>
        <a:lstStyle/>
        <a:p>
          <a:endParaRPr lang="en-GB"/>
        </a:p>
      </dgm:t>
    </dgm:pt>
    <dgm:pt modelId="{CD9F66C3-71FD-424F-9533-CAC234E55A0B}">
      <dgm:prSet phldrT="[Text]"/>
      <dgm:spPr/>
      <dgm:t>
        <a:bodyPr/>
        <a:lstStyle/>
        <a:p>
          <a:r>
            <a:rPr lang="en-GB"/>
            <a:t>Constrained Optimisation (SLSQP)</a:t>
          </a:r>
        </a:p>
      </dgm:t>
    </dgm:pt>
    <dgm:pt modelId="{8CC16F67-5DAC-6D41-A2CF-A452D12A0BC0}" type="parTrans" cxnId="{845B5DF3-8B5B-0E42-AA67-B4B006D5F5CE}">
      <dgm:prSet/>
      <dgm:spPr/>
      <dgm:t>
        <a:bodyPr/>
        <a:lstStyle/>
        <a:p>
          <a:endParaRPr lang="en-GB"/>
        </a:p>
      </dgm:t>
    </dgm:pt>
    <dgm:pt modelId="{A44BEE60-6031-E54C-930A-8375D8C585DF}" type="sibTrans" cxnId="{845B5DF3-8B5B-0E42-AA67-B4B006D5F5CE}">
      <dgm:prSet/>
      <dgm:spPr/>
      <dgm:t>
        <a:bodyPr/>
        <a:lstStyle/>
        <a:p>
          <a:endParaRPr lang="en-GB"/>
        </a:p>
      </dgm:t>
    </dgm:pt>
    <dgm:pt modelId="{D5538977-9DC6-624F-9706-596607966330}">
      <dgm:prSet phldrT="[Text]"/>
      <dgm:spPr/>
      <dgm:t>
        <a:bodyPr/>
        <a:lstStyle/>
        <a:p>
          <a:r>
            <a:rPr lang="en-GB"/>
            <a:t>Performance Evaluation (MDD &amp; Calmar)</a:t>
          </a:r>
        </a:p>
      </dgm:t>
    </dgm:pt>
    <dgm:pt modelId="{FCF1FE30-BDDB-CF47-BB3A-B1270D88B90C}" type="parTrans" cxnId="{6BA02BB0-1B34-784C-9451-2B7C49084565}">
      <dgm:prSet/>
      <dgm:spPr/>
      <dgm:t>
        <a:bodyPr/>
        <a:lstStyle/>
        <a:p>
          <a:endParaRPr lang="en-GB"/>
        </a:p>
      </dgm:t>
    </dgm:pt>
    <dgm:pt modelId="{DEB3DA3D-6874-B14D-95A5-62C762A770F6}" type="sibTrans" cxnId="{6BA02BB0-1B34-784C-9451-2B7C49084565}">
      <dgm:prSet/>
      <dgm:spPr/>
      <dgm:t>
        <a:bodyPr/>
        <a:lstStyle/>
        <a:p>
          <a:endParaRPr lang="en-GB"/>
        </a:p>
      </dgm:t>
    </dgm:pt>
    <dgm:pt modelId="{714F843E-C306-E84A-976F-A9578A44357A}">
      <dgm:prSet phldrT="[Text]"/>
      <dgm:spPr/>
      <dgm:t>
        <a:bodyPr/>
        <a:lstStyle/>
        <a:p>
          <a:r>
            <a:rPr lang="en-GB"/>
            <a:t>Benchmark Comparison (Nifty 50)</a:t>
          </a:r>
        </a:p>
      </dgm:t>
    </dgm:pt>
    <dgm:pt modelId="{0D868155-AEEB-6148-A0C3-E022A8E97114}" type="parTrans" cxnId="{3E14CD52-D707-174C-A61B-1D346E5CCE70}">
      <dgm:prSet/>
      <dgm:spPr/>
      <dgm:t>
        <a:bodyPr/>
        <a:lstStyle/>
        <a:p>
          <a:endParaRPr lang="en-GB"/>
        </a:p>
      </dgm:t>
    </dgm:pt>
    <dgm:pt modelId="{3F6E3253-0FFE-AA47-82E2-EBF86BDA1516}" type="sibTrans" cxnId="{3E14CD52-D707-174C-A61B-1D346E5CCE70}">
      <dgm:prSet/>
      <dgm:spPr/>
      <dgm:t>
        <a:bodyPr/>
        <a:lstStyle/>
        <a:p>
          <a:endParaRPr lang="en-GB"/>
        </a:p>
      </dgm:t>
    </dgm:pt>
    <dgm:pt modelId="{C50FE055-542D-A044-A247-B5F74D516566}" type="pres">
      <dgm:prSet presAssocID="{25F2C67C-8245-D647-8FCB-6DDB1C539434}" presName="Name0" presStyleCnt="0">
        <dgm:presLayoutVars>
          <dgm:dir/>
          <dgm:resizeHandles/>
        </dgm:presLayoutVars>
      </dgm:prSet>
      <dgm:spPr/>
    </dgm:pt>
    <dgm:pt modelId="{2E416D30-40D3-E84B-878F-7C7C173059E3}" type="pres">
      <dgm:prSet presAssocID="{79D83FBE-B62B-4E4C-BA51-DD169569CABD}" presName="compNode" presStyleCnt="0"/>
      <dgm:spPr/>
    </dgm:pt>
    <dgm:pt modelId="{E59C5DE7-2BB9-934F-AFED-7F104B39A9CC}" type="pres">
      <dgm:prSet presAssocID="{79D83FBE-B62B-4E4C-BA51-DD169569CABD}" presName="dummyConnPt" presStyleCnt="0"/>
      <dgm:spPr/>
    </dgm:pt>
    <dgm:pt modelId="{62366E3E-8A3E-6E45-BDDA-EA100734371A}" type="pres">
      <dgm:prSet presAssocID="{79D83FBE-B62B-4E4C-BA51-DD169569CABD}" presName="node" presStyleLbl="node1" presStyleIdx="0" presStyleCnt="9">
        <dgm:presLayoutVars>
          <dgm:bulletEnabled val="1"/>
        </dgm:presLayoutVars>
      </dgm:prSet>
      <dgm:spPr/>
    </dgm:pt>
    <dgm:pt modelId="{60A1B403-2FBA-CF41-98FC-91B59F075A37}" type="pres">
      <dgm:prSet presAssocID="{90DAB91F-1AFB-ED4D-BCEA-2FB16954E4CA}" presName="sibTrans" presStyleLbl="bgSibTrans2D1" presStyleIdx="0" presStyleCnt="8"/>
      <dgm:spPr/>
    </dgm:pt>
    <dgm:pt modelId="{971BC6A1-7F46-A041-9F31-FA426EADE67E}" type="pres">
      <dgm:prSet presAssocID="{F6E322C8-12D6-5A44-8856-78A5DA597604}" presName="compNode" presStyleCnt="0"/>
      <dgm:spPr/>
    </dgm:pt>
    <dgm:pt modelId="{AA73F53A-DCCA-7A4B-8383-53834EC430C1}" type="pres">
      <dgm:prSet presAssocID="{F6E322C8-12D6-5A44-8856-78A5DA597604}" presName="dummyConnPt" presStyleCnt="0"/>
      <dgm:spPr/>
    </dgm:pt>
    <dgm:pt modelId="{A893E5C1-2508-204C-A2DB-F8CEBD6F696A}" type="pres">
      <dgm:prSet presAssocID="{F6E322C8-12D6-5A44-8856-78A5DA597604}" presName="node" presStyleLbl="node1" presStyleIdx="1" presStyleCnt="9">
        <dgm:presLayoutVars>
          <dgm:bulletEnabled val="1"/>
        </dgm:presLayoutVars>
      </dgm:prSet>
      <dgm:spPr/>
    </dgm:pt>
    <dgm:pt modelId="{1A838B6A-76A9-7941-8F17-927D35840821}" type="pres">
      <dgm:prSet presAssocID="{DAA44D11-3934-5742-92EC-6B0AA85E2895}" presName="sibTrans" presStyleLbl="bgSibTrans2D1" presStyleIdx="1" presStyleCnt="8"/>
      <dgm:spPr/>
    </dgm:pt>
    <dgm:pt modelId="{D205167C-AEFD-4849-8738-685841175F39}" type="pres">
      <dgm:prSet presAssocID="{3A930E02-B100-C447-A469-49125F50BA5C}" presName="compNode" presStyleCnt="0"/>
      <dgm:spPr/>
    </dgm:pt>
    <dgm:pt modelId="{2296C41A-1711-D345-8B2F-95CD4624821D}" type="pres">
      <dgm:prSet presAssocID="{3A930E02-B100-C447-A469-49125F50BA5C}" presName="dummyConnPt" presStyleCnt="0"/>
      <dgm:spPr/>
    </dgm:pt>
    <dgm:pt modelId="{017A95C7-394C-DB4F-AAAD-C8F693AF7111}" type="pres">
      <dgm:prSet presAssocID="{3A930E02-B100-C447-A469-49125F50BA5C}" presName="node" presStyleLbl="node1" presStyleIdx="2" presStyleCnt="9">
        <dgm:presLayoutVars>
          <dgm:bulletEnabled val="1"/>
        </dgm:presLayoutVars>
      </dgm:prSet>
      <dgm:spPr/>
    </dgm:pt>
    <dgm:pt modelId="{13BDE229-2854-6448-9C57-0E1B6BF4DB21}" type="pres">
      <dgm:prSet presAssocID="{C4E5ADE5-1A61-6F4C-A2AF-4361901C5574}" presName="sibTrans" presStyleLbl="bgSibTrans2D1" presStyleIdx="2" presStyleCnt="8"/>
      <dgm:spPr/>
    </dgm:pt>
    <dgm:pt modelId="{DDA89635-B481-3644-B588-47563E531BEF}" type="pres">
      <dgm:prSet presAssocID="{9BE7E304-6C3E-7446-9AE9-14467F51E5DD}" presName="compNode" presStyleCnt="0"/>
      <dgm:spPr/>
    </dgm:pt>
    <dgm:pt modelId="{1D94407B-10BD-9B4C-AF09-6CCAFC778A2B}" type="pres">
      <dgm:prSet presAssocID="{9BE7E304-6C3E-7446-9AE9-14467F51E5DD}" presName="dummyConnPt" presStyleCnt="0"/>
      <dgm:spPr/>
    </dgm:pt>
    <dgm:pt modelId="{10A42EE6-9878-EB44-8126-052384B4051A}" type="pres">
      <dgm:prSet presAssocID="{9BE7E304-6C3E-7446-9AE9-14467F51E5DD}" presName="node" presStyleLbl="node1" presStyleIdx="3" presStyleCnt="9">
        <dgm:presLayoutVars>
          <dgm:bulletEnabled val="1"/>
        </dgm:presLayoutVars>
      </dgm:prSet>
      <dgm:spPr/>
    </dgm:pt>
    <dgm:pt modelId="{5D03CC3E-069B-9C48-980C-C2A7D751C0BB}" type="pres">
      <dgm:prSet presAssocID="{67044566-237D-AF44-9FA2-10F5968760DF}" presName="sibTrans" presStyleLbl="bgSibTrans2D1" presStyleIdx="3" presStyleCnt="8"/>
      <dgm:spPr/>
    </dgm:pt>
    <dgm:pt modelId="{F20541F0-4892-324F-ABC9-63F534F3BC43}" type="pres">
      <dgm:prSet presAssocID="{5B5261BF-568B-5141-A8A3-E93DF7F6D770}" presName="compNode" presStyleCnt="0"/>
      <dgm:spPr/>
    </dgm:pt>
    <dgm:pt modelId="{7DFA092C-99AC-F94C-85D2-9C5A32B78CE9}" type="pres">
      <dgm:prSet presAssocID="{5B5261BF-568B-5141-A8A3-E93DF7F6D770}" presName="dummyConnPt" presStyleCnt="0"/>
      <dgm:spPr/>
    </dgm:pt>
    <dgm:pt modelId="{B20A1BDD-4DFD-5048-88ED-9E76280B1BE8}" type="pres">
      <dgm:prSet presAssocID="{5B5261BF-568B-5141-A8A3-E93DF7F6D770}" presName="node" presStyleLbl="node1" presStyleIdx="4" presStyleCnt="9">
        <dgm:presLayoutVars>
          <dgm:bulletEnabled val="1"/>
        </dgm:presLayoutVars>
      </dgm:prSet>
      <dgm:spPr/>
    </dgm:pt>
    <dgm:pt modelId="{F6EBF3A3-F3FA-CC43-8F71-40D60A6A896D}" type="pres">
      <dgm:prSet presAssocID="{F32A4159-420D-A649-B118-A2EE28EE8AD6}" presName="sibTrans" presStyleLbl="bgSibTrans2D1" presStyleIdx="4" presStyleCnt="8"/>
      <dgm:spPr/>
    </dgm:pt>
    <dgm:pt modelId="{D1DF0126-E9CD-DA4E-92B9-53D5AD5EBFA1}" type="pres">
      <dgm:prSet presAssocID="{8F330ED5-C23E-A94D-A3C9-4A23F76FD88B}" presName="compNode" presStyleCnt="0"/>
      <dgm:spPr/>
    </dgm:pt>
    <dgm:pt modelId="{38C04427-19E2-034D-97E7-A6169E30CB4D}" type="pres">
      <dgm:prSet presAssocID="{8F330ED5-C23E-A94D-A3C9-4A23F76FD88B}" presName="dummyConnPt" presStyleCnt="0"/>
      <dgm:spPr/>
    </dgm:pt>
    <dgm:pt modelId="{385ADD08-C3CD-5B4D-B3E6-91B3699404C3}" type="pres">
      <dgm:prSet presAssocID="{8F330ED5-C23E-A94D-A3C9-4A23F76FD88B}" presName="node" presStyleLbl="node1" presStyleIdx="5" presStyleCnt="9">
        <dgm:presLayoutVars>
          <dgm:bulletEnabled val="1"/>
        </dgm:presLayoutVars>
      </dgm:prSet>
      <dgm:spPr/>
    </dgm:pt>
    <dgm:pt modelId="{728FD32C-BCFB-CE42-938E-FFC2D28756A1}" type="pres">
      <dgm:prSet presAssocID="{E811F90A-613A-6A45-BD60-3E94C76F952D}" presName="sibTrans" presStyleLbl="bgSibTrans2D1" presStyleIdx="5" presStyleCnt="8"/>
      <dgm:spPr/>
    </dgm:pt>
    <dgm:pt modelId="{7E53DD99-011A-7745-AF0C-5C393C693396}" type="pres">
      <dgm:prSet presAssocID="{CD9F66C3-71FD-424F-9533-CAC234E55A0B}" presName="compNode" presStyleCnt="0"/>
      <dgm:spPr/>
    </dgm:pt>
    <dgm:pt modelId="{9CBAA9E4-67B9-4342-BD0F-9FBB5B78A1CA}" type="pres">
      <dgm:prSet presAssocID="{CD9F66C3-71FD-424F-9533-CAC234E55A0B}" presName="dummyConnPt" presStyleCnt="0"/>
      <dgm:spPr/>
    </dgm:pt>
    <dgm:pt modelId="{3AF6FC42-CF27-1D41-BDEB-200BF90C0F36}" type="pres">
      <dgm:prSet presAssocID="{CD9F66C3-71FD-424F-9533-CAC234E55A0B}" presName="node" presStyleLbl="node1" presStyleIdx="6" presStyleCnt="9">
        <dgm:presLayoutVars>
          <dgm:bulletEnabled val="1"/>
        </dgm:presLayoutVars>
      </dgm:prSet>
      <dgm:spPr/>
    </dgm:pt>
    <dgm:pt modelId="{768136A4-6191-A644-BE18-8D88CEE4E5A9}" type="pres">
      <dgm:prSet presAssocID="{A44BEE60-6031-E54C-930A-8375D8C585DF}" presName="sibTrans" presStyleLbl="bgSibTrans2D1" presStyleIdx="6" presStyleCnt="8"/>
      <dgm:spPr/>
    </dgm:pt>
    <dgm:pt modelId="{0C9F11C5-1C5B-3B49-9942-A06DC97D95E8}" type="pres">
      <dgm:prSet presAssocID="{D5538977-9DC6-624F-9706-596607966330}" presName="compNode" presStyleCnt="0"/>
      <dgm:spPr/>
    </dgm:pt>
    <dgm:pt modelId="{6EB315A4-1DA2-DE4B-BF39-0DA918A94C08}" type="pres">
      <dgm:prSet presAssocID="{D5538977-9DC6-624F-9706-596607966330}" presName="dummyConnPt" presStyleCnt="0"/>
      <dgm:spPr/>
    </dgm:pt>
    <dgm:pt modelId="{80D80F1C-048C-4B4A-B286-00E71092CAB7}" type="pres">
      <dgm:prSet presAssocID="{D5538977-9DC6-624F-9706-596607966330}" presName="node" presStyleLbl="node1" presStyleIdx="7" presStyleCnt="9">
        <dgm:presLayoutVars>
          <dgm:bulletEnabled val="1"/>
        </dgm:presLayoutVars>
      </dgm:prSet>
      <dgm:spPr/>
    </dgm:pt>
    <dgm:pt modelId="{E7859D4F-8069-A242-94B1-64B50CD1027B}" type="pres">
      <dgm:prSet presAssocID="{DEB3DA3D-6874-B14D-95A5-62C762A770F6}" presName="sibTrans" presStyleLbl="bgSibTrans2D1" presStyleIdx="7" presStyleCnt="8"/>
      <dgm:spPr/>
    </dgm:pt>
    <dgm:pt modelId="{8D0E68C3-EAE3-FC4B-905A-130125F04A3A}" type="pres">
      <dgm:prSet presAssocID="{714F843E-C306-E84A-976F-A9578A44357A}" presName="compNode" presStyleCnt="0"/>
      <dgm:spPr/>
    </dgm:pt>
    <dgm:pt modelId="{4D021215-DD20-6C41-9C9C-CB0FFA1C750C}" type="pres">
      <dgm:prSet presAssocID="{714F843E-C306-E84A-976F-A9578A44357A}" presName="dummyConnPt" presStyleCnt="0"/>
      <dgm:spPr/>
    </dgm:pt>
    <dgm:pt modelId="{D3B49CFF-03FB-B048-8C62-BE8B35B2E0AA}" type="pres">
      <dgm:prSet presAssocID="{714F843E-C306-E84A-976F-A9578A44357A}" presName="node" presStyleLbl="node1" presStyleIdx="8" presStyleCnt="9">
        <dgm:presLayoutVars>
          <dgm:bulletEnabled val="1"/>
        </dgm:presLayoutVars>
      </dgm:prSet>
      <dgm:spPr/>
    </dgm:pt>
  </dgm:ptLst>
  <dgm:cxnLst>
    <dgm:cxn modelId="{CEE57500-5604-7B4C-82C0-6DCFC07AE034}" srcId="{25F2C67C-8245-D647-8FCB-6DDB1C539434}" destId="{8F330ED5-C23E-A94D-A3C9-4A23F76FD88B}" srcOrd="5" destOrd="0" parTransId="{FB1A2542-A6D8-BE4C-A0B3-CE6C92825CBE}" sibTransId="{E811F90A-613A-6A45-BD60-3E94C76F952D}"/>
    <dgm:cxn modelId="{F3842116-CE14-134D-89E9-16B13EDE6902}" type="presOf" srcId="{E811F90A-613A-6A45-BD60-3E94C76F952D}" destId="{728FD32C-BCFB-CE42-938E-FFC2D28756A1}" srcOrd="0" destOrd="0" presId="urn:microsoft.com/office/officeart/2005/8/layout/bProcess4"/>
    <dgm:cxn modelId="{3DD76719-87B0-C54A-847B-8AD71D914927}" type="presOf" srcId="{F32A4159-420D-A649-B118-A2EE28EE8AD6}" destId="{F6EBF3A3-F3FA-CC43-8F71-40D60A6A896D}" srcOrd="0" destOrd="0" presId="urn:microsoft.com/office/officeart/2005/8/layout/bProcess4"/>
    <dgm:cxn modelId="{10437423-CACC-2E40-A6AD-EADF0204EC8F}" type="presOf" srcId="{8F330ED5-C23E-A94D-A3C9-4A23F76FD88B}" destId="{385ADD08-C3CD-5B4D-B3E6-91B3699404C3}" srcOrd="0" destOrd="0" presId="urn:microsoft.com/office/officeart/2005/8/layout/bProcess4"/>
    <dgm:cxn modelId="{BB4E9D2F-15D1-614E-9A86-956F905ECD64}" type="presOf" srcId="{90DAB91F-1AFB-ED4D-BCEA-2FB16954E4CA}" destId="{60A1B403-2FBA-CF41-98FC-91B59F075A37}" srcOrd="0" destOrd="0" presId="urn:microsoft.com/office/officeart/2005/8/layout/bProcess4"/>
    <dgm:cxn modelId="{AB833731-7C60-584C-A0BC-787A2FCC0045}" type="presOf" srcId="{5B5261BF-568B-5141-A8A3-E93DF7F6D770}" destId="{B20A1BDD-4DFD-5048-88ED-9E76280B1BE8}" srcOrd="0" destOrd="0" presId="urn:microsoft.com/office/officeart/2005/8/layout/bProcess4"/>
    <dgm:cxn modelId="{D9604443-2ACE-204E-A5D1-6FF3C07ECB7E}" type="presOf" srcId="{CD9F66C3-71FD-424F-9533-CAC234E55A0B}" destId="{3AF6FC42-CF27-1D41-BDEB-200BF90C0F36}" srcOrd="0" destOrd="0" presId="urn:microsoft.com/office/officeart/2005/8/layout/bProcess4"/>
    <dgm:cxn modelId="{0635B144-6C5C-484E-99DC-AD4CD1895E71}" srcId="{25F2C67C-8245-D647-8FCB-6DDB1C539434}" destId="{5B5261BF-568B-5141-A8A3-E93DF7F6D770}" srcOrd="4" destOrd="0" parTransId="{421DE3C6-B7A7-374E-ABA2-34154ABC73DC}" sibTransId="{F32A4159-420D-A649-B118-A2EE28EE8AD6}"/>
    <dgm:cxn modelId="{6B0F1952-9C21-AD47-AC1D-8C06B1378FC1}" type="presOf" srcId="{A44BEE60-6031-E54C-930A-8375D8C585DF}" destId="{768136A4-6191-A644-BE18-8D88CEE4E5A9}" srcOrd="0" destOrd="0" presId="urn:microsoft.com/office/officeart/2005/8/layout/bProcess4"/>
    <dgm:cxn modelId="{3E14CD52-D707-174C-A61B-1D346E5CCE70}" srcId="{25F2C67C-8245-D647-8FCB-6DDB1C539434}" destId="{714F843E-C306-E84A-976F-A9578A44357A}" srcOrd="8" destOrd="0" parTransId="{0D868155-AEEB-6148-A0C3-E022A8E97114}" sibTransId="{3F6E3253-0FFE-AA47-82E2-EBF86BDA1516}"/>
    <dgm:cxn modelId="{CBEFB058-824D-804A-8997-07B77B1D4D71}" type="presOf" srcId="{C4E5ADE5-1A61-6F4C-A2AF-4361901C5574}" destId="{13BDE229-2854-6448-9C57-0E1B6BF4DB21}" srcOrd="0" destOrd="0" presId="urn:microsoft.com/office/officeart/2005/8/layout/bProcess4"/>
    <dgm:cxn modelId="{9DED066A-44E1-5045-9710-E3C02FF26414}" type="presOf" srcId="{DAA44D11-3934-5742-92EC-6B0AA85E2895}" destId="{1A838B6A-76A9-7941-8F17-927D35840821}" srcOrd="0" destOrd="0" presId="urn:microsoft.com/office/officeart/2005/8/layout/bProcess4"/>
    <dgm:cxn modelId="{72355F7E-F140-9C4F-AC0E-987152B21C0B}" type="presOf" srcId="{F6E322C8-12D6-5A44-8856-78A5DA597604}" destId="{A893E5C1-2508-204C-A2DB-F8CEBD6F696A}" srcOrd="0" destOrd="0" presId="urn:microsoft.com/office/officeart/2005/8/layout/bProcess4"/>
    <dgm:cxn modelId="{F5EA938B-DDF0-2F4E-B8FF-527B5ADEE952}" srcId="{25F2C67C-8245-D647-8FCB-6DDB1C539434}" destId="{F6E322C8-12D6-5A44-8856-78A5DA597604}" srcOrd="1" destOrd="0" parTransId="{DE86B012-62F9-E449-AB73-96413C842998}" sibTransId="{DAA44D11-3934-5742-92EC-6B0AA85E2895}"/>
    <dgm:cxn modelId="{D5DFB48C-D209-3A4D-BE13-6FFA91D18638}" srcId="{25F2C67C-8245-D647-8FCB-6DDB1C539434}" destId="{79D83FBE-B62B-4E4C-BA51-DD169569CABD}" srcOrd="0" destOrd="0" parTransId="{16A64514-CEAA-4449-8206-E5DB434E0ACB}" sibTransId="{90DAB91F-1AFB-ED4D-BCEA-2FB16954E4CA}"/>
    <dgm:cxn modelId="{1ECDFB8C-14E3-0C4C-86A5-DA25B41E414A}" type="presOf" srcId="{D5538977-9DC6-624F-9706-596607966330}" destId="{80D80F1C-048C-4B4A-B286-00E71092CAB7}" srcOrd="0" destOrd="0" presId="urn:microsoft.com/office/officeart/2005/8/layout/bProcess4"/>
    <dgm:cxn modelId="{BDA11C8E-CC67-9843-8450-0EEC7EAE5881}" type="presOf" srcId="{3A930E02-B100-C447-A469-49125F50BA5C}" destId="{017A95C7-394C-DB4F-AAAD-C8F693AF7111}" srcOrd="0" destOrd="0" presId="urn:microsoft.com/office/officeart/2005/8/layout/bProcess4"/>
    <dgm:cxn modelId="{DF2B0097-BCED-1240-8EAC-F6E84CA5283F}" type="presOf" srcId="{67044566-237D-AF44-9FA2-10F5968760DF}" destId="{5D03CC3E-069B-9C48-980C-C2A7D751C0BB}" srcOrd="0" destOrd="0" presId="urn:microsoft.com/office/officeart/2005/8/layout/bProcess4"/>
    <dgm:cxn modelId="{FA9F2FAA-EE63-7B4D-8616-32E0B44EB261}" type="presOf" srcId="{714F843E-C306-E84A-976F-A9578A44357A}" destId="{D3B49CFF-03FB-B048-8C62-BE8B35B2E0AA}" srcOrd="0" destOrd="0" presId="urn:microsoft.com/office/officeart/2005/8/layout/bProcess4"/>
    <dgm:cxn modelId="{870A50AB-6321-7946-9B0C-B356266361FC}" type="presOf" srcId="{25F2C67C-8245-D647-8FCB-6DDB1C539434}" destId="{C50FE055-542D-A044-A247-B5F74D516566}" srcOrd="0" destOrd="0" presId="urn:microsoft.com/office/officeart/2005/8/layout/bProcess4"/>
    <dgm:cxn modelId="{6BA02BB0-1B34-784C-9451-2B7C49084565}" srcId="{25F2C67C-8245-D647-8FCB-6DDB1C539434}" destId="{D5538977-9DC6-624F-9706-596607966330}" srcOrd="7" destOrd="0" parTransId="{FCF1FE30-BDDB-CF47-BB3A-B1270D88B90C}" sibTransId="{DEB3DA3D-6874-B14D-95A5-62C762A770F6}"/>
    <dgm:cxn modelId="{D66690C2-5844-B54E-95DD-0EE653619F4D}" srcId="{25F2C67C-8245-D647-8FCB-6DDB1C539434}" destId="{9BE7E304-6C3E-7446-9AE9-14467F51E5DD}" srcOrd="3" destOrd="0" parTransId="{83548F52-4235-F746-8C74-23F199F4FD3B}" sibTransId="{67044566-237D-AF44-9FA2-10F5968760DF}"/>
    <dgm:cxn modelId="{BCD007C7-4A08-8746-9E42-FF4EACDAB4E3}" type="presOf" srcId="{9BE7E304-6C3E-7446-9AE9-14467F51E5DD}" destId="{10A42EE6-9878-EB44-8126-052384B4051A}" srcOrd="0" destOrd="0" presId="urn:microsoft.com/office/officeart/2005/8/layout/bProcess4"/>
    <dgm:cxn modelId="{8A13EED5-81A8-2A4B-A3B2-B9F0962ABEF9}" srcId="{25F2C67C-8245-D647-8FCB-6DDB1C539434}" destId="{3A930E02-B100-C447-A469-49125F50BA5C}" srcOrd="2" destOrd="0" parTransId="{40017DCF-AFDA-C44D-A440-9FBA222CB2EA}" sibTransId="{C4E5ADE5-1A61-6F4C-A2AF-4361901C5574}"/>
    <dgm:cxn modelId="{845B5DF3-8B5B-0E42-AA67-B4B006D5F5CE}" srcId="{25F2C67C-8245-D647-8FCB-6DDB1C539434}" destId="{CD9F66C3-71FD-424F-9533-CAC234E55A0B}" srcOrd="6" destOrd="0" parTransId="{8CC16F67-5DAC-6D41-A2CF-A452D12A0BC0}" sibTransId="{A44BEE60-6031-E54C-930A-8375D8C585DF}"/>
    <dgm:cxn modelId="{FF727AF3-6F37-4840-959F-40AD4F3D6372}" type="presOf" srcId="{79D83FBE-B62B-4E4C-BA51-DD169569CABD}" destId="{62366E3E-8A3E-6E45-BDDA-EA100734371A}" srcOrd="0" destOrd="0" presId="urn:microsoft.com/office/officeart/2005/8/layout/bProcess4"/>
    <dgm:cxn modelId="{14263AFB-AA9F-C144-A07F-99C289853A3A}" type="presOf" srcId="{DEB3DA3D-6874-B14D-95A5-62C762A770F6}" destId="{E7859D4F-8069-A242-94B1-64B50CD1027B}" srcOrd="0" destOrd="0" presId="urn:microsoft.com/office/officeart/2005/8/layout/bProcess4"/>
    <dgm:cxn modelId="{5532F8A0-2B7E-3142-A82F-424A93AFFFF9}" type="presParOf" srcId="{C50FE055-542D-A044-A247-B5F74D516566}" destId="{2E416D30-40D3-E84B-878F-7C7C173059E3}" srcOrd="0" destOrd="0" presId="urn:microsoft.com/office/officeart/2005/8/layout/bProcess4"/>
    <dgm:cxn modelId="{32260785-190E-6C4D-A100-7FF28EBCBFF4}" type="presParOf" srcId="{2E416D30-40D3-E84B-878F-7C7C173059E3}" destId="{E59C5DE7-2BB9-934F-AFED-7F104B39A9CC}" srcOrd="0" destOrd="0" presId="urn:microsoft.com/office/officeart/2005/8/layout/bProcess4"/>
    <dgm:cxn modelId="{BB7414AE-0337-734B-87F6-7F3348B43C07}" type="presParOf" srcId="{2E416D30-40D3-E84B-878F-7C7C173059E3}" destId="{62366E3E-8A3E-6E45-BDDA-EA100734371A}" srcOrd="1" destOrd="0" presId="urn:microsoft.com/office/officeart/2005/8/layout/bProcess4"/>
    <dgm:cxn modelId="{604F72A9-8F59-1148-AB01-E7024184CC74}" type="presParOf" srcId="{C50FE055-542D-A044-A247-B5F74D516566}" destId="{60A1B403-2FBA-CF41-98FC-91B59F075A37}" srcOrd="1" destOrd="0" presId="urn:microsoft.com/office/officeart/2005/8/layout/bProcess4"/>
    <dgm:cxn modelId="{294D8EDC-7E73-B94F-8F15-BDAC7A1C9218}" type="presParOf" srcId="{C50FE055-542D-A044-A247-B5F74D516566}" destId="{971BC6A1-7F46-A041-9F31-FA426EADE67E}" srcOrd="2" destOrd="0" presId="urn:microsoft.com/office/officeart/2005/8/layout/bProcess4"/>
    <dgm:cxn modelId="{FEA9A1C9-79E1-F548-AEFF-FF066B72EADA}" type="presParOf" srcId="{971BC6A1-7F46-A041-9F31-FA426EADE67E}" destId="{AA73F53A-DCCA-7A4B-8383-53834EC430C1}" srcOrd="0" destOrd="0" presId="urn:microsoft.com/office/officeart/2005/8/layout/bProcess4"/>
    <dgm:cxn modelId="{00A957BE-312B-AB4B-A9EC-E1CDD0612A45}" type="presParOf" srcId="{971BC6A1-7F46-A041-9F31-FA426EADE67E}" destId="{A893E5C1-2508-204C-A2DB-F8CEBD6F696A}" srcOrd="1" destOrd="0" presId="urn:microsoft.com/office/officeart/2005/8/layout/bProcess4"/>
    <dgm:cxn modelId="{EB11EFD0-3DD8-1448-9C60-F732484F6FBC}" type="presParOf" srcId="{C50FE055-542D-A044-A247-B5F74D516566}" destId="{1A838B6A-76A9-7941-8F17-927D35840821}" srcOrd="3" destOrd="0" presId="urn:microsoft.com/office/officeart/2005/8/layout/bProcess4"/>
    <dgm:cxn modelId="{54CF3635-63FC-F941-8F76-C8A9042B60E3}" type="presParOf" srcId="{C50FE055-542D-A044-A247-B5F74D516566}" destId="{D205167C-AEFD-4849-8738-685841175F39}" srcOrd="4" destOrd="0" presId="urn:microsoft.com/office/officeart/2005/8/layout/bProcess4"/>
    <dgm:cxn modelId="{069CCEBC-8217-9D41-84A9-31CFE278AA02}" type="presParOf" srcId="{D205167C-AEFD-4849-8738-685841175F39}" destId="{2296C41A-1711-D345-8B2F-95CD4624821D}" srcOrd="0" destOrd="0" presId="urn:microsoft.com/office/officeart/2005/8/layout/bProcess4"/>
    <dgm:cxn modelId="{7912F02C-8BA9-A148-91D6-F5C6D7E26604}" type="presParOf" srcId="{D205167C-AEFD-4849-8738-685841175F39}" destId="{017A95C7-394C-DB4F-AAAD-C8F693AF7111}" srcOrd="1" destOrd="0" presId="urn:microsoft.com/office/officeart/2005/8/layout/bProcess4"/>
    <dgm:cxn modelId="{5821F8A2-05C1-C84C-A733-F4921C4A1D42}" type="presParOf" srcId="{C50FE055-542D-A044-A247-B5F74D516566}" destId="{13BDE229-2854-6448-9C57-0E1B6BF4DB21}" srcOrd="5" destOrd="0" presId="urn:microsoft.com/office/officeart/2005/8/layout/bProcess4"/>
    <dgm:cxn modelId="{A017A897-6B3C-F74C-BED9-94E18197E8A0}" type="presParOf" srcId="{C50FE055-542D-A044-A247-B5F74D516566}" destId="{DDA89635-B481-3644-B588-47563E531BEF}" srcOrd="6" destOrd="0" presId="urn:microsoft.com/office/officeart/2005/8/layout/bProcess4"/>
    <dgm:cxn modelId="{4C866E9F-CF26-574C-B635-FD0F4904FC89}" type="presParOf" srcId="{DDA89635-B481-3644-B588-47563E531BEF}" destId="{1D94407B-10BD-9B4C-AF09-6CCAFC778A2B}" srcOrd="0" destOrd="0" presId="urn:microsoft.com/office/officeart/2005/8/layout/bProcess4"/>
    <dgm:cxn modelId="{DB6DEF6F-D06F-A94B-9C82-62A29B421696}" type="presParOf" srcId="{DDA89635-B481-3644-B588-47563E531BEF}" destId="{10A42EE6-9878-EB44-8126-052384B4051A}" srcOrd="1" destOrd="0" presId="urn:microsoft.com/office/officeart/2005/8/layout/bProcess4"/>
    <dgm:cxn modelId="{7555D0E0-9F3A-6848-B953-317CA160286A}" type="presParOf" srcId="{C50FE055-542D-A044-A247-B5F74D516566}" destId="{5D03CC3E-069B-9C48-980C-C2A7D751C0BB}" srcOrd="7" destOrd="0" presId="urn:microsoft.com/office/officeart/2005/8/layout/bProcess4"/>
    <dgm:cxn modelId="{B85B3309-557A-0B42-96FD-D259448EAB6B}" type="presParOf" srcId="{C50FE055-542D-A044-A247-B5F74D516566}" destId="{F20541F0-4892-324F-ABC9-63F534F3BC43}" srcOrd="8" destOrd="0" presId="urn:microsoft.com/office/officeart/2005/8/layout/bProcess4"/>
    <dgm:cxn modelId="{A2EBB871-778C-2048-ABC7-56EC225AD841}" type="presParOf" srcId="{F20541F0-4892-324F-ABC9-63F534F3BC43}" destId="{7DFA092C-99AC-F94C-85D2-9C5A32B78CE9}" srcOrd="0" destOrd="0" presId="urn:microsoft.com/office/officeart/2005/8/layout/bProcess4"/>
    <dgm:cxn modelId="{F4FD9C92-059B-B84F-8C36-0517D7CF15D9}" type="presParOf" srcId="{F20541F0-4892-324F-ABC9-63F534F3BC43}" destId="{B20A1BDD-4DFD-5048-88ED-9E76280B1BE8}" srcOrd="1" destOrd="0" presId="urn:microsoft.com/office/officeart/2005/8/layout/bProcess4"/>
    <dgm:cxn modelId="{F94C933C-6F21-444C-93E2-348F91354B13}" type="presParOf" srcId="{C50FE055-542D-A044-A247-B5F74D516566}" destId="{F6EBF3A3-F3FA-CC43-8F71-40D60A6A896D}" srcOrd="9" destOrd="0" presId="urn:microsoft.com/office/officeart/2005/8/layout/bProcess4"/>
    <dgm:cxn modelId="{69DE8458-C249-254B-B688-A663B1C9519B}" type="presParOf" srcId="{C50FE055-542D-A044-A247-B5F74D516566}" destId="{D1DF0126-E9CD-DA4E-92B9-53D5AD5EBFA1}" srcOrd="10" destOrd="0" presId="urn:microsoft.com/office/officeart/2005/8/layout/bProcess4"/>
    <dgm:cxn modelId="{4E6E2FBC-DF6A-FF45-AE99-21753266D6D4}" type="presParOf" srcId="{D1DF0126-E9CD-DA4E-92B9-53D5AD5EBFA1}" destId="{38C04427-19E2-034D-97E7-A6169E30CB4D}" srcOrd="0" destOrd="0" presId="urn:microsoft.com/office/officeart/2005/8/layout/bProcess4"/>
    <dgm:cxn modelId="{56AA1595-4C6B-5C42-B09A-2268B606379A}" type="presParOf" srcId="{D1DF0126-E9CD-DA4E-92B9-53D5AD5EBFA1}" destId="{385ADD08-C3CD-5B4D-B3E6-91B3699404C3}" srcOrd="1" destOrd="0" presId="urn:microsoft.com/office/officeart/2005/8/layout/bProcess4"/>
    <dgm:cxn modelId="{D054E202-6894-A044-9823-AFF4693CAAB7}" type="presParOf" srcId="{C50FE055-542D-A044-A247-B5F74D516566}" destId="{728FD32C-BCFB-CE42-938E-FFC2D28756A1}" srcOrd="11" destOrd="0" presId="urn:microsoft.com/office/officeart/2005/8/layout/bProcess4"/>
    <dgm:cxn modelId="{04F999AA-85AF-4D46-9E1B-81AA6500A108}" type="presParOf" srcId="{C50FE055-542D-A044-A247-B5F74D516566}" destId="{7E53DD99-011A-7745-AF0C-5C393C693396}" srcOrd="12" destOrd="0" presId="urn:microsoft.com/office/officeart/2005/8/layout/bProcess4"/>
    <dgm:cxn modelId="{192E77FA-A6C9-6D41-B384-DDDB71B895D1}" type="presParOf" srcId="{7E53DD99-011A-7745-AF0C-5C393C693396}" destId="{9CBAA9E4-67B9-4342-BD0F-9FBB5B78A1CA}" srcOrd="0" destOrd="0" presId="urn:microsoft.com/office/officeart/2005/8/layout/bProcess4"/>
    <dgm:cxn modelId="{A7CC65A6-E01F-6D4B-A19A-3562C632CDFE}" type="presParOf" srcId="{7E53DD99-011A-7745-AF0C-5C393C693396}" destId="{3AF6FC42-CF27-1D41-BDEB-200BF90C0F36}" srcOrd="1" destOrd="0" presId="urn:microsoft.com/office/officeart/2005/8/layout/bProcess4"/>
    <dgm:cxn modelId="{E51EE010-92D7-F94F-AEE2-58FC12770978}" type="presParOf" srcId="{C50FE055-542D-A044-A247-B5F74D516566}" destId="{768136A4-6191-A644-BE18-8D88CEE4E5A9}" srcOrd="13" destOrd="0" presId="urn:microsoft.com/office/officeart/2005/8/layout/bProcess4"/>
    <dgm:cxn modelId="{89AB8CE6-878A-7049-B945-FBF1DF5B6F6D}" type="presParOf" srcId="{C50FE055-542D-A044-A247-B5F74D516566}" destId="{0C9F11C5-1C5B-3B49-9942-A06DC97D95E8}" srcOrd="14" destOrd="0" presId="urn:microsoft.com/office/officeart/2005/8/layout/bProcess4"/>
    <dgm:cxn modelId="{96FE4FBF-F053-6840-8685-5BEAA6628CA7}" type="presParOf" srcId="{0C9F11C5-1C5B-3B49-9942-A06DC97D95E8}" destId="{6EB315A4-1DA2-DE4B-BF39-0DA918A94C08}" srcOrd="0" destOrd="0" presId="urn:microsoft.com/office/officeart/2005/8/layout/bProcess4"/>
    <dgm:cxn modelId="{10AB7B96-4D90-E543-8D2D-B426B7297D34}" type="presParOf" srcId="{0C9F11C5-1C5B-3B49-9942-A06DC97D95E8}" destId="{80D80F1C-048C-4B4A-B286-00E71092CAB7}" srcOrd="1" destOrd="0" presId="urn:microsoft.com/office/officeart/2005/8/layout/bProcess4"/>
    <dgm:cxn modelId="{4B35FC1D-C084-234F-8B03-172363FAD844}" type="presParOf" srcId="{C50FE055-542D-A044-A247-B5F74D516566}" destId="{E7859D4F-8069-A242-94B1-64B50CD1027B}" srcOrd="15" destOrd="0" presId="urn:microsoft.com/office/officeart/2005/8/layout/bProcess4"/>
    <dgm:cxn modelId="{DFF0FF47-41DC-2B42-9EFC-2D2A303AE273}" type="presParOf" srcId="{C50FE055-542D-A044-A247-B5F74D516566}" destId="{8D0E68C3-EAE3-FC4B-905A-130125F04A3A}" srcOrd="16" destOrd="0" presId="urn:microsoft.com/office/officeart/2005/8/layout/bProcess4"/>
    <dgm:cxn modelId="{018F571F-76DF-A947-AFC6-EF9E44D1001D}" type="presParOf" srcId="{8D0E68C3-EAE3-FC4B-905A-130125F04A3A}" destId="{4D021215-DD20-6C41-9C9C-CB0FFA1C750C}" srcOrd="0" destOrd="0" presId="urn:microsoft.com/office/officeart/2005/8/layout/bProcess4"/>
    <dgm:cxn modelId="{7D468586-0C6E-E747-BA00-9EC13470373E}" type="presParOf" srcId="{8D0E68C3-EAE3-FC4B-905A-130125F04A3A}" destId="{D3B49CFF-03FB-B048-8C62-BE8B35B2E0AA}" srcOrd="1" destOrd="0" presId="urn:microsoft.com/office/officeart/2005/8/layout/bProcess4"/>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A1B403-2FBA-CF41-98FC-91B59F075A37}">
      <dsp:nvSpPr>
        <dsp:cNvPr id="0" name=""/>
        <dsp:cNvSpPr/>
      </dsp:nvSpPr>
      <dsp:spPr>
        <a:xfrm rot="5400000">
          <a:off x="-249478" y="744045"/>
          <a:ext cx="1113305" cy="134775"/>
        </a:xfrm>
        <a:prstGeom prst="rect">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2366E3E-8A3E-6E45-BDDA-EA100734371A}">
      <dsp:nvSpPr>
        <dsp:cNvPr id="0" name=""/>
        <dsp:cNvSpPr/>
      </dsp:nvSpPr>
      <dsp:spPr>
        <a:xfrm>
          <a:off x="2759" y="27815"/>
          <a:ext cx="1497508" cy="898505"/>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GB" sz="1500" kern="1200"/>
            <a:t>Historical Price Data</a:t>
          </a:r>
        </a:p>
        <a:p>
          <a:pPr marL="0" lvl="0" indent="0" algn="ctr" defTabSz="666750">
            <a:lnSpc>
              <a:spcPct val="90000"/>
            </a:lnSpc>
            <a:spcBef>
              <a:spcPct val="0"/>
            </a:spcBef>
            <a:spcAft>
              <a:spcPct val="35000"/>
            </a:spcAft>
            <a:buNone/>
          </a:pPr>
          <a:endParaRPr lang="en-GB" sz="1500" kern="1200"/>
        </a:p>
      </dsp:txBody>
      <dsp:txXfrm>
        <a:off x="29075" y="54131"/>
        <a:ext cx="1444876" cy="845873"/>
      </dsp:txXfrm>
    </dsp:sp>
    <dsp:sp modelId="{1A838B6A-76A9-7941-8F17-927D35840821}">
      <dsp:nvSpPr>
        <dsp:cNvPr id="0" name=""/>
        <dsp:cNvSpPr/>
      </dsp:nvSpPr>
      <dsp:spPr>
        <a:xfrm rot="5400000">
          <a:off x="-249478" y="1867177"/>
          <a:ext cx="1113305" cy="134775"/>
        </a:xfrm>
        <a:prstGeom prst="rect">
          <a:avLst/>
        </a:prstGeom>
        <a:solidFill>
          <a:schemeClr val="accent3">
            <a:hueOff val="387228"/>
            <a:satOff val="14286"/>
            <a:lumOff val="-2101"/>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893E5C1-2508-204C-A2DB-F8CEBD6F696A}">
      <dsp:nvSpPr>
        <dsp:cNvPr id="0" name=""/>
        <dsp:cNvSpPr/>
      </dsp:nvSpPr>
      <dsp:spPr>
        <a:xfrm>
          <a:off x="2759" y="1150947"/>
          <a:ext cx="1497508" cy="898505"/>
        </a:xfrm>
        <a:prstGeom prst="roundRect">
          <a:avLst>
            <a:gd name="adj" fmla="val 10000"/>
          </a:avLst>
        </a:prstGeom>
        <a:solidFill>
          <a:schemeClr val="accent3">
            <a:hueOff val="338825"/>
            <a:satOff val="12500"/>
            <a:lumOff val="-183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GB" sz="1500" kern="1200"/>
            <a:t>Data Cleaning</a:t>
          </a:r>
        </a:p>
      </dsp:txBody>
      <dsp:txXfrm>
        <a:off x="29075" y="1177263"/>
        <a:ext cx="1444876" cy="845873"/>
      </dsp:txXfrm>
    </dsp:sp>
    <dsp:sp modelId="{13BDE229-2854-6448-9C57-0E1B6BF4DB21}">
      <dsp:nvSpPr>
        <dsp:cNvPr id="0" name=""/>
        <dsp:cNvSpPr/>
      </dsp:nvSpPr>
      <dsp:spPr>
        <a:xfrm>
          <a:off x="312087" y="2428742"/>
          <a:ext cx="1981860" cy="134775"/>
        </a:xfrm>
        <a:prstGeom prst="rect">
          <a:avLst/>
        </a:prstGeom>
        <a:solidFill>
          <a:schemeClr val="accent3">
            <a:hueOff val="774457"/>
            <a:satOff val="28571"/>
            <a:lumOff val="-4202"/>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17A95C7-394C-DB4F-AAAD-C8F693AF7111}">
      <dsp:nvSpPr>
        <dsp:cNvPr id="0" name=""/>
        <dsp:cNvSpPr/>
      </dsp:nvSpPr>
      <dsp:spPr>
        <a:xfrm>
          <a:off x="2759" y="2274078"/>
          <a:ext cx="1497508" cy="898505"/>
        </a:xfrm>
        <a:prstGeom prst="roundRect">
          <a:avLst>
            <a:gd name="adj" fmla="val 10000"/>
          </a:avLst>
        </a:prstGeom>
        <a:solidFill>
          <a:schemeClr val="accent3">
            <a:hueOff val="677650"/>
            <a:satOff val="25000"/>
            <a:lumOff val="-367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GB" sz="1500" kern="1200"/>
            <a:t>Exploratory Data Analysis</a:t>
          </a:r>
        </a:p>
      </dsp:txBody>
      <dsp:txXfrm>
        <a:off x="29075" y="2300394"/>
        <a:ext cx="1444876" cy="845873"/>
      </dsp:txXfrm>
    </dsp:sp>
    <dsp:sp modelId="{5D03CC3E-069B-9C48-980C-C2A7D751C0BB}">
      <dsp:nvSpPr>
        <dsp:cNvPr id="0" name=""/>
        <dsp:cNvSpPr/>
      </dsp:nvSpPr>
      <dsp:spPr>
        <a:xfrm rot="16200000">
          <a:off x="1742207" y="1867177"/>
          <a:ext cx="1113305" cy="134775"/>
        </a:xfrm>
        <a:prstGeom prst="rect">
          <a:avLst/>
        </a:prstGeom>
        <a:solidFill>
          <a:schemeClr val="accent3">
            <a:hueOff val="1161685"/>
            <a:satOff val="42857"/>
            <a:lumOff val="-630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0A42EE6-9878-EB44-8126-052384B4051A}">
      <dsp:nvSpPr>
        <dsp:cNvPr id="0" name=""/>
        <dsp:cNvSpPr/>
      </dsp:nvSpPr>
      <dsp:spPr>
        <a:xfrm>
          <a:off x="1994445" y="2274078"/>
          <a:ext cx="1497508" cy="898505"/>
        </a:xfrm>
        <a:prstGeom prst="roundRect">
          <a:avLst>
            <a:gd name="adj" fmla="val 10000"/>
          </a:avLst>
        </a:prstGeom>
        <a:solidFill>
          <a:schemeClr val="accent3">
            <a:hueOff val="1016475"/>
            <a:satOff val="37500"/>
            <a:lumOff val="-55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GB" sz="1500" kern="1200"/>
            <a:t>Individual Stock Risk Analysis</a:t>
          </a:r>
        </a:p>
      </dsp:txBody>
      <dsp:txXfrm>
        <a:off x="2020761" y="2300394"/>
        <a:ext cx="1444876" cy="845873"/>
      </dsp:txXfrm>
    </dsp:sp>
    <dsp:sp modelId="{F6EBF3A3-F3FA-CC43-8F71-40D60A6A896D}">
      <dsp:nvSpPr>
        <dsp:cNvPr id="0" name=""/>
        <dsp:cNvSpPr/>
      </dsp:nvSpPr>
      <dsp:spPr>
        <a:xfrm rot="16200000">
          <a:off x="1742207" y="744045"/>
          <a:ext cx="1113305" cy="134775"/>
        </a:xfrm>
        <a:prstGeom prst="rect">
          <a:avLst/>
        </a:prstGeom>
        <a:solidFill>
          <a:schemeClr val="accent3">
            <a:hueOff val="1548914"/>
            <a:satOff val="57143"/>
            <a:lumOff val="-840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20A1BDD-4DFD-5048-88ED-9E76280B1BE8}">
      <dsp:nvSpPr>
        <dsp:cNvPr id="0" name=""/>
        <dsp:cNvSpPr/>
      </dsp:nvSpPr>
      <dsp:spPr>
        <a:xfrm>
          <a:off x="1994445" y="1150947"/>
          <a:ext cx="1497508" cy="898505"/>
        </a:xfrm>
        <a:prstGeom prst="roundRect">
          <a:avLst>
            <a:gd name="adj" fmla="val 10000"/>
          </a:avLst>
        </a:prstGeom>
        <a:solidFill>
          <a:schemeClr val="accent3">
            <a:hueOff val="1355300"/>
            <a:satOff val="50000"/>
            <a:lumOff val="-7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GB" sz="1500" kern="1200"/>
            <a:t>Equally-Weighted Portfolio</a:t>
          </a:r>
        </a:p>
      </dsp:txBody>
      <dsp:txXfrm>
        <a:off x="2020761" y="1177263"/>
        <a:ext cx="1444876" cy="845873"/>
      </dsp:txXfrm>
    </dsp:sp>
    <dsp:sp modelId="{728FD32C-BCFB-CE42-938E-FFC2D28756A1}">
      <dsp:nvSpPr>
        <dsp:cNvPr id="0" name=""/>
        <dsp:cNvSpPr/>
      </dsp:nvSpPr>
      <dsp:spPr>
        <a:xfrm>
          <a:off x="2303773" y="182479"/>
          <a:ext cx="1981860" cy="134775"/>
        </a:xfrm>
        <a:prstGeom prst="rect">
          <a:avLst/>
        </a:prstGeom>
        <a:solidFill>
          <a:schemeClr val="accent3">
            <a:hueOff val="1936142"/>
            <a:satOff val="71429"/>
            <a:lumOff val="-10504"/>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85ADD08-C3CD-5B4D-B3E6-91B3699404C3}">
      <dsp:nvSpPr>
        <dsp:cNvPr id="0" name=""/>
        <dsp:cNvSpPr/>
      </dsp:nvSpPr>
      <dsp:spPr>
        <a:xfrm>
          <a:off x="1994445" y="27815"/>
          <a:ext cx="1497508" cy="898505"/>
        </a:xfrm>
        <a:prstGeom prst="roundRect">
          <a:avLst>
            <a:gd name="adj" fmla="val 10000"/>
          </a:avLst>
        </a:prstGeom>
        <a:solidFill>
          <a:schemeClr val="accent3">
            <a:hueOff val="1694124"/>
            <a:satOff val="62500"/>
            <a:lumOff val="-919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GB" sz="1500" kern="1200"/>
            <a:t>Monte Carlo Simulation</a:t>
          </a:r>
        </a:p>
      </dsp:txBody>
      <dsp:txXfrm>
        <a:off x="2020761" y="54131"/>
        <a:ext cx="1444876" cy="845873"/>
      </dsp:txXfrm>
    </dsp:sp>
    <dsp:sp modelId="{768136A4-6191-A644-BE18-8D88CEE4E5A9}">
      <dsp:nvSpPr>
        <dsp:cNvPr id="0" name=""/>
        <dsp:cNvSpPr/>
      </dsp:nvSpPr>
      <dsp:spPr>
        <a:xfrm rot="5400000">
          <a:off x="3733894" y="744045"/>
          <a:ext cx="1113305" cy="134775"/>
        </a:xfrm>
        <a:prstGeom prst="rect">
          <a:avLst/>
        </a:prstGeom>
        <a:solidFill>
          <a:schemeClr val="accent3">
            <a:hueOff val="2323371"/>
            <a:satOff val="85714"/>
            <a:lumOff val="-1260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AF6FC42-CF27-1D41-BDEB-200BF90C0F36}">
      <dsp:nvSpPr>
        <dsp:cNvPr id="0" name=""/>
        <dsp:cNvSpPr/>
      </dsp:nvSpPr>
      <dsp:spPr>
        <a:xfrm>
          <a:off x="3986132" y="27815"/>
          <a:ext cx="1497508" cy="898505"/>
        </a:xfrm>
        <a:prstGeom prst="roundRect">
          <a:avLst>
            <a:gd name="adj" fmla="val 10000"/>
          </a:avLst>
        </a:prstGeom>
        <a:solidFill>
          <a:schemeClr val="accent3">
            <a:hueOff val="2032949"/>
            <a:satOff val="75000"/>
            <a:lumOff val="-1102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GB" sz="1500" kern="1200"/>
            <a:t>Constrained Optimisation (SLSQP)</a:t>
          </a:r>
        </a:p>
      </dsp:txBody>
      <dsp:txXfrm>
        <a:off x="4012448" y="54131"/>
        <a:ext cx="1444876" cy="845873"/>
      </dsp:txXfrm>
    </dsp:sp>
    <dsp:sp modelId="{E7859D4F-8069-A242-94B1-64B50CD1027B}">
      <dsp:nvSpPr>
        <dsp:cNvPr id="0" name=""/>
        <dsp:cNvSpPr/>
      </dsp:nvSpPr>
      <dsp:spPr>
        <a:xfrm rot="5400000">
          <a:off x="3733894" y="1867177"/>
          <a:ext cx="1113305" cy="134775"/>
        </a:xfrm>
        <a:prstGeom prst="rect">
          <a:avLst/>
        </a:prstGeom>
        <a:solidFill>
          <a:schemeClr val="accent3">
            <a:hueOff val="2710599"/>
            <a:satOff val="100000"/>
            <a:lumOff val="-1470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0D80F1C-048C-4B4A-B286-00E71092CAB7}">
      <dsp:nvSpPr>
        <dsp:cNvPr id="0" name=""/>
        <dsp:cNvSpPr/>
      </dsp:nvSpPr>
      <dsp:spPr>
        <a:xfrm>
          <a:off x="3986132" y="1150947"/>
          <a:ext cx="1497508" cy="898505"/>
        </a:xfrm>
        <a:prstGeom prst="roundRect">
          <a:avLst>
            <a:gd name="adj" fmla="val 10000"/>
          </a:avLst>
        </a:prstGeom>
        <a:solidFill>
          <a:schemeClr val="accent3">
            <a:hueOff val="2371774"/>
            <a:satOff val="87500"/>
            <a:lumOff val="-1286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GB" sz="1500" kern="1200"/>
            <a:t>Performance Evaluation (MDD &amp; Calmar)</a:t>
          </a:r>
        </a:p>
      </dsp:txBody>
      <dsp:txXfrm>
        <a:off x="4012448" y="1177263"/>
        <a:ext cx="1444876" cy="845873"/>
      </dsp:txXfrm>
    </dsp:sp>
    <dsp:sp modelId="{D3B49CFF-03FB-B048-8C62-BE8B35B2E0AA}">
      <dsp:nvSpPr>
        <dsp:cNvPr id="0" name=""/>
        <dsp:cNvSpPr/>
      </dsp:nvSpPr>
      <dsp:spPr>
        <a:xfrm>
          <a:off x="3986132" y="2274078"/>
          <a:ext cx="1497508" cy="898505"/>
        </a:xfrm>
        <a:prstGeom prst="roundRect">
          <a:avLst>
            <a:gd name="adj" fmla="val 10000"/>
          </a:avLst>
        </a:prstGeom>
        <a:solidFill>
          <a:schemeClr val="accent3">
            <a:hueOff val="2710599"/>
            <a:satOff val="100000"/>
            <a:lumOff val="-1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GB" sz="1500" kern="1200"/>
            <a:t>Benchmark Comparison (Nifty 50)</a:t>
          </a:r>
        </a:p>
      </dsp:txBody>
      <dsp:txXfrm>
        <a:off x="4012448" y="2300394"/>
        <a:ext cx="1444876" cy="845873"/>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pruni2003@gmail.com</dc:creator>
  <cp:keywords/>
  <dc:description/>
  <cp:lastModifiedBy>pruni2003@gmail.com</cp:lastModifiedBy>
  <cp:revision>4</cp:revision>
  <dcterms:created xsi:type="dcterms:W3CDTF">2026-06-28T14:07:00Z</dcterms:created>
  <dcterms:modified xsi:type="dcterms:W3CDTF">2026-08-28T10:38:00Z</dcterms:modified>
</cp:coreProperties>
</file>