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hd w:fill="ffffff" w:val="clear"/>
        <w:contextualSpacing w:val="0"/>
        <w:rPr>
          <w:rFonts w:ascii="Calibri" w:cs="Calibri" w:eastAsia="Calibri" w:hAnsi="Calibri"/>
          <w:color w:val="1f497d"/>
          <w:u w:val="single"/>
        </w:rPr>
      </w:pPr>
      <w:r w:rsidDel="00000000" w:rsidR="00000000" w:rsidRPr="00000000">
        <w:rPr>
          <w:rFonts w:ascii="Calibri" w:cs="Calibri" w:eastAsia="Calibri" w:hAnsi="Calibri"/>
          <w:color w:val="1f497d"/>
          <w:u w:val="single"/>
          <w:rtl w:val="0"/>
        </w:rPr>
        <w:t xml:space="preserve">Title : IoT-Creating a Cost Effective High MultiSite RF Solution</w:t>
      </w:r>
    </w:p>
    <w:p w:rsidR="00000000" w:rsidDel="00000000" w:rsidP="00000000" w:rsidRDefault="00000000" w:rsidRPr="00000000">
      <w:pPr>
        <w:pBdr/>
        <w:shd w:fill="ffffff" w:val="clear"/>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pBdr/>
        <w:shd w:fill="ffffff"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Abstract :</w:t>
      </w:r>
    </w:p>
    <w:p w:rsidR="00000000" w:rsidDel="00000000" w:rsidP="00000000" w:rsidRDefault="00000000" w:rsidRPr="00000000">
      <w:pPr>
        <w:pBdr/>
        <w:shd w:fill="ffffff"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tab/>
        <w:t xml:space="preserve">The Internet of Things is a system, where communication between each other occurs over the internet and are able to transfer and act on data, with minimal interaction. With the on-surge of Internet of Things (IoT) wave, a huge arrays of low cost RF devices need to be tested and brought to market in shortest time. At the same time, the pressure on reducing ASP and COT is always a key factor.</w:t>
      </w:r>
    </w:p>
    <w:p w:rsidR="00000000" w:rsidDel="00000000" w:rsidP="00000000" w:rsidRDefault="00000000" w:rsidRPr="00000000">
      <w:pPr>
        <w:pBdr/>
        <w:shd w:fill="ffffff"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To test these low cost RF devices, there is a need to go for higher multi site count, for example 16 sites.  In order to handle high multi-site test challenges, the ATE needs to have sufficient resources and an efficient way of utilizing them. This paper provides the solution on how to test a 16-site RF SOC device with special features.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