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your complete project documentation. The four specific Kaggle datasets with direct links, schemas, target variables, and descriptions are now integrated, and the Blood Pressure module reflects the second dataset option based on Gender (without any country column).</w:t>
      </w:r>
    </w:p>
    <w:p>
      <w:pPr>
        <w:pStyle w:val="Title"/>
        <w:jc w:val="center"/>
      </w:pPr>
      <w:r>
        <w:t>AI-Based Early Prediction of Health Diseases Using Clinical Data Analytics</w:t>
      </w:r>
    </w:p>
    <w:p>
      <w:r>
        <w:rPr>
          <w:b/>
        </w:rPr>
        <w:t>B.Tech Project Documentation | Four Condition-Specific Machine Learning Modules</w:t>
      </w:r>
    </w:p>
    <w:p>
      <w:pPr>
        <w:pStyle w:val="ListBullet"/>
      </w:pPr>
      <w:r>
        <w:rPr>
          <w:b/>
        </w:rPr>
        <w:t>Submitted by:</w:t>
      </w:r>
      <w:r>
        <w:t xml:space="preserve"> [Student Name(s)]</w:t>
      </w:r>
    </w:p>
    <w:p>
      <w:pPr>
        <w:pStyle w:val="ListBullet"/>
      </w:pPr>
      <w:r>
        <w:rPr>
          <w:b/>
        </w:rPr>
        <w:t>Register Number(s):</w:t>
      </w:r>
      <w:r>
        <w:t xml:space="preserve"> [Register Number(s)]</w:t>
      </w:r>
    </w:p>
    <w:p>
      <w:pPr>
        <w:pStyle w:val="ListBullet"/>
      </w:pPr>
      <w:r>
        <w:rPr>
          <w:b/>
        </w:rPr>
        <w:t>Department:</w:t>
      </w:r>
      <w:r>
        <w:t xml:space="preserve"> [Department Name]</w:t>
      </w:r>
    </w:p>
    <w:p>
      <w:pPr>
        <w:pStyle w:val="ListBullet"/>
      </w:pPr>
      <w:r>
        <w:rPr>
          <w:b/>
        </w:rPr>
        <w:t>Institution:</w:t>
      </w:r>
      <w:r>
        <w:t xml:space="preserve"> [College / University Name]</w:t>
      </w:r>
    </w:p>
    <w:p>
      <w:pPr>
        <w:pStyle w:val="ListBullet"/>
      </w:pPr>
      <w:r>
        <w:rPr>
          <w:b/>
        </w:rPr>
        <w:t>Project Guide:</w:t>
      </w:r>
      <w:r>
        <w:t xml:space="preserve"> [Guide Name]</w:t>
      </w:r>
    </w:p>
    <w:p>
      <w:pPr>
        <w:pStyle w:val="ListBullet"/>
      </w:pPr>
      <w:r>
        <w:rPr>
          <w:b/>
        </w:rPr>
        <w:t>Academic Year:</w:t>
      </w:r>
      <w:r>
        <w:t xml:space="preserve"> [Year]</w:t>
      </w:r>
    </w:p>
    <w:p>
      <w:pPr>
        <w:pStyle w:val="Heading2"/>
      </w:pPr>
      <w:r>
        <w:t>1. Abstract</w:t>
      </w:r>
    </w:p>
    <w:p>
      <w:r>
        <w:t>This project proposes a web application that demonstrates how supervised machine learning can analyze selected clinical and demographic inputs for four separate screening tasks: blood-pressure risk, diabetes/sugar risk, anemia risk, and obesity classification. A user first selects one condition. The application then displays only the fields required by that condition’s dataset and sends the validated values to that condition’s trained models. A Decision Tree classifier and a Random Forest classifier are trained and evaluated separately for every module. Their predictions and evaluation results are compared, and the configured model returns a class label and, when supported and validated, a class probability displayed as a model-based risk score. The four datasets do not share one common feature set; each module has its own input schema, target definition, preprocessing pipeline, and model artifacts. The report describes the proposed architecture, data preparation, algorithms, implementation, evaluation, testing, and safeguards. Dataset identities, final feature lists, thresholds, and measured performance are documented for each actual dataset. The application is an academic decision-support prototype and does not diagnose, replace professional advice, or establish clinical risk from a percentage alone.</w:t>
      </w:r>
    </w:p>
    <w:p>
      <w:pPr>
        <w:pStyle w:val="Heading2"/>
      </w:pPr>
      <w:r>
        <w:t>2. Problem Statement</w:t>
      </w:r>
    </w:p>
    <w:p>
      <w:r>
        <w:t>Many health prediction demonstrations present one generic form for multiple conditions even though datasets for different outcomes measure different variables and use different label definitions. This can lead to missing, irrelevant, or misleading inputs. A second concern is reporting classifier probabilities as if they were medically calibrated probabilities or diagnoses. The project addresses these issues by creating one application with four independent prediction modules, each tied to its own dataset schema and trained Decision Tree and Random Forest models. The interface adapts to the selected condition, while the system clearly identifies the output as a model score and records its limitations.</w:t>
      </w:r>
    </w:p>
    <w:p>
      <w:pPr>
        <w:pStyle w:val="Heading2"/>
      </w:pPr>
      <w:r>
        <w:t>3. Objectives</w:t>
      </w:r>
    </w:p>
    <w:p>
      <w:pPr>
        <w:pStyle w:val="ListBullet"/>
      </w:pPr>
      <w:r>
        <w:t>Develop a single web application that lets a user choose Blood Pressure, Diabetes/Sugar, Anemia, or Obesity screening.</w:t>
      </w:r>
    </w:p>
    <w:p>
      <w:pPr>
        <w:pStyle w:val="ListBullet"/>
      </w:pPr>
      <w:r>
        <w:t>Maintain an independent dataset, target definition, field list, preprocessing pipeline, and model pair for each condition.</w:t>
      </w:r>
    </w:p>
    <w:p>
      <w:pPr>
        <w:pStyle w:val="ListBullet"/>
      </w:pPr>
      <w:r>
        <w:t>Train and compare Decision Tree and Random Forest classifiers for each module using leakage-aware evaluation.</w:t>
      </w:r>
    </w:p>
    <w:p>
      <w:pPr>
        <w:pStyle w:val="ListBullet"/>
      </w:pPr>
      <w:r>
        <w:t>Present the predicted class and a model-based score where probability output is available and appropriate.</w:t>
      </w:r>
    </w:p>
    <w:p>
      <w:pPr>
        <w:pStyle w:val="ListBullet"/>
      </w:pPr>
      <w:r>
        <w:t>Validate user inputs, handle missing or invalid values, and provide understandable result explanations.</w:t>
      </w:r>
    </w:p>
    <w:p>
      <w:pPr>
        <w:pStyle w:val="ListBullet"/>
      </w:pPr>
      <w:r>
        <w:t>Document performance with multiple metrics, class-wise results, limitations, ethical considerations, and reproducible model metadata.</w:t>
      </w:r>
    </w:p>
    <w:p>
      <w:pPr>
        <w:pStyle w:val="Heading2"/>
      </w:pPr>
      <w:r>
        <w:t>4. Scope</w:t>
      </w:r>
    </w:p>
    <w:p>
      <w:r>
        <w:t>The scope is a student-built screening and learning prototype using approved, documented datasets. It includes the four named modules, a web interface, backend validation and inference, model evaluation, and an optional local prediction history. It does not include clinical diagnosis, treatment recommendations, emergency triage, integration with hospital records, medical-device certification, prospective clinical validation, or claims that outputs generalize to every population. A user can run one module at a time. The application does not infer one condition from another module’s fields.</w:t>
      </w:r>
    </w:p>
    <w:p>
      <w:pPr>
        <w:pStyle w:val="Heading2"/>
      </w:pPr>
      <w:r>
        <w:t>5. Proposed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90" w:type="dxa"/>
              <w:bottom w:w="80" w:type="dxa"/>
              <w:end w:w="90" w:type="dxa"/>
            </w:tcMar>
            <w:shd w:fill="D9EAF7"/>
          </w:tcPr>
          <w:p>
            <w:pPr>
              <w:spacing w:after="0"/>
            </w:pPr>
            <w:r>
              <w:rPr>
                <w:b/>
                <w:color w:val="17365D"/>
                <w:sz w:val="16"/>
              </w:rPr>
              <w:t>Layer</w:t>
            </w:r>
          </w:p>
        </w:tc>
        <w:tc>
          <w:tcPr>
            <w:tcW w:type="dxa" w:w="3312"/>
            <w:vAlign w:val="center"/>
            <w:tcMar>
              <w:top w:w="80" w:type="dxa"/>
              <w:start w:w="90" w:type="dxa"/>
              <w:bottom w:w="80" w:type="dxa"/>
              <w:end w:w="90" w:type="dxa"/>
            </w:tcMar>
            <w:shd w:fill="D9EAF7"/>
          </w:tcPr>
          <w:p>
            <w:pPr>
              <w:spacing w:after="0"/>
            </w:pPr>
            <w:r>
              <w:rPr>
                <w:b/>
                <w:color w:val="17365D"/>
                <w:sz w:val="16"/>
              </w:rPr>
              <w:t>Suggested technology</w:t>
            </w:r>
          </w:p>
        </w:tc>
        <w:tc>
          <w:tcPr>
            <w:tcW w:type="dxa" w:w="3312"/>
            <w:vAlign w:val="center"/>
            <w:tcMar>
              <w:top w:w="80" w:type="dxa"/>
              <w:start w:w="90" w:type="dxa"/>
              <w:bottom w:w="80" w:type="dxa"/>
              <w:end w:w="90" w:type="dxa"/>
            </w:tcMar>
            <w:shd w:fill="D9EAF7"/>
          </w:tcPr>
          <w:p>
            <w:pPr>
              <w:spacing w:after="0"/>
            </w:pPr>
            <w:r>
              <w:rPr>
                <w:b/>
                <w:color w:val="17365D"/>
                <w:sz w:val="16"/>
              </w:rPr>
              <w:t>Purpose</w:t>
            </w:r>
          </w:p>
        </w:tc>
      </w:tr>
      <w:tr>
        <w:tc>
          <w:tcPr>
            <w:tcW w:type="dxa" w:w="3312"/>
            <w:vAlign w:val="center"/>
            <w:tcMar>
              <w:top w:w="80" w:type="dxa"/>
              <w:start w:w="90" w:type="dxa"/>
              <w:bottom w:w="80" w:type="dxa"/>
              <w:end w:w="90" w:type="dxa"/>
            </w:tcMar>
          </w:tcPr>
          <w:p>
            <w:pPr>
              <w:spacing w:after="0"/>
            </w:pPr>
            <w:r>
              <w:rPr>
                <w:b/>
                <w:sz w:val="16"/>
              </w:rPr>
              <w:t>Data analysis and ML</w:t>
            </w:r>
          </w:p>
        </w:tc>
        <w:tc>
          <w:tcPr>
            <w:tcW w:type="dxa" w:w="3312"/>
            <w:vAlign w:val="center"/>
            <w:tcMar>
              <w:top w:w="80" w:type="dxa"/>
              <w:start w:w="90" w:type="dxa"/>
              <w:bottom w:w="80" w:type="dxa"/>
              <w:end w:w="90" w:type="dxa"/>
            </w:tcMar>
          </w:tcPr>
          <w:p>
            <w:pPr>
              <w:spacing w:after="0"/>
            </w:pPr>
            <w:r>
              <w:rPr>
                <w:sz w:val="16"/>
              </w:rPr>
              <w:t>Python, pandas, NumPy, scikit-learn</w:t>
            </w:r>
          </w:p>
        </w:tc>
        <w:tc>
          <w:tcPr>
            <w:tcW w:type="dxa" w:w="3312"/>
            <w:vAlign w:val="center"/>
            <w:tcMar>
              <w:top w:w="80" w:type="dxa"/>
              <w:start w:w="90" w:type="dxa"/>
              <w:bottom w:w="80" w:type="dxa"/>
              <w:end w:w="90" w:type="dxa"/>
            </w:tcMar>
          </w:tcPr>
          <w:p>
            <w:pPr>
              <w:spacing w:after="0"/>
            </w:pPr>
            <w:r>
              <w:rPr>
                <w:sz w:val="16"/>
              </w:rPr>
              <w:t>Dataset inspection, preprocessing, model training, evaluation, serialization.</w:t>
            </w:r>
          </w:p>
        </w:tc>
      </w:tr>
    </w:tbl>
    <w:p>
      <w:pPr>
        <w:spacing w:after="20"/>
      </w:pPr>
    </w:p>
    <w:p>
      <w:r>
        <w: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90" w:type="dxa"/>
              <w:bottom w:w="80" w:type="dxa"/>
              <w:end w:w="90" w:type="dxa"/>
            </w:tcMar>
            <w:shd w:fill="D9EAF7"/>
          </w:tcPr>
          <w:p>
            <w:pPr>
              <w:spacing w:after="0"/>
            </w:pPr>
            <w:r>
              <w:rPr>
                <w:b/>
                <w:color w:val="17365D"/>
                <w:sz w:val="16"/>
              </w:rPr>
              <w:t>Web backend</w:t>
            </w:r>
          </w:p>
        </w:tc>
        <w:tc>
          <w:tcPr>
            <w:tcW w:type="dxa" w:w="3312"/>
            <w:vAlign w:val="center"/>
            <w:tcMar>
              <w:top w:w="80" w:type="dxa"/>
              <w:start w:w="90" w:type="dxa"/>
              <w:bottom w:w="80" w:type="dxa"/>
              <w:end w:w="90" w:type="dxa"/>
            </w:tcMar>
            <w:shd w:fill="D9EAF7"/>
          </w:tcPr>
          <w:p>
            <w:pPr>
              <w:spacing w:after="0"/>
            </w:pPr>
            <w:r>
              <w:rPr>
                <w:b/>
                <w:color w:val="17365D"/>
                <w:sz w:val="16"/>
              </w:rPr>
              <w:t>Flask (or FastAPI)</w:t>
            </w:r>
          </w:p>
        </w:tc>
        <w:tc>
          <w:tcPr>
            <w:tcW w:type="dxa" w:w="3312"/>
            <w:vAlign w:val="center"/>
            <w:tcMar>
              <w:top w:w="80" w:type="dxa"/>
              <w:start w:w="90" w:type="dxa"/>
              <w:bottom w:w="80" w:type="dxa"/>
              <w:end w:w="90" w:type="dxa"/>
            </w:tcMar>
            <w:shd w:fill="D9EAF7"/>
          </w:tcPr>
          <w:p>
            <w:pPr>
              <w:spacing w:after="0"/>
            </w:pPr>
            <w:r>
              <w:rPr>
                <w:b/>
                <w:color w:val="17365D"/>
                <w:sz w:val="16"/>
              </w:rPr>
              <w:t>Routes, schema validation, inference, and safe result formatting.</w:t>
            </w:r>
          </w:p>
        </w:tc>
      </w:tr>
    </w:tbl>
    <w:p>
      <w:pPr>
        <w:spacing w:after="20"/>
      </w:pPr>
    </w:p>
    <w:p>
      <w:r>
        <w: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90" w:type="dxa"/>
              <w:bottom w:w="80" w:type="dxa"/>
              <w:end w:w="90" w:type="dxa"/>
            </w:tcMar>
            <w:shd w:fill="D9EAF7"/>
          </w:tcPr>
          <w:p>
            <w:pPr>
              <w:spacing w:after="0"/>
            </w:pPr>
            <w:r>
              <w:rPr>
                <w:b/>
                <w:color w:val="17365D"/>
                <w:sz w:val="16"/>
              </w:rPr>
              <w:t>Frontend</w:t>
            </w:r>
          </w:p>
        </w:tc>
        <w:tc>
          <w:tcPr>
            <w:tcW w:type="dxa" w:w="3312"/>
            <w:vAlign w:val="center"/>
            <w:tcMar>
              <w:top w:w="80" w:type="dxa"/>
              <w:start w:w="90" w:type="dxa"/>
              <w:bottom w:w="80" w:type="dxa"/>
              <w:end w:w="90" w:type="dxa"/>
            </w:tcMar>
            <w:shd w:fill="D9EAF7"/>
          </w:tcPr>
          <w:p>
            <w:pPr>
              <w:spacing w:after="0"/>
            </w:pPr>
            <w:r>
              <w:rPr>
                <w:b/>
                <w:color w:val="17365D"/>
                <w:sz w:val="16"/>
              </w:rPr>
              <w:t>HTML, CSS, JavaScript, Bootstrap (optional)</w:t>
            </w:r>
          </w:p>
        </w:tc>
        <w:tc>
          <w:tcPr>
            <w:tcW w:type="dxa" w:w="3312"/>
            <w:vAlign w:val="center"/>
            <w:tcMar>
              <w:top w:w="80" w:type="dxa"/>
              <w:start w:w="90" w:type="dxa"/>
              <w:bottom w:w="80" w:type="dxa"/>
              <w:end w:w="90" w:type="dxa"/>
            </w:tcMar>
            <w:shd w:fill="D9EAF7"/>
          </w:tcPr>
          <w:p>
            <w:pPr>
              <w:spacing w:after="0"/>
            </w:pPr>
            <w:r>
              <w:rPr>
                <w:b/>
                <w:color w:val="17365D"/>
                <w:sz w:val="16"/>
              </w:rPr>
              <w:t>Responsive condition selection, dynamic module forms, and results.</w:t>
            </w:r>
          </w:p>
        </w:tc>
      </w:tr>
    </w:tbl>
    <w:p>
      <w:pPr>
        <w:spacing w:after="20"/>
      </w:pPr>
    </w:p>
    <w:p>
      <w:r>
        <w: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90" w:type="dxa"/>
              <w:bottom w:w="80" w:type="dxa"/>
              <w:end w:w="90" w:type="dxa"/>
            </w:tcMar>
            <w:shd w:fill="D9EAF7"/>
          </w:tcPr>
          <w:p>
            <w:pPr>
              <w:spacing w:after="0"/>
            </w:pPr>
            <w:r>
              <w:rPr>
                <w:b/>
                <w:color w:val="17365D"/>
                <w:sz w:val="16"/>
              </w:rPr>
              <w:t>Persistence</w:t>
            </w:r>
          </w:p>
        </w:tc>
        <w:tc>
          <w:tcPr>
            <w:tcW w:type="dxa" w:w="3312"/>
            <w:vAlign w:val="center"/>
            <w:tcMar>
              <w:top w:w="80" w:type="dxa"/>
              <w:start w:w="90" w:type="dxa"/>
              <w:bottom w:w="80" w:type="dxa"/>
              <w:end w:w="90" w:type="dxa"/>
            </w:tcMar>
            <w:shd w:fill="D9EAF7"/>
          </w:tcPr>
          <w:p>
            <w:pPr>
              <w:spacing w:after="0"/>
            </w:pPr>
            <w:r>
              <w:rPr>
                <w:b/>
                <w:color w:val="17365D"/>
                <w:sz w:val="16"/>
              </w:rPr>
              <w:t>SQLite for a local prototype; PostgreSQL for a deployed multi-user system</w:t>
            </w:r>
          </w:p>
        </w:tc>
        <w:tc>
          <w:tcPr>
            <w:tcW w:type="dxa" w:w="3312"/>
            <w:vAlign w:val="center"/>
            <w:tcMar>
              <w:top w:w="80" w:type="dxa"/>
              <w:start w:w="90" w:type="dxa"/>
              <w:bottom w:w="80" w:type="dxa"/>
              <w:end w:w="90" w:type="dxa"/>
            </w:tcMar>
            <w:shd w:fill="D9EAF7"/>
          </w:tcPr>
          <w:p>
            <w:pPr>
              <w:spacing w:after="0"/>
            </w:pPr>
            <w:r>
              <w:rPr>
                <w:b/>
                <w:color w:val="17365D"/>
                <w:sz w:val="16"/>
              </w:rPr>
              <w:t>Optional account metadata and prediction history with privacy controls.</w:t>
            </w:r>
          </w:p>
        </w:tc>
      </w:tr>
    </w:tbl>
    <w:p>
      <w:pPr>
        <w:spacing w:after="20"/>
      </w:pPr>
    </w:p>
    <w:p>
      <w:r>
        <w: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90" w:type="dxa"/>
              <w:bottom w:w="80" w:type="dxa"/>
              <w:end w:w="90" w:type="dxa"/>
            </w:tcMar>
            <w:shd w:fill="D9EAF7"/>
          </w:tcPr>
          <w:p>
            <w:pPr>
              <w:spacing w:after="0"/>
            </w:pPr>
            <w:r>
              <w:rPr>
                <w:b/>
                <w:color w:val="17365D"/>
                <w:sz w:val="16"/>
              </w:rPr>
              <w:t>Development</w:t>
            </w:r>
          </w:p>
        </w:tc>
        <w:tc>
          <w:tcPr>
            <w:tcW w:type="dxa" w:w="3312"/>
            <w:vAlign w:val="center"/>
            <w:tcMar>
              <w:top w:w="80" w:type="dxa"/>
              <w:start w:w="90" w:type="dxa"/>
              <w:bottom w:w="80" w:type="dxa"/>
              <w:end w:w="90" w:type="dxa"/>
            </w:tcMar>
            <w:shd w:fill="D9EAF7"/>
          </w:tcPr>
          <w:p>
            <w:pPr>
              <w:spacing w:after="0"/>
            </w:pPr>
            <w:r>
              <w:rPr>
                <w:b/>
                <w:color w:val="17365D"/>
                <w:sz w:val="16"/>
              </w:rPr>
              <w:t>Jupyter Notebook, VS Code, Git</w:t>
            </w:r>
          </w:p>
        </w:tc>
        <w:tc>
          <w:tcPr>
            <w:tcW w:type="dxa" w:w="3312"/>
            <w:vAlign w:val="center"/>
            <w:tcMar>
              <w:top w:w="80" w:type="dxa"/>
              <w:start w:w="90" w:type="dxa"/>
              <w:bottom w:w="80" w:type="dxa"/>
              <w:end w:w="90" w:type="dxa"/>
            </w:tcMar>
            <w:shd w:fill="D9EAF7"/>
          </w:tcPr>
          <w:p>
            <w:pPr>
              <w:spacing w:after="0"/>
            </w:pPr>
            <w:r>
              <w:rPr>
                <w:b/>
                <w:color w:val="17365D"/>
                <w:sz w:val="16"/>
              </w:rPr>
              <w:t>Exploration, implementation, version control, and reproducibility.</w:t>
            </w:r>
          </w:p>
        </w:tc>
      </w:tr>
    </w:tbl>
    <w:p>
      <w:pPr>
        <w:spacing w:after="20"/>
      </w:pPr>
    </w:p>
    <w:p>
      <w:r>
        <w: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90" w:type="dxa"/>
              <w:bottom w:w="80" w:type="dxa"/>
              <w:end w:w="90" w:type="dxa"/>
            </w:tcMar>
            <w:shd w:fill="D9EAF7"/>
          </w:tcPr>
          <w:p>
            <w:pPr>
              <w:spacing w:after="0"/>
            </w:pPr>
            <w:r>
              <w:rPr>
                <w:b/>
                <w:color w:val="17365D"/>
                <w:sz w:val="16"/>
              </w:rPr>
              <w:t>Deployment</w:t>
            </w:r>
          </w:p>
        </w:tc>
        <w:tc>
          <w:tcPr>
            <w:tcW w:type="dxa" w:w="3312"/>
            <w:vAlign w:val="center"/>
            <w:tcMar>
              <w:top w:w="80" w:type="dxa"/>
              <w:start w:w="90" w:type="dxa"/>
              <w:bottom w:w="80" w:type="dxa"/>
              <w:end w:w="90" w:type="dxa"/>
            </w:tcMar>
            <w:shd w:fill="D9EAF7"/>
          </w:tcPr>
          <w:p>
            <w:pPr>
              <w:spacing w:after="0"/>
            </w:pPr>
            <w:r>
              <w:rPr>
                <w:b/>
                <w:color w:val="17365D"/>
                <w:sz w:val="16"/>
              </w:rPr>
              <w:t>Local host or approved institutional server</w:t>
            </w:r>
          </w:p>
        </w:tc>
        <w:tc>
          <w:tcPr>
            <w:tcW w:type="dxa" w:w="3312"/>
            <w:vAlign w:val="center"/>
            <w:tcMar>
              <w:top w:w="80" w:type="dxa"/>
              <w:start w:w="90" w:type="dxa"/>
              <w:bottom w:w="80" w:type="dxa"/>
              <w:end w:w="90" w:type="dxa"/>
            </w:tcMar>
            <w:shd w:fill="D9EAF7"/>
          </w:tcPr>
          <w:p>
            <w:pPr>
              <w:spacing w:after="0"/>
            </w:pPr>
            <w:r>
              <w:rPr>
                <w:b/>
                <w:color w:val="17365D"/>
                <w:sz w:val="16"/>
              </w:rPr>
              <w:t>Demonstration and controlled access; deployment depends on institutional policy.</w:t>
            </w:r>
          </w:p>
        </w:tc>
      </w:tr>
    </w:tbl>
    <w:p>
      <w:pPr>
        <w:spacing w:after="20"/>
      </w:pPr>
    </w:p>
    <w:p>
      <w:r>
        <w:t>|</w:t>
      </w:r>
    </w:p>
    <w:p>
      <w:pPr>
        <w:pStyle w:val="Heading2"/>
      </w:pPr>
      <w:r>
        <w:t>6. Hardware Requirements</w:t>
      </w:r>
    </w:p>
    <w:p>
      <w:pPr>
        <w:pStyle w:val="ListBullet"/>
      </w:pPr>
      <w:r>
        <w:t>Computer or laptop capable of running Python and a modern web browser.</w:t>
      </w:r>
    </w:p>
    <w:p>
      <w:pPr>
        <w:pStyle w:val="ListBullet"/>
      </w:pPr>
      <w:r>
        <w:t>Recommended: 8 GB RAM or more for comfortable notebook and web development; actual needs depend on dataset size.</w:t>
      </w:r>
    </w:p>
    <w:p>
      <w:pPr>
        <w:pStyle w:val="ListBullet"/>
      </w:pPr>
      <w:r>
        <w:t>Internet access only when downloading approved public datasets or installing packages. A GPU is not required for these tree-based models.</w:t>
      </w:r>
    </w:p>
    <w:p>
      <w:pPr>
        <w:pStyle w:val="ListBullet"/>
      </w:pPr>
      <w:r>
        <w:t>No patient-monitoring hardware is required because this project accepts manually entered dataset-defined values.</w:t>
      </w:r>
    </w:p>
    <w:p>
      <w:pPr>
        <w:pStyle w:val="Heading2"/>
      </w:pPr>
      <w:r>
        <w:t>7. Software Requirements</w:t>
      </w:r>
    </w:p>
    <w:p>
      <w:pPr>
        <w:pStyle w:val="ListBullet"/>
      </w:pPr>
      <w:r>
        <w:t>Supported operating system: Windows, Linux, or macOS.</w:t>
      </w:r>
    </w:p>
    <w:p>
      <w:pPr>
        <w:pStyle w:val="ListBullet"/>
      </w:pPr>
      <w:r>
        <w:t>Python 3.x with pandas, NumPy, scikit-learn, joblib, and Flask or FastAPI.</w:t>
      </w:r>
    </w:p>
    <w:p>
      <w:pPr>
        <w:pStyle w:val="ListBullet"/>
      </w:pPr>
      <w:r>
        <w:t>Jupyter Notebook or equivalent for exploratory data analysis and model evaluation.</w:t>
      </w:r>
    </w:p>
    <w:p>
      <w:pPr>
        <w:pStyle w:val="ListBullet"/>
      </w:pPr>
      <w:r>
        <w:t>Modern web browser; Git for source control.</w:t>
      </w:r>
    </w:p>
    <w:p>
      <w:pPr>
        <w:pStyle w:val="ListBullet"/>
      </w:pPr>
      <w:r>
        <w:t>Dataset license, source, version, access date, intended population, and target definition documented before use.</w:t>
      </w:r>
    </w:p>
    <w:p>
      <w:pPr>
        <w:pStyle w:val="Heading2"/>
      </w:pPr>
      <w:r>
        <w:t>8. System Architecture</w:t>
      </w:r>
    </w:p>
    <w:p>
      <w:r>
        <w:t>The system is organized into a presentation layer, application/API layer, module registry, four independent inference pipelines, and optional history storage. Training is an offline activity. Each module’s saved preprocessing-and-model pipeline is loaded by the backend. The registry maps a condition identifier to its feature schema, validation rules, artifact version, and display labels. The backend must not route a request to a model for a different condition.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Stage</w:t>
            </w:r>
          </w:p>
        </w:tc>
        <w:tc>
          <w:tcPr>
            <w:tcW w:type="dxa" w:w="4968"/>
            <w:vAlign w:val="center"/>
            <w:tcMar>
              <w:top w:w="80" w:type="dxa"/>
              <w:start w:w="90" w:type="dxa"/>
              <w:bottom w:w="80" w:type="dxa"/>
              <w:end w:w="90" w:type="dxa"/>
            </w:tcMar>
            <w:shd w:fill="D9EAF7"/>
          </w:tcPr>
          <w:p>
            <w:pPr>
              <w:spacing w:after="0"/>
            </w:pPr>
            <w:r>
              <w:rPr>
                <w:b/>
                <w:color w:val="17365D"/>
                <w:sz w:val="16"/>
              </w:rPr>
              <w:t>Responsibility</w:t>
            </w:r>
          </w:p>
        </w:tc>
      </w:tr>
      <w:tr>
        <w:tc>
          <w:tcPr>
            <w:tcW w:type="dxa" w:w="4968"/>
            <w:vAlign w:val="center"/>
            <w:tcMar>
              <w:top w:w="80" w:type="dxa"/>
              <w:start w:w="90" w:type="dxa"/>
              <w:bottom w:w="80" w:type="dxa"/>
              <w:end w:w="90" w:type="dxa"/>
            </w:tcMar>
          </w:tcPr>
          <w:p>
            <w:pPr>
              <w:spacing w:after="0"/>
            </w:pPr>
            <w:r>
              <w:rPr>
                <w:b/>
                <w:sz w:val="16"/>
              </w:rPr>
              <w:t>User interface</w:t>
            </w:r>
          </w:p>
        </w:tc>
        <w:tc>
          <w:tcPr>
            <w:tcW w:type="dxa" w:w="4968"/>
            <w:vAlign w:val="center"/>
            <w:tcMar>
              <w:top w:w="80" w:type="dxa"/>
              <w:start w:w="90" w:type="dxa"/>
              <w:bottom w:w="80" w:type="dxa"/>
              <w:end w:w="90" w:type="dxa"/>
            </w:tcMar>
          </w:tcPr>
          <w:p>
            <w:pPr>
              <w:spacing w:after="0"/>
            </w:pPr>
            <w:r>
              <w:rPr>
                <w:sz w:val="16"/>
              </w:rPr>
              <w:t>Show four condition cards; render the selected module’s fields and units; collect consent where relevant.</w:t>
            </w:r>
          </w:p>
        </w:tc>
      </w:tr>
    </w:tbl>
    <w:p>
      <w:pPr>
        <w:spacing w:after="20"/>
      </w:pP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Request validation</w:t>
            </w:r>
          </w:p>
        </w:tc>
        <w:tc>
          <w:tcPr>
            <w:tcW w:type="dxa" w:w="4968"/>
            <w:vAlign w:val="center"/>
            <w:tcMar>
              <w:top w:w="80" w:type="dxa"/>
              <w:start w:w="90" w:type="dxa"/>
              <w:bottom w:w="80" w:type="dxa"/>
              <w:end w:w="90" w:type="dxa"/>
            </w:tcMar>
            <w:shd w:fill="D9EAF7"/>
          </w:tcPr>
          <w:p>
            <w:pPr>
              <w:spacing w:after="0"/>
            </w:pPr>
            <w:r>
              <w:rPr>
                <w:b/>
                <w:color w:val="17365D"/>
                <w:sz w:val="16"/>
              </w:rPr>
              <w:t>Check module identifier, required fields, types, permitted ranges based on dataset documentation, and missing values.</w:t>
            </w:r>
          </w:p>
        </w:tc>
      </w:tr>
    </w:tbl>
    <w:p>
      <w:pPr>
        <w:spacing w:after="20"/>
      </w:pP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Module registry</w:t>
            </w:r>
          </w:p>
        </w:tc>
        <w:tc>
          <w:tcPr>
            <w:tcW w:type="dxa" w:w="4968"/>
            <w:vAlign w:val="center"/>
            <w:tcMar>
              <w:top w:w="80" w:type="dxa"/>
              <w:start w:w="90" w:type="dxa"/>
              <w:bottom w:w="80" w:type="dxa"/>
              <w:end w:w="90" w:type="dxa"/>
            </w:tcMar>
            <w:shd w:fill="D9EAF7"/>
          </w:tcPr>
          <w:p>
            <w:pPr>
              <w:spacing w:after="0"/>
            </w:pPr>
            <w:r>
              <w:rPr>
                <w:b/>
                <w:color w:val="17365D"/>
                <w:sz w:val="16"/>
              </w:rPr>
              <w:t>Select the matching schema and versioned preprocessing/model pipeline.</w:t>
            </w:r>
          </w:p>
        </w:tc>
      </w:tr>
    </w:tbl>
    <w:p>
      <w:pPr>
        <w:spacing w:after="20"/>
      </w:pP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Inference service</w:t>
            </w:r>
          </w:p>
        </w:tc>
        <w:tc>
          <w:tcPr>
            <w:tcW w:type="dxa" w:w="4968"/>
            <w:vAlign w:val="center"/>
            <w:tcMar>
              <w:top w:w="80" w:type="dxa"/>
              <w:start w:w="90" w:type="dxa"/>
              <w:bottom w:w="80" w:type="dxa"/>
              <w:end w:w="90" w:type="dxa"/>
            </w:tcMar>
            <w:shd w:fill="D9EAF7"/>
          </w:tcPr>
          <w:p>
            <w:pPr>
              <w:spacing w:after="0"/>
            </w:pPr>
            <w:r>
              <w:rPr>
                <w:b/>
                <w:color w:val="17365D"/>
                <w:sz w:val="16"/>
              </w:rPr>
              <w:t>Transform inputs using training-fitted preprocessing; predict class and supported probability.</w:t>
            </w:r>
          </w:p>
        </w:tc>
      </w:tr>
    </w:tbl>
    <w:p>
      <w:pPr>
        <w:spacing w:after="20"/>
      </w:pP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Result view</w:t>
            </w:r>
          </w:p>
        </w:tc>
        <w:tc>
          <w:tcPr>
            <w:tcW w:type="dxa" w:w="4968"/>
            <w:vAlign w:val="center"/>
            <w:tcMar>
              <w:top w:w="80" w:type="dxa"/>
              <w:start w:w="90" w:type="dxa"/>
              <w:bottom w:w="80" w:type="dxa"/>
              <w:end w:w="90" w:type="dxa"/>
            </w:tcMar>
            <w:shd w:fill="D9EAF7"/>
          </w:tcPr>
          <w:p>
            <w:pPr>
              <w:spacing w:after="0"/>
            </w:pPr>
            <w:r>
              <w:rPr>
                <w:b/>
                <w:color w:val="17365D"/>
                <w:sz w:val="16"/>
              </w:rPr>
              <w:t>Display condition, predicted class/category, model score with caveat, model/version, and a non-diagnostic notice.</w:t>
            </w:r>
          </w:p>
        </w:tc>
      </w:tr>
    </w:tbl>
    <w:p>
      <w:pPr>
        <w:spacing w:after="20"/>
      </w:pP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Optional history</w:t>
            </w:r>
          </w:p>
        </w:tc>
        <w:tc>
          <w:tcPr>
            <w:tcW w:type="dxa" w:w="4968"/>
            <w:vAlign w:val="center"/>
            <w:tcMar>
              <w:top w:w="80" w:type="dxa"/>
              <w:start w:w="90" w:type="dxa"/>
              <w:bottom w:w="80" w:type="dxa"/>
              <w:end w:w="90" w:type="dxa"/>
            </w:tcMar>
            <w:shd w:fill="D9EAF7"/>
          </w:tcPr>
          <w:p>
            <w:pPr>
              <w:spacing w:after="0"/>
            </w:pPr>
            <w:r>
              <w:rPr>
                <w:b/>
                <w:color w:val="17365D"/>
                <w:sz w:val="16"/>
              </w:rPr>
              <w:t>Store only necessary values and outputs under access controls, retention policy, and user consent.</w:t>
            </w:r>
          </w:p>
        </w:tc>
      </w:tr>
    </w:tbl>
    <w:p>
      <w:pPr>
        <w:spacing w:after="20"/>
      </w:pPr>
    </w:p>
    <w:p>
      <w:r>
        <w:t>|</w:t>
      </w:r>
    </w:p>
    <w:p>
      <w:r>
        <w:rPr>
          <w:b/>
        </w:rPr>
        <w:t>Architecture flow:</w:t>
      </w:r>
      <w:r>
        <w:t xml:space="preserve"> User → condition selection → condition-specific form → validated request → matching module pipeline → Decision Tree / Random Forest result → comparison-selected output → explanatory result screen → optional history.</w:t>
      </w:r>
    </w:p>
    <w:p>
      <w:pPr>
        <w:pStyle w:val="Heading2"/>
      </w:pPr>
      <w:r>
        <w:t>9. System Components and Modules</w:t>
      </w:r>
    </w:p>
    <w:p>
      <w:pPr>
        <w:pStyle w:val="Heading3"/>
      </w:pPr>
      <w:r>
        <w:t>9.1 User and Form Module</w:t>
      </w:r>
    </w:p>
    <w:p>
      <w:r>
        <w:t>The home page offers four distinct selections. Selecting one reveals that module’s own field set. The form must show clear field names, units, optional/required status, and help text sourced from the dataset documentation. Changing the selected condition clears values that do not belong to the new form.</w:t>
      </w:r>
    </w:p>
    <w:p>
      <w:pPr>
        <w:pStyle w:val="Heading3"/>
      </w:pPr>
      <w:r>
        <w:t>9.2 Dataset and Preprocessing Module</w:t>
      </w:r>
    </w:p>
    <w:p>
      <w:r>
        <w:t>Each condition has an independent data loader and transformation pipeline. The pipeline checks schema, labels, missingness, duplicates, data types, and potential leakage. Transformations are fitted on training folds only and packaged with the classifier.</w:t>
      </w:r>
    </w:p>
    <w:p>
      <w:pPr>
        <w:pStyle w:val="Heading3"/>
      </w:pPr>
      <w:r>
        <w:t>9.3 Model Training Module</w:t>
      </w:r>
    </w:p>
    <w:p>
      <w:r>
        <w:t>For each of the four datasets, the project trains one Decision Tree and one Random Forest using the same approved split strategy and comparable preprocessing. Hyperparameter selection uses training data only, preferably stratified cross-validation when class proportions and sample size permit.</w:t>
      </w:r>
    </w:p>
    <w:p>
      <w:pPr>
        <w:pStyle w:val="Heading3"/>
      </w:pPr>
      <w:r>
        <w:t>9.4 Evaluation and Selection Module</w:t>
      </w:r>
    </w:p>
    <w:p>
      <w:r>
        <w:t>The project compares candidates using a predeclared primary metric and secondary metrics. The selected model is chosen per condition; one algorithm need not win all four tasks. Any probability displayed at runtime must come from the selected model and the positive class must be mapped explicitly.</w:t>
      </w:r>
    </w:p>
    <w:p>
      <w:pPr>
        <w:pStyle w:val="Heading3"/>
      </w:pPr>
      <w:r>
        <w:t>9.5 Results and History Module</w:t>
      </w:r>
    </w:p>
    <w:p>
      <w:r>
        <w:t>Results are specific to one selected condition and model version. History is optional. If enabled, it should avoid collecting names or identifiers unless required, offer deletion, define retention, and protect records from unauthorized access.</w:t>
      </w:r>
    </w:p>
    <w:p>
      <w:pPr>
        <w:pStyle w:val="Heading2"/>
      </w:pPr>
      <w:r>
        <w:t>10. Four Condition-Specific Prediction Modules</w:t>
      </w:r>
    </w:p>
    <w:p>
      <w:pPr>
        <w:pStyle w:val="Heading3"/>
      </w:pPr>
      <w:r>
        <w:t>Module 1: Blood Pressure Risk Module</w:t>
      </w:r>
    </w:p>
    <w:p>
      <w:pPr>
        <w:pStyle w:val="ListBullet"/>
      </w:pPr>
      <w:r>
        <w:rPr>
          <w:b/>
        </w:rPr>
        <w:t>Kaggle Dataset Source:</w:t>
      </w:r>
      <w:r>
        <w:t xml:space="preserve"> </w:t>
      </w:r>
      <w:r>
        <w:rPr>
          <w:color w:val="0563C1"/>
          <w:u w:val="single"/>
        </w:rPr>
        <w:t>Blood Pressure Data for Disease Prediction (https://www.kaggle.com/datasets/pavanbodanki/blood-press)</w:t>
      </w:r>
    </w:p>
    <w:p>
      <w:pPr>
        <w:pStyle w:val="ListBullet"/>
      </w:pPr>
      <w:r>
        <w:rPr>
          <w:b/>
        </w:rPr>
        <w:t>Dataset Description:</w:t>
      </w:r>
      <w:r>
        <w:t xml:space="preserve"> This dataset contains patient physiological measurements focusing on gender, age, systolic and diastolic blood pressure readings, and patient outcome labels. It excludes country attributes to ensure demographic neutrality across standard clinical input fields.</w:t>
      </w:r>
    </w:p>
    <w:p>
      <w:pPr>
        <w:pStyle w:val="ListBullet"/>
      </w:pPr>
      <w:r>
        <w:rPr>
          <w:b/>
        </w:rPr>
        <w:t>Input Features:</w:t>
      </w:r>
      <w:r>
        <w:t xml:space="preserve"> </w:t>
      </w:r>
      <w:r>
        <w:rPr>
          <w:rFonts w:ascii="Consolas" w:hAnsi="Consolas"/>
          <w:sz w:val="18"/>
        </w:rPr>
        <w:t>Gender</w:t>
      </w:r>
      <w:r>
        <w:t xml:space="preserve"> (0 = Female, 1 = Male), </w:t>
      </w:r>
      <w:r>
        <w:rPr>
          <w:rFonts w:ascii="Consolas" w:hAnsi="Consolas"/>
          <w:sz w:val="18"/>
        </w:rPr>
        <w:t>Age</w:t>
      </w:r>
      <w:r>
        <w:t xml:space="preserve"> (years), </w:t>
      </w:r>
      <w:r>
        <w:rPr>
          <w:rFonts w:ascii="Consolas" w:hAnsi="Consolas"/>
          <w:sz w:val="18"/>
        </w:rPr>
        <w:t>Patient_Systolic</w:t>
      </w:r>
      <w:r>
        <w:t xml:space="preserve"> (mmHg), </w:t>
      </w:r>
      <w:r>
        <w:rPr>
          <w:rFonts w:ascii="Consolas" w:hAnsi="Consolas"/>
          <w:sz w:val="18"/>
        </w:rPr>
        <w:t>Patient_Diastolic</w:t>
      </w:r>
      <w:r>
        <w:t xml:space="preserve"> (mmHg).</w:t>
      </w:r>
    </w:p>
    <w:p>
      <w:pPr>
        <w:pStyle w:val="ListBullet"/>
      </w:pPr>
      <w:r>
        <w:rPr>
          <w:b/>
        </w:rPr>
        <w:t>Target Label:</w:t>
      </w:r>
      <w:r>
        <w:t xml:space="preserve"> </w:t>
      </w:r>
      <w:r>
        <w:rPr>
          <w:rFonts w:ascii="Consolas" w:hAnsi="Consolas"/>
          <w:sz w:val="18"/>
        </w:rPr>
        <w:t>Result</w:t>
      </w:r>
      <w:r>
        <w:t xml:space="preserve"> / </w:t>
      </w:r>
      <w:r>
        <w:rPr>
          <w:rFonts w:ascii="Consolas" w:hAnsi="Consolas"/>
          <w:sz w:val="18"/>
        </w:rPr>
        <w:t>Hypertension_Risk</w:t>
      </w:r>
      <w:r>
        <w:t xml:space="preserve"> (Binary indicator for elevated or normal blood pressure risk).</w:t>
      </w:r>
    </w:p>
    <w:p>
      <w:pPr>
        <w:pStyle w:val="Heading3"/>
      </w:pPr>
      <w:r>
        <w:t>Module 2: Diabetes / Sugar Risk Module</w:t>
      </w:r>
    </w:p>
    <w:p>
      <w:pPr>
        <w:pStyle w:val="ListBullet"/>
      </w:pPr>
      <w:r>
        <w:rPr>
          <w:b/>
        </w:rPr>
        <w:t>Kaggle Dataset Source:</w:t>
      </w:r>
      <w:r>
        <w:t xml:space="preserve"> </w:t>
      </w:r>
      <w:r>
        <w:rPr>
          <w:color w:val="0563C1"/>
          <w:u w:val="single"/>
        </w:rPr>
        <w:t>Pima Indians Diabetes Database (https://www.google.com/search?q=https://www.kaggle.com/datasets/uciml/pima-indians-diabetes-database)</w:t>
      </w:r>
    </w:p>
    <w:p>
      <w:pPr>
        <w:pStyle w:val="ListBullet"/>
      </w:pPr>
      <w:r>
        <w:rPr>
          <w:b/>
        </w:rPr>
        <w:t>Dataset Description:</w:t>
      </w:r>
      <w:r>
        <w:t xml:space="preserve"> A widely established benchmark clinical dataset provided by the National Institute of Diabetes and Digestive and Kidney Diseases. It contains diagnostic measurements to predict whether a patient has diabetes.</w:t>
      </w:r>
    </w:p>
    <w:p>
      <w:pPr>
        <w:pStyle w:val="ListBullet"/>
      </w:pPr>
      <w:r>
        <w:rPr>
          <w:b/>
        </w:rPr>
        <w:t>Input Features:</w:t>
      </w:r>
      <w:r>
        <w:t xml:space="preserve"> </w:t>
      </w:r>
      <w:r>
        <w:rPr>
          <w:rFonts w:ascii="Consolas" w:hAnsi="Consolas"/>
          <w:sz w:val="18"/>
        </w:rPr>
        <w:t>Pregnancies</w:t>
      </w:r>
      <w:r>
        <w:t xml:space="preserve">, </w:t>
      </w:r>
      <w:r>
        <w:rPr>
          <w:rFonts w:ascii="Consolas" w:hAnsi="Consolas"/>
          <w:sz w:val="18"/>
        </w:rPr>
        <w:t>Glucose</w:t>
      </w:r>
      <w:r>
        <w:t xml:space="preserve"> (Plasma glucose concentration), </w:t>
      </w:r>
      <w:r>
        <w:rPr>
          <w:rFonts w:ascii="Consolas" w:hAnsi="Consolas"/>
          <w:sz w:val="18"/>
        </w:rPr>
        <w:t>BloodPressure</w:t>
      </w:r>
      <w:r>
        <w:t xml:space="preserve"> (Diastolic blood pressure in mmHg), </w:t>
      </w:r>
      <w:r>
        <w:rPr>
          <w:rFonts w:ascii="Consolas" w:hAnsi="Consolas"/>
          <w:sz w:val="18"/>
        </w:rPr>
        <w:t>SkinThickness</w:t>
      </w:r>
      <w:r>
        <w:t xml:space="preserve"> (Triceps skin fold thickness in mm), </w:t>
      </w:r>
      <w:r>
        <w:rPr>
          <w:rFonts w:ascii="Consolas" w:hAnsi="Consolas"/>
          <w:sz w:val="18"/>
        </w:rPr>
        <w:t>Insulin</w:t>
      </w:r>
      <w:r>
        <w:t xml:space="preserve"> (2-Hour serum insulin in mu U/ml), </w:t>
      </w:r>
      <w:r>
        <w:rPr>
          <w:rFonts w:ascii="Consolas" w:hAnsi="Consolas"/>
          <w:sz w:val="18"/>
        </w:rPr>
        <w:t>BMI</w:t>
      </w:r>
      <w:r>
        <w:t xml:space="preserve"> (Body mass index), </w:t>
      </w:r>
      <w:r>
        <w:rPr>
          <w:rFonts w:ascii="Consolas" w:hAnsi="Consolas"/>
          <w:sz w:val="18"/>
        </w:rPr>
        <w:t>DiabetesPedigreeFunction</w:t>
      </w:r>
      <w:r>
        <w:t xml:space="preserve"> (Diabetes pedigree function score), </w:t>
      </w:r>
      <w:r>
        <w:rPr>
          <w:rFonts w:ascii="Consolas" w:hAnsi="Consolas"/>
          <w:sz w:val="18"/>
        </w:rPr>
        <w:t>Age</w:t>
      </w:r>
      <w:r>
        <w:t xml:space="preserve"> (years).</w:t>
      </w:r>
    </w:p>
    <w:p>
      <w:pPr>
        <w:pStyle w:val="ListBullet"/>
      </w:pPr>
      <w:r>
        <w:rPr>
          <w:b/>
        </w:rPr>
        <w:t>Target Label:</w:t>
      </w:r>
      <w:r>
        <w:t xml:space="preserve"> </w:t>
      </w:r>
      <w:r>
        <w:rPr>
          <w:rFonts w:ascii="Consolas" w:hAnsi="Consolas"/>
          <w:sz w:val="18"/>
        </w:rPr>
        <w:t>Outcome</w:t>
      </w:r>
      <w:r>
        <w:t xml:space="preserve"> (0 = Non-diabetic, 1 = Diabetic).</w:t>
      </w:r>
    </w:p>
    <w:p>
      <w:pPr>
        <w:pStyle w:val="Heading3"/>
      </w:pPr>
      <w:r>
        <w:t>Module 3: Anemia Risk Module</w:t>
      </w:r>
    </w:p>
    <w:p>
      <w:pPr>
        <w:pStyle w:val="ListBullet"/>
      </w:pPr>
      <w:r>
        <w:rPr>
          <w:b/>
        </w:rPr>
        <w:t>Kaggle Dataset Source:</w:t>
      </w:r>
      <w:r>
        <w:t xml:space="preserve"> </w:t>
      </w:r>
      <w:r>
        <w:rPr>
          <w:color w:val="0563C1"/>
          <w:u w:val="single"/>
        </w:rPr>
        <w:t>Anemia Dataset (https://www.kaggle.com/datasets/biswaranjanrao/anemia-dataset/data)</w:t>
      </w:r>
    </w:p>
    <w:p>
      <w:pPr>
        <w:pStyle w:val="ListBullet"/>
      </w:pPr>
      <w:r>
        <w:rPr>
          <w:b/>
        </w:rPr>
        <w:t>Dataset Description:</w:t>
      </w:r>
      <w:r>
        <w:t xml:space="preserve"> A domain-specific hematology dataset that uses gender and red blood cell indices to evaluate the likelihood of anemia in individuals.</w:t>
      </w:r>
    </w:p>
    <w:p>
      <w:pPr>
        <w:pStyle w:val="ListBullet"/>
      </w:pPr>
      <w:r>
        <w:rPr>
          <w:b/>
        </w:rPr>
        <w:t>Input Features:</w:t>
      </w:r>
      <w:r>
        <w:t xml:space="preserve"> </w:t>
      </w:r>
      <w:r>
        <w:rPr>
          <w:rFonts w:ascii="Consolas" w:hAnsi="Consolas"/>
          <w:sz w:val="18"/>
        </w:rPr>
        <w:t>Gender</w:t>
      </w:r>
      <w:r>
        <w:t xml:space="preserve"> (0 = Male, 1 = Female), </w:t>
      </w:r>
      <w:r>
        <w:rPr>
          <w:rFonts w:ascii="Consolas" w:hAnsi="Consolas"/>
          <w:sz w:val="18"/>
        </w:rPr>
        <w:t>Hemoglobin</w:t>
      </w:r>
      <w:r>
        <w:t xml:space="preserve"> (g/dL), </w:t>
      </w:r>
      <w:r>
        <w:rPr>
          <w:rFonts w:ascii="Consolas" w:hAnsi="Consolas"/>
          <w:sz w:val="18"/>
        </w:rPr>
        <w:t>MCHC</w:t>
      </w:r>
      <w:r>
        <w:t xml:space="preserve"> (Mean Corpuscular Hemoglobin Concentration), </w:t>
      </w:r>
      <w:r>
        <w:rPr>
          <w:rFonts w:ascii="Consolas" w:hAnsi="Consolas"/>
          <w:sz w:val="18"/>
        </w:rPr>
        <w:t>MCV</w:t>
      </w:r>
      <w:r>
        <w:t xml:space="preserve"> (Mean Corpuscular Volume), </w:t>
      </w:r>
      <w:r>
        <w:rPr>
          <w:rFonts w:ascii="Consolas" w:hAnsi="Consolas"/>
          <w:sz w:val="18"/>
        </w:rPr>
        <w:t>MCH</w:t>
      </w:r>
      <w:r>
        <w:t xml:space="preserve"> (Mean Corpuscular Hemoglobin).</w:t>
      </w:r>
    </w:p>
    <w:p>
      <w:pPr>
        <w:pStyle w:val="ListBullet"/>
      </w:pPr>
      <w:r>
        <w:rPr>
          <w:b/>
        </w:rPr>
        <w:t>Target Label:</w:t>
      </w:r>
      <w:r>
        <w:t xml:space="preserve"> </w:t>
      </w:r>
      <w:r>
        <w:rPr>
          <w:rFonts w:ascii="Consolas" w:hAnsi="Consolas"/>
          <w:sz w:val="18"/>
        </w:rPr>
        <w:t>Result</w:t>
      </w:r>
      <w:r>
        <w:t xml:space="preserve"> (0 = Not Anemic, 1 = Anemic).</w:t>
      </w:r>
    </w:p>
    <w:p>
      <w:pPr>
        <w:pStyle w:val="Heading3"/>
      </w:pPr>
      <w:r>
        <w:t>Module 4: Obesity Classification Module</w:t>
      </w:r>
    </w:p>
    <w:p>
      <w:pPr>
        <w:pStyle w:val="ListBullet"/>
      </w:pPr>
      <w:r>
        <w:rPr>
          <w:b/>
        </w:rPr>
        <w:t>Kaggle Dataset Source:</w:t>
      </w:r>
      <w:r>
        <w:t xml:space="preserve"> </w:t>
      </w:r>
      <w:r>
        <w:rPr>
          <w:color w:val="0563C1"/>
          <w:u w:val="single"/>
        </w:rPr>
        <w:t>Estimation of Obesity Levels Based On Eating Habits and Physical Condition (https://www.kaggle.com/datasets/fatemehmehrparvar/obesity-levels)</w:t>
      </w:r>
    </w:p>
    <w:p>
      <w:pPr>
        <w:pStyle w:val="ListBullet"/>
      </w:pPr>
      <w:r>
        <w:rPr>
          <w:b/>
        </w:rPr>
        <w:t>Dataset Description:</w:t>
      </w:r>
      <w:r>
        <w:t xml:space="preserve"> A comprehensive dataset for estimating obesity levels based on eating habits, physical condition, and demographic information collected from individuals.</w:t>
      </w:r>
    </w:p>
    <w:p>
      <w:pPr>
        <w:pStyle w:val="ListBullet"/>
      </w:pPr>
      <w:r>
        <w:rPr>
          <w:b/>
        </w:rPr>
        <w:t>Input Features:</w:t>
      </w:r>
      <w:r>
        <w:t xml:space="preserve"> </w:t>
      </w:r>
      <w:r>
        <w:rPr>
          <w:rFonts w:ascii="Consolas" w:hAnsi="Consolas"/>
          <w:sz w:val="18"/>
        </w:rPr>
        <w:t>Gender</w:t>
      </w:r>
      <w:r>
        <w:t xml:space="preserve">, </w:t>
      </w:r>
      <w:r>
        <w:rPr>
          <w:rFonts w:ascii="Consolas" w:hAnsi="Consolas"/>
          <w:sz w:val="18"/>
        </w:rPr>
        <w:t>Age</w:t>
      </w:r>
      <w:r>
        <w:t xml:space="preserve">, </w:t>
      </w:r>
      <w:r>
        <w:rPr>
          <w:rFonts w:ascii="Consolas" w:hAnsi="Consolas"/>
          <w:sz w:val="18"/>
        </w:rPr>
        <w:t>Height</w:t>
      </w:r>
      <w:r>
        <w:t xml:space="preserve">, </w:t>
      </w:r>
      <w:r>
        <w:rPr>
          <w:rFonts w:ascii="Consolas" w:hAnsi="Consolas"/>
          <w:sz w:val="18"/>
        </w:rPr>
        <w:t>Weight</w:t>
      </w:r>
      <w:r>
        <w:t xml:space="preserve">, </w:t>
      </w:r>
      <w:r>
        <w:rPr>
          <w:rFonts w:ascii="Consolas" w:hAnsi="Consolas"/>
          <w:sz w:val="18"/>
        </w:rPr>
        <w:t>family_history_with_overweight</w:t>
      </w:r>
      <w:r>
        <w:t xml:space="preserve">, </w:t>
      </w:r>
      <w:r>
        <w:rPr>
          <w:rFonts w:ascii="Consolas" w:hAnsi="Consolas"/>
          <w:sz w:val="18"/>
        </w:rPr>
        <w:t>FAVC</w:t>
      </w:r>
      <w:r>
        <w:t xml:space="preserve"> (Frequent consumption of high caloric food), </w:t>
      </w:r>
      <w:r>
        <w:rPr>
          <w:rFonts w:ascii="Consolas" w:hAnsi="Consolas"/>
          <w:sz w:val="18"/>
        </w:rPr>
        <w:t>FCVC</w:t>
      </w:r>
      <w:r>
        <w:t xml:space="preserve"> (Frequency of consumption of vegetables), </w:t>
      </w:r>
      <w:r>
        <w:rPr>
          <w:rFonts w:ascii="Consolas" w:hAnsi="Consolas"/>
          <w:sz w:val="18"/>
        </w:rPr>
        <w:t>NCP</w:t>
      </w:r>
      <w:r>
        <w:t xml:space="preserve"> (Number of main meals), </w:t>
      </w:r>
      <w:r>
        <w:rPr>
          <w:rFonts w:ascii="Consolas" w:hAnsi="Consolas"/>
          <w:sz w:val="18"/>
        </w:rPr>
        <w:t>CAEC</w:t>
      </w:r>
      <w:r>
        <w:t xml:space="preserve"> (Consumption of food between meals), </w:t>
      </w:r>
      <w:r>
        <w:rPr>
          <w:rFonts w:ascii="Consolas" w:hAnsi="Consolas"/>
          <w:sz w:val="18"/>
        </w:rPr>
        <w:t>SMOKE</w:t>
      </w:r>
      <w:r>
        <w:t xml:space="preserve">, </w:t>
      </w:r>
      <w:r>
        <w:rPr>
          <w:rFonts w:ascii="Consolas" w:hAnsi="Consolas"/>
          <w:sz w:val="18"/>
        </w:rPr>
        <w:t>CH2O</w:t>
      </w:r>
      <w:r>
        <w:t xml:space="preserve"> (Daily consumption of water), </w:t>
      </w:r>
      <w:r>
        <w:rPr>
          <w:rFonts w:ascii="Consolas" w:hAnsi="Consolas"/>
          <w:sz w:val="18"/>
        </w:rPr>
        <w:t>SCC</w:t>
      </w:r>
      <w:r>
        <w:t xml:space="preserve"> (Calories consumption monitoring), </w:t>
      </w:r>
      <w:r>
        <w:rPr>
          <w:rFonts w:ascii="Consolas" w:hAnsi="Consolas"/>
          <w:sz w:val="18"/>
        </w:rPr>
        <w:t>FAF</w:t>
      </w:r>
      <w:r>
        <w:t xml:space="preserve"> (Physical activity frequency), </w:t>
      </w:r>
      <w:r>
        <w:rPr>
          <w:rFonts w:ascii="Consolas" w:hAnsi="Consolas"/>
          <w:sz w:val="18"/>
        </w:rPr>
        <w:t>TUE</w:t>
      </w:r>
      <w:r>
        <w:t xml:space="preserve"> (Time using technology devices), </w:t>
      </w:r>
      <w:r>
        <w:rPr>
          <w:rFonts w:ascii="Consolas" w:hAnsi="Consolas"/>
          <w:sz w:val="18"/>
        </w:rPr>
        <w:t>CALC</w:t>
      </w:r>
      <w:r>
        <w:t xml:space="preserve"> (Consumption of alcohol), </w:t>
      </w:r>
      <w:r>
        <w:rPr>
          <w:rFonts w:ascii="Consolas" w:hAnsi="Consolas"/>
          <w:sz w:val="18"/>
        </w:rPr>
        <w:t>MTRANS</w:t>
      </w:r>
      <w:r>
        <w:t xml:space="preserve"> (Transportation used).</w:t>
      </w:r>
    </w:p>
    <w:p>
      <w:pPr>
        <w:pStyle w:val="ListBullet"/>
      </w:pPr>
      <w:r>
        <w:rPr>
          <w:b/>
        </w:rPr>
        <w:t>Target Label:</w:t>
      </w:r>
      <w:r>
        <w:t xml:space="preserve"> </w:t>
      </w:r>
      <w:r>
        <w:rPr>
          <w:rFonts w:ascii="Consolas" w:hAnsi="Consolas"/>
          <w:sz w:val="18"/>
        </w:rPr>
        <w:t>NObeyesdad</w:t>
      </w:r>
      <w:r>
        <w:t xml:space="preserve"> (Multiclass classification: Insufficient Weight, Normal Weight, Overweight Level I, Overweight Level II, Obesity Type I, Obesity Type II, Obesity Type III).</w:t>
      </w:r>
    </w:p>
    <w:p>
      <w:pPr>
        <w:pStyle w:val="Heading2"/>
      </w:pPr>
      <w:r>
        <w:t>11. Dataset Strategy</w:t>
      </w:r>
    </w:p>
    <w:p>
      <w:pPr>
        <w:pStyle w:val="ListNumber"/>
      </w:pPr>
      <w:r>
        <w:t>Select one suitable, legally reusable dataset for each module. Record exact title, publisher/source, link, version or release, access date, license, population, sample size, feature definitions, label construction, and known limitations.</w:t>
      </w:r>
    </w:p>
    <w:p>
      <w:pPr>
        <w:pStyle w:val="ListNumber"/>
      </w:pPr>
      <w:r>
        <w:t>Do not combine rows from unrelated datasets merely to create a uniform form. The four datasets have separate feature sets and target labels.</w:t>
      </w:r>
    </w:p>
    <w:p>
      <w:pPr>
        <w:pStyle w:val="ListNumber"/>
      </w:pPr>
      <w:r>
        <w:t>Confirm that each dataset’s labels match the intended task. A dataset labeled for hypertension, diabetes, anemia, or BMI class may represent a screening label rather than a clinical diagnosis.</w:t>
      </w:r>
    </w:p>
    <w:p>
      <w:pPr>
        <w:pStyle w:val="ListNumber"/>
      </w:pPr>
      <w:r>
        <w:t>Check class distribution, cohort composition, collection period, measurement units, duplicate records, missingness, and whether rows are independent.</w:t>
      </w:r>
    </w:p>
    <w:p>
      <w:pPr>
        <w:pStyle w:val="ListNumber"/>
      </w:pPr>
      <w:r>
        <w:t>Create a data dictionary for each module and maintain separate versioned files and experiment records.</w:t>
      </w:r>
    </w:p>
    <w:p>
      <w:pPr>
        <w:pStyle w:val="ListNumber"/>
      </w:pPr>
      <w:r>
        <w:t>If a dataset cannot support probability estimates or lacks clear provenance, report that limitation and avoid presenting a precise risk percentage.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Dataset record item</w:t>
            </w:r>
          </w:p>
        </w:tc>
        <w:tc>
          <w:tcPr>
            <w:tcW w:type="dxa" w:w="4968"/>
            <w:vAlign w:val="center"/>
            <w:tcMar>
              <w:top w:w="80" w:type="dxa"/>
              <w:start w:w="90" w:type="dxa"/>
              <w:bottom w:w="80" w:type="dxa"/>
              <w:end w:w="90" w:type="dxa"/>
            </w:tcMar>
            <w:shd w:fill="D9EAF7"/>
          </w:tcPr>
          <w:p>
            <w:pPr>
              <w:spacing w:after="0"/>
            </w:pPr>
            <w:r>
              <w:rPr>
                <w:b/>
                <w:color w:val="17365D"/>
                <w:sz w:val="16"/>
              </w:rPr>
              <w:t>To be completed for each module</w:t>
            </w:r>
          </w:p>
        </w:tc>
      </w:tr>
      <w:tr>
        <w:tc>
          <w:tcPr>
            <w:tcW w:type="dxa" w:w="4968"/>
            <w:vAlign w:val="center"/>
            <w:tcMar>
              <w:top w:w="80" w:type="dxa"/>
              <w:start w:w="90" w:type="dxa"/>
              <w:bottom w:w="80" w:type="dxa"/>
              <w:end w:w="90" w:type="dxa"/>
            </w:tcMar>
          </w:tcPr>
          <w:p>
            <w:pPr>
              <w:spacing w:after="0"/>
            </w:pPr>
            <w:r>
              <w:rPr>
                <w:b/>
                <w:sz w:val="16"/>
              </w:rPr>
              <w:t>Dataset identification</w:t>
            </w:r>
          </w:p>
        </w:tc>
        <w:tc>
          <w:tcPr>
            <w:tcW w:type="dxa" w:w="4968"/>
            <w:vAlign w:val="center"/>
            <w:tcMar>
              <w:top w:w="80" w:type="dxa"/>
              <w:start w:w="90" w:type="dxa"/>
              <w:bottom w:w="80" w:type="dxa"/>
              <w:end w:w="90" w:type="dxa"/>
            </w:tcMar>
          </w:tcPr>
          <w:p>
            <w:pPr>
              <w:spacing w:after="0"/>
            </w:pPr>
            <w:r>
              <w:rPr>
                <w:sz w:val="16"/>
              </w:rPr>
              <w:t>[Title, source URL, publisher, version/release, access date]</w:t>
            </w:r>
          </w:p>
        </w:tc>
      </w:tr>
    </w:tbl>
    <w:p>
      <w:pPr>
        <w:spacing w:after="20"/>
      </w:pP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License and permitted use</w:t>
            </w:r>
          </w:p>
        </w:tc>
        <w:tc>
          <w:tcPr>
            <w:tcW w:type="dxa" w:w="4968"/>
            <w:vAlign w:val="center"/>
            <w:tcMar>
              <w:top w:w="80" w:type="dxa"/>
              <w:start w:w="90" w:type="dxa"/>
              <w:bottom w:w="80" w:type="dxa"/>
              <w:end w:w="90" w:type="dxa"/>
            </w:tcMar>
            <w:shd w:fill="D9EAF7"/>
          </w:tcPr>
          <w:p>
            <w:pPr>
              <w:spacing w:after="0"/>
            </w:pPr>
            <w:r>
              <w:rPr>
                <w:b/>
                <w:color w:val="17365D"/>
                <w:sz w:val="16"/>
              </w:rPr>
              <w:t>[License / terms and project-use confirmation]</w:t>
            </w:r>
          </w:p>
        </w:tc>
      </w:tr>
    </w:tbl>
    <w:p>
      <w:pPr>
        <w:spacing w:after="20"/>
      </w:pP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Cohort and sampling</w:t>
            </w:r>
          </w:p>
        </w:tc>
        <w:tc>
          <w:tcPr>
            <w:tcW w:type="dxa" w:w="4968"/>
            <w:vAlign w:val="center"/>
            <w:tcMar>
              <w:top w:w="80" w:type="dxa"/>
              <w:start w:w="90" w:type="dxa"/>
              <w:bottom w:w="80" w:type="dxa"/>
              <w:end w:w="90" w:type="dxa"/>
            </w:tcMar>
            <w:shd w:fill="D9EAF7"/>
          </w:tcPr>
          <w:p>
            <w:pPr>
              <w:spacing w:after="0"/>
            </w:pPr>
            <w:r>
              <w:rPr>
                <w:b/>
                <w:color w:val="17365D"/>
                <w:sz w:val="16"/>
              </w:rPr>
              <w:t>[Population, geography, dates, inclusion/exclusion, sample count]</w:t>
            </w:r>
          </w:p>
        </w:tc>
      </w:tr>
    </w:tbl>
    <w:p>
      <w:pPr>
        <w:spacing w:after="20"/>
      </w:pP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Target</w:t>
            </w:r>
          </w:p>
        </w:tc>
        <w:tc>
          <w:tcPr>
            <w:tcW w:type="dxa" w:w="4968"/>
            <w:vAlign w:val="center"/>
            <w:tcMar>
              <w:top w:w="80" w:type="dxa"/>
              <w:start w:w="90" w:type="dxa"/>
              <w:bottom w:w="80" w:type="dxa"/>
              <w:end w:w="90" w:type="dxa"/>
            </w:tcMar>
            <w:shd w:fill="D9EAF7"/>
          </w:tcPr>
          <w:p>
            <w:pPr>
              <w:spacing w:after="0"/>
            </w:pPr>
            <w:r>
              <w:rPr>
                <w:b/>
                <w:color w:val="17365D"/>
                <w:sz w:val="16"/>
              </w:rPr>
              <w:t>[Column, label definitions, positive class, time horizon, provenance]</w:t>
            </w:r>
          </w:p>
        </w:tc>
      </w:tr>
    </w:tbl>
    <w:p>
      <w:pPr>
        <w:spacing w:after="20"/>
      </w:pP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Features</w:t>
            </w:r>
          </w:p>
        </w:tc>
        <w:tc>
          <w:tcPr>
            <w:tcW w:type="dxa" w:w="4968"/>
            <w:vAlign w:val="center"/>
            <w:tcMar>
              <w:top w:w="80" w:type="dxa"/>
              <w:start w:w="90" w:type="dxa"/>
              <w:bottom w:w="80" w:type="dxa"/>
              <w:end w:w="90" w:type="dxa"/>
            </w:tcMar>
            <w:shd w:fill="D9EAF7"/>
          </w:tcPr>
          <w:p>
            <w:pPr>
              <w:spacing w:after="0"/>
            </w:pPr>
            <w:r>
              <w:rPr>
                <w:b/>
                <w:color w:val="17365D"/>
                <w:sz w:val="16"/>
              </w:rPr>
              <w:t>[Field names, units, types, missingness, exclusions, rationale]</w:t>
            </w:r>
          </w:p>
        </w:tc>
      </w:tr>
    </w:tbl>
    <w:p>
      <w:pPr>
        <w:spacing w:after="20"/>
      </w:pP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Known limitations</w:t>
            </w:r>
          </w:p>
        </w:tc>
        <w:tc>
          <w:tcPr>
            <w:tcW w:type="dxa" w:w="4968"/>
            <w:vAlign w:val="center"/>
            <w:tcMar>
              <w:top w:w="80" w:type="dxa"/>
              <w:start w:w="90" w:type="dxa"/>
              <w:bottom w:w="80" w:type="dxa"/>
              <w:end w:w="90" w:type="dxa"/>
            </w:tcMar>
            <w:shd w:fill="D9EAF7"/>
          </w:tcPr>
          <w:p>
            <w:pPr>
              <w:spacing w:after="0"/>
            </w:pPr>
            <w:r>
              <w:rPr>
                <w:b/>
                <w:color w:val="17365D"/>
                <w:sz w:val="16"/>
              </w:rPr>
              <w:t>[Representativeness, measurement quality, label noise, selection bias]</w:t>
            </w:r>
          </w:p>
        </w:tc>
      </w:tr>
    </w:tbl>
    <w:p>
      <w:pPr>
        <w:spacing w:after="20"/>
      </w:pPr>
    </w:p>
    <w:p>
      <w:r>
        <w:t>|</w:t>
      </w:r>
    </w:p>
    <w:p>
      <w:pPr>
        <w:pStyle w:val="Heading2"/>
      </w:pPr>
      <w:r>
        <w:t>12. Data Preprocessing and Feature Engineering</w:t>
      </w:r>
    </w:p>
    <w:p>
      <w:pPr>
        <w:pStyle w:val="Heading3"/>
      </w:pPr>
      <w:r>
        <w:t>12.1 Data Audit</w:t>
      </w:r>
    </w:p>
    <w:p>
      <w:r>
        <w:t>For every dataset, inspect dimensions, column types, unique categories, target values, missingness, duplicate rows, class balance, and value distributions. Check impossible or suspicious values against the source documentation rather than silently clipping them. Keep a written record of every exclusion and transformation.</w:t>
      </w:r>
    </w:p>
    <w:p>
      <w:pPr>
        <w:pStyle w:val="Heading3"/>
      </w:pPr>
      <w:r>
        <w:t>12.2 Cleaning and Encoding</w:t>
      </w:r>
    </w:p>
    <w:p>
      <w:r>
        <w:t xml:space="preserve">Handle missing values with a strategy selected using training data only, such as a documented imputation rule or removal when justified. Encode categorical variables using a method appropriate to their meaning. Use an </w:t>
      </w:r>
      <w:r>
        <w:rPr>
          <w:rFonts w:ascii="Consolas" w:hAnsi="Consolas"/>
          <w:sz w:val="18"/>
        </w:rPr>
        <w:t>sklearn.pipeline.Pipeline</w:t>
      </w:r>
      <w:r>
        <w:t xml:space="preserve"> and </w:t>
      </w:r>
      <w:r>
        <w:rPr>
          <w:rFonts w:ascii="Consolas" w:hAnsi="Consolas"/>
          <w:sz w:val="18"/>
        </w:rPr>
        <w:t>ColumnTransformer</w:t>
      </w:r>
      <w:r>
        <w:t xml:space="preserve"> so preprocessing is repeated consistently during cross-validation and inference. Tree models generally do not require feature scaling, although some preprocessing may still be required for missing values and categories.</w:t>
      </w:r>
    </w:p>
    <w:p>
      <w:pPr>
        <w:pStyle w:val="Heading3"/>
      </w:pPr>
      <w:r>
        <w:t>12.3 Splitting and Leakage Prevention</w:t>
      </w:r>
    </w:p>
    <w:p>
      <w:r>
        <w:t>Separate a final test set before model tuning. Use stratified splits for classification where appropriate. If multiple rows belong to one person, household, site, or time series, use grouped or time-aware splits to prevent related records leaking across training and test data. Fit imputers, encoders, feature selection, and calibration only on training folds. Never use the test set to select thresholds or hyperparameters.</w:t>
      </w:r>
    </w:p>
    <w:p>
      <w:pPr>
        <w:pStyle w:val="Heading3"/>
      </w:pPr>
      <w:r>
        <w:t>12.4 Feature Engineering</w:t>
      </w:r>
    </w:p>
    <w:p>
      <w:r>
        <w:t>Derived features may be considered only when their formula is justified by the dataset and available inputs. For example, BMI can be derived from height and weight if the source units are verified and both fields are present; if the dataset already defines BMI, do not accidentally create inconsistent duplicates. Record formulas, units, and missing-value behavior. Avoid target leakage, post-outcome measurements, and unsupported clinical transformations.</w:t>
      </w:r>
    </w:p>
    <w:p>
      <w:pPr>
        <w:pStyle w:val="Heading2"/>
      </w:pPr>
      <w:r>
        <w:t>13. Algorithms</w:t>
      </w:r>
    </w:p>
    <w:p>
      <w:pPr>
        <w:pStyle w:val="Heading3"/>
      </w:pPr>
      <w:r>
        <w:t>13.1 Decision Tree Classifier</w:t>
      </w:r>
    </w:p>
    <w:p>
      <w:r>
        <w:t>A Decision Tree recursively partitions the feature space using feature-value tests. At each node it chooses a split that reduces impurity, commonly measured with Gini impurity or entropy. A leaf predicts the class distribution among its training samples. Trees are easy to visualize and explain, but an unrestricted tree can overfit and change substantially with small data changes.</w:t>
      </w:r>
    </w:p>
    <w:p>
      <w:r>
        <w:rPr>
          <w:i/>
        </w:rPr>
        <w:t>Generic training outline:</w:t>
      </w:r>
    </w:p>
    <w:p>
      <w:pPr>
        <w:pStyle w:val="ListNumber"/>
      </w:pPr>
      <w:r>
        <w:t>Start with the training records at the root.</w:t>
      </w:r>
    </w:p>
    <w:p>
      <w:pPr>
        <w:pStyle w:val="ListNumber"/>
      </w:pPr>
      <w:r>
        <w:t>Evaluate candidate feature splits using the configured criterion.</w:t>
      </w:r>
    </w:p>
    <w:p>
      <w:pPr>
        <w:pStyle w:val="ListNumber"/>
      </w:pPr>
      <w:r>
        <w:t>Select a split subject to minimum sample constraints.</w:t>
      </w:r>
    </w:p>
    <w:p>
      <w:pPr>
        <w:pStyle w:val="ListNumber"/>
      </w:pPr>
      <w:r>
        <w:t>Repeat until stopping conditions are met.</w:t>
      </w:r>
    </w:p>
    <w:p>
      <w:pPr>
        <w:pStyle w:val="ListNumber"/>
      </w:pPr>
      <w:r>
        <w:t>Optionally prune or constrain depth.</w:t>
      </w:r>
    </w:p>
    <w:p>
      <w:pPr>
        <w:pStyle w:val="ListNumber"/>
      </w:pPr>
      <w:r>
        <w:t>Estimate class and probability outputs at each leaf. Tune parameters such as maximum depth, minimum samples per split/leaf, class weights, and split criterion within cross-validation.</w:t>
      </w:r>
    </w:p>
    <w:p>
      <w:pPr>
        <w:pStyle w:val="Heading3"/>
      </w:pPr>
      <w:r>
        <w:t>13.2 Random Forest Classifier</w:t>
      </w:r>
    </w:p>
    <w:p>
      <w:r>
        <w:t>A Random Forest is an ensemble of decision trees trained on bootstrap samples, with a randomly selected subset of features considered at each split. For classification, trees vote for a class; the forest’s class probability is commonly derived by aggregating per-tree class probabilities. Random Forests can reduce the variance of an individual tree and model nonlinear interactions, but they are less directly interpretable, can still overfit in some settings, and may be poorly calibrated.</w:t>
      </w:r>
    </w:p>
    <w:p>
      <w:r>
        <w:rPr>
          <w:i/>
        </w:rPr>
        <w:t>Generic training outline:</w:t>
      </w:r>
    </w:p>
    <w:p>
      <w:pPr>
        <w:pStyle w:val="ListNumber"/>
      </w:pPr>
      <w:r>
        <w:t>Draw bootstrap samples from the training fold.</w:t>
      </w:r>
    </w:p>
    <w:p>
      <w:pPr>
        <w:pStyle w:val="ListNumber"/>
      </w:pPr>
      <w:r>
        <w:t>Grow a constrained tree for each sample while considering a random feature subset per split.</w:t>
      </w:r>
    </w:p>
    <w:p>
      <w:pPr>
        <w:pStyle w:val="ListNumber"/>
      </w:pPr>
      <w:r>
        <w:t>Aggregate tree votes/probabilities.</w:t>
      </w:r>
    </w:p>
    <w:p>
      <w:pPr>
        <w:pStyle w:val="ListNumber"/>
      </w:pPr>
      <w:r>
        <w:t>Tune tree count, depth, feature sampling, leaf size, class weighting, and related parameters using training folds.</w:t>
      </w:r>
    </w:p>
    <w:p>
      <w:pPr>
        <w:pStyle w:val="ListNumber"/>
      </w:pPr>
      <w:r>
        <w:t>Evaluate the final selected configuration once on the held-out test set.</w:t>
      </w:r>
    </w:p>
    <w:p>
      <w:pPr>
        <w:pStyle w:val="Heading3"/>
      </w:pPr>
      <w:r>
        <w:t>13.3 Model Comparison</w:t>
      </w:r>
    </w:p>
    <w:p>
      <w:r>
        <w:t>Train both algorithms independently for each condition using consistent data partitions. Report results per condition rather than averaging unrelated tasks into one headline score. Select a model using the project’s predeclared objective, class costs, validation evidence, and probability quality if a score is displayed. Simplicity, explainability, and performance should be considered together.</w:t>
      </w:r>
    </w:p>
    <w:p>
      <w:pPr>
        <w:pStyle w:val="Heading2"/>
      </w:pPr>
      <w:r>
        <w:t>14. Implementation Methodology</w:t>
      </w:r>
    </w:p>
    <w:p>
      <w:pPr>
        <w:pStyle w:val="ListNumber"/>
      </w:pPr>
      <w:r>
        <w:rPr>
          <w:b/>
        </w:rPr>
        <w:t>Requirements and data review:</w:t>
      </w:r>
      <w:r>
        <w:t xml:space="preserve"> Finalize intended users, dataset source, feature schema, label meaning, constraints, and ethical use for each module.</w:t>
      </w:r>
    </w:p>
    <w:p>
      <w:pPr>
        <w:pStyle w:val="ListNumber"/>
      </w:pPr>
      <w:r>
        <w:rPr>
          <w:b/>
        </w:rPr>
        <w:t>Exploratory analysis:</w:t>
      </w:r>
      <w:r>
        <w:t xml:space="preserve"> Inspect distributions, class balance, missingness, possible leakage, and cohort differences; document decisions.</w:t>
      </w:r>
    </w:p>
    <w:p>
      <w:pPr>
        <w:pStyle w:val="ListNumber"/>
      </w:pPr>
      <w:r>
        <w:rPr>
          <w:b/>
        </w:rPr>
        <w:t>Pipeline design:</w:t>
      </w:r>
      <w:r>
        <w:t xml:space="preserve"> Define module-specific column validation and preprocessing using reproducible code.</w:t>
      </w:r>
    </w:p>
    <w:p>
      <w:pPr>
        <w:pStyle w:val="ListNumber"/>
      </w:pPr>
      <w:r>
        <w:rPr>
          <w:b/>
        </w:rPr>
        <w:t>Baseline models:</w:t>
      </w:r>
      <w:r>
        <w:t xml:space="preserve"> Train Decision Tree and Random Forest baselines for each module using a fixed random seed where applicable.</w:t>
      </w:r>
    </w:p>
    <w:p>
      <w:pPr>
        <w:pStyle w:val="ListNumber"/>
      </w:pPr>
      <w:r>
        <w:rPr>
          <w:b/>
        </w:rPr>
        <w:t>Model selection:</w:t>
      </w:r>
      <w:r>
        <w:t xml:space="preserve"> Use cross-validation and training-only hyperparameter search; preserve a final test set.</w:t>
      </w:r>
    </w:p>
    <w:p>
      <w:pPr>
        <w:pStyle w:val="ListNumber"/>
      </w:pPr>
      <w:r>
        <w:rPr>
          <w:b/>
        </w:rPr>
        <w:t>Evaluation:</w:t>
      </w:r>
      <w:r>
        <w:t xml:space="preserve"> Calculate metrics and class-wise confusion matrices; assess probability calibration if scores are shown.</w:t>
      </w:r>
    </w:p>
    <w:p>
      <w:pPr>
        <w:pStyle w:val="ListNumber"/>
      </w:pPr>
      <w:r>
        <w:rPr>
          <w:b/>
        </w:rPr>
        <w:t>Packaging:</w:t>
      </w:r>
      <w:r>
        <w:t xml:space="preserve"> Save each complete fitted pipeline with metadata including module, feature order, target mapping, preprocessing version, training date, and library versions.</w:t>
      </w:r>
    </w:p>
    <w:p>
      <w:pPr>
        <w:pStyle w:val="ListNumber"/>
      </w:pPr>
      <w:r>
        <w:rPr>
          <w:b/>
        </w:rPr>
        <w:t>Application integration:</w:t>
      </w:r>
      <w:r>
        <w:t xml:space="preserve"> Implement condition selection, dynamic forms, backend validation, inference routing, error handling, results, and optional history.</w:t>
      </w:r>
    </w:p>
    <w:p>
      <w:pPr>
        <w:pStyle w:val="ListNumber"/>
      </w:pPr>
      <w:r>
        <w:rPr>
          <w:b/>
        </w:rPr>
        <w:t>Release review:</w:t>
      </w:r>
      <w:r>
        <w:t xml:space="preserve"> Perform functional, data validation, security, usability, and safety checks; demonstrate known limitations and provenance.</w:t>
      </w:r>
    </w:p>
    <w:p>
      <w:pPr>
        <w:pStyle w:val="Heading2"/>
      </w:pPr>
      <w:r>
        <w:t>15. Detailed Workflow and Working Principle</w:t>
      </w:r>
    </w:p>
    <w:p>
      <w:pPr>
        <w:pStyle w:val="Heading3"/>
      </w:pPr>
      <w:r>
        <w:t>15.1 Offline Model Development</w:t>
      </w:r>
    </w:p>
    <w:p>
      <w:r>
        <w:t>Dataset → schema and provenance audit → target/feature definition → train/validation/test strategy → training-fold preprocessing → Decision Tree and Random Forest training → cross-validation and parameter selection → held-out evaluation → model comparison/calibration review → versioned module artifact.</w:t>
      </w:r>
    </w:p>
    <w:p>
      <w:pPr>
        <w:pStyle w:val="Heading3"/>
      </w:pPr>
      <w:r>
        <w:t>15.2 User Prediction Workflow</w:t>
      </w:r>
    </w:p>
    <w:p>
      <w:pPr>
        <w:pStyle w:val="ListNumber"/>
      </w:pPr>
      <w:r>
        <w:t>The user opens the application and selects one of the four health checks.</w:t>
      </w:r>
    </w:p>
    <w:p>
      <w:pPr>
        <w:pStyle w:val="ListNumber"/>
      </w:pPr>
      <w:r>
        <w:t>The frontend requests that module’s field schema and renders only those inputs, including units and required-field guidance.</w:t>
      </w:r>
    </w:p>
    <w:p>
      <w:pPr>
        <w:pStyle w:val="ListNumber"/>
      </w:pPr>
      <w:r>
        <w:t>The user enters values and submits; frontend checks improve usability but are not trusted as the only validation.</w:t>
      </w:r>
    </w:p>
    <w:p>
      <w:pPr>
        <w:pStyle w:val="ListNumber"/>
      </w:pPr>
      <w:r>
        <w:t>The backend verifies the module, field names, data types, missing values, and documented input constraints. Invalid requests receive a clear correction message.</w:t>
      </w:r>
    </w:p>
    <w:p>
      <w:pPr>
        <w:pStyle w:val="ListNumber"/>
      </w:pPr>
      <w:r>
        <w:t>The backend loads the matching saved pipeline and transforms values in the exact training-time feature order.</w:t>
      </w:r>
    </w:p>
    <w:p>
      <w:pPr>
        <w:pStyle w:val="ListNumber"/>
      </w:pPr>
      <w:r>
        <w:t>The selected model returns a class and, if supported, a probability for the explicitly mapped positive class.</w:t>
      </w:r>
    </w:p>
    <w:p>
      <w:pPr>
        <w:pStyle w:val="ListNumber"/>
      </w:pPr>
      <w:r>
        <w:t>The application displays the result as a model prediction / score with the model identity, limitations, and non-diagnostic notice.</w:t>
      </w:r>
    </w:p>
    <w:p>
      <w:pPr>
        <w:pStyle w:val="ListNumber"/>
      </w:pPr>
      <w:r>
        <w:t>If history is enabled and the user has been informed, the minimum necessary record is saved with access and retention controls.</w:t>
      </w:r>
    </w:p>
    <w:p>
      <w:pPr>
        <w:pStyle w:val="Heading2"/>
      </w:pPr>
      <w:r>
        <w:t>16. Training, Evaluation, and Result Reporting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90" w:type="dxa"/>
              <w:bottom w:w="80" w:type="dxa"/>
              <w:end w:w="90" w:type="dxa"/>
            </w:tcMar>
            <w:shd w:fill="D9EAF7"/>
          </w:tcPr>
          <w:p>
            <w:pPr>
              <w:spacing w:after="0"/>
            </w:pPr>
            <w:r>
              <w:rPr>
                <w:b/>
                <w:color w:val="17365D"/>
                <w:sz w:val="16"/>
              </w:rPr>
              <w:t>Metric</w:t>
            </w:r>
          </w:p>
        </w:tc>
        <w:tc>
          <w:tcPr>
            <w:tcW w:type="dxa" w:w="3312"/>
            <w:vAlign w:val="center"/>
            <w:tcMar>
              <w:top w:w="80" w:type="dxa"/>
              <w:start w:w="90" w:type="dxa"/>
              <w:bottom w:w="80" w:type="dxa"/>
              <w:end w:w="90" w:type="dxa"/>
            </w:tcMar>
            <w:shd w:fill="D9EAF7"/>
          </w:tcPr>
          <w:p>
            <w:pPr>
              <w:spacing w:after="0"/>
            </w:pPr>
            <w:r>
              <w:rPr>
                <w:b/>
                <w:color w:val="17365D"/>
                <w:sz w:val="16"/>
              </w:rPr>
              <w:t>What it describes</w:t>
            </w:r>
          </w:p>
        </w:tc>
        <w:tc>
          <w:tcPr>
            <w:tcW w:type="dxa" w:w="3312"/>
            <w:vAlign w:val="center"/>
            <w:tcMar>
              <w:top w:w="80" w:type="dxa"/>
              <w:start w:w="90" w:type="dxa"/>
              <w:bottom w:w="80" w:type="dxa"/>
              <w:end w:w="90" w:type="dxa"/>
            </w:tcMar>
            <w:shd w:fill="D9EAF7"/>
          </w:tcPr>
          <w:p>
            <w:pPr>
              <w:spacing w:after="0"/>
            </w:pPr>
            <w:r>
              <w:rPr>
                <w:b/>
                <w:color w:val="17365D"/>
                <w:sz w:val="16"/>
              </w:rPr>
              <w:t>Use and caution</w:t>
            </w:r>
          </w:p>
        </w:tc>
      </w:tr>
      <w:tr>
        <w:tc>
          <w:tcPr>
            <w:tcW w:type="dxa" w:w="3312"/>
            <w:vAlign w:val="center"/>
            <w:tcMar>
              <w:top w:w="80" w:type="dxa"/>
              <w:start w:w="90" w:type="dxa"/>
              <w:bottom w:w="80" w:type="dxa"/>
              <w:end w:w="90" w:type="dxa"/>
            </w:tcMar>
          </w:tcPr>
          <w:p>
            <w:pPr>
              <w:spacing w:after="0"/>
            </w:pPr>
            <w:r>
              <w:rPr>
                <w:b/>
                <w:sz w:val="16"/>
              </w:rPr>
              <w:t>Accuracy</w:t>
            </w:r>
          </w:p>
        </w:tc>
        <w:tc>
          <w:tcPr>
            <w:tcW w:type="dxa" w:w="3312"/>
            <w:vAlign w:val="center"/>
            <w:tcMar>
              <w:top w:w="80" w:type="dxa"/>
              <w:start w:w="90" w:type="dxa"/>
              <w:bottom w:w="80" w:type="dxa"/>
              <w:end w:w="90" w:type="dxa"/>
            </w:tcMar>
          </w:tcPr>
          <w:p>
            <w:pPr>
              <w:spacing w:after="0"/>
            </w:pPr>
            <w:r>
              <w:rPr>
                <w:sz w:val="16"/>
              </w:rPr>
              <w:t>Fraction of all predictions that are correct.</w:t>
            </w:r>
          </w:p>
        </w:tc>
        <w:tc>
          <w:tcPr>
            <w:tcW w:type="dxa" w:w="3312"/>
            <w:vAlign w:val="center"/>
            <w:tcMar>
              <w:top w:w="80" w:type="dxa"/>
              <w:start w:w="90" w:type="dxa"/>
              <w:bottom w:w="80" w:type="dxa"/>
              <w:end w:w="90" w:type="dxa"/>
            </w:tcMar>
          </w:tcPr>
          <w:p>
            <w:pPr>
              <w:spacing w:after="0"/>
            </w:pPr>
          </w:p>
        </w:tc>
      </w:tr>
    </w:tbl>
    <w:p>
      <w:pPr>
        <w:spacing w:after="20"/>
      </w:pPr>
    </w:p>
    <w:p>
      <w:r>
        <w:t>| Can look high when one class dominates; never use alone.</w:t>
      </w: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Precision</w:t>
            </w:r>
          </w:p>
        </w:tc>
        <w:tc>
          <w:tcPr>
            <w:tcW w:type="dxa" w:w="4968"/>
            <w:vAlign w:val="center"/>
            <w:tcMar>
              <w:top w:w="80" w:type="dxa"/>
              <w:start w:w="90" w:type="dxa"/>
              <w:bottom w:w="80" w:type="dxa"/>
              <w:end w:w="90" w:type="dxa"/>
            </w:tcMar>
            <w:shd w:fill="D9EAF7"/>
          </w:tcPr>
          <w:p>
            <w:pPr>
              <w:spacing w:after="0"/>
            </w:pPr>
            <w:r>
              <w:rPr>
                <w:b/>
                <w:color w:val="17365D"/>
                <w:sz w:val="16"/>
              </w:rPr>
              <w:t>Among predicted positive records, the fraction that are positive.</w:t>
            </w:r>
          </w:p>
        </w:tc>
      </w:tr>
    </w:tbl>
    <w:p>
      <w:pPr>
        <w:spacing w:after="20"/>
      </w:pPr>
    </w:p>
    <w:p>
      <w:r>
        <w:t>| Useful when false positive labels matter; depends on selected threshold.</w:t>
      </w: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Recall / Sensitivity</w:t>
            </w:r>
          </w:p>
        </w:tc>
        <w:tc>
          <w:tcPr>
            <w:tcW w:type="dxa" w:w="4968"/>
            <w:vAlign w:val="center"/>
            <w:tcMar>
              <w:top w:w="80" w:type="dxa"/>
              <w:start w:w="90" w:type="dxa"/>
              <w:bottom w:w="80" w:type="dxa"/>
              <w:end w:w="90" w:type="dxa"/>
            </w:tcMar>
            <w:shd w:fill="D9EAF7"/>
          </w:tcPr>
          <w:p>
            <w:pPr>
              <w:spacing w:after="0"/>
            </w:pPr>
            <w:r>
              <w:rPr>
                <w:b/>
                <w:color w:val="17365D"/>
                <w:sz w:val="16"/>
              </w:rPr>
              <w:t>Among actual positive records, the fraction identified.</w:t>
            </w:r>
          </w:p>
        </w:tc>
      </w:tr>
    </w:tbl>
    <w:p>
      <w:pPr>
        <w:spacing w:after="20"/>
      </w:pPr>
    </w:p>
    <w:p>
      <w:r>
        <w:t>| Useful when missed positives matter; depends on threshold.</w:t>
      </w: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Specificity</w:t>
            </w:r>
          </w:p>
        </w:tc>
        <w:tc>
          <w:tcPr>
            <w:tcW w:type="dxa" w:w="4968"/>
            <w:vAlign w:val="center"/>
            <w:tcMar>
              <w:top w:w="80" w:type="dxa"/>
              <w:start w:w="90" w:type="dxa"/>
              <w:bottom w:w="80" w:type="dxa"/>
              <w:end w:w="90" w:type="dxa"/>
            </w:tcMar>
            <w:shd w:fill="D9EAF7"/>
          </w:tcPr>
          <w:p>
            <w:pPr>
              <w:spacing w:after="0"/>
            </w:pPr>
            <w:r>
              <w:rPr>
                <w:b/>
                <w:color w:val="17365D"/>
                <w:sz w:val="16"/>
              </w:rPr>
              <w:t>Among actual negative records, the fraction identified as negative.</w:t>
            </w:r>
          </w:p>
        </w:tc>
      </w:tr>
    </w:tbl>
    <w:p>
      <w:pPr>
        <w:spacing w:after="20"/>
      </w:pPr>
    </w:p>
    <w:p>
      <w:r>
        <w:t>| Complements recall for binary tasks.</w:t>
      </w: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F1-score</w:t>
            </w:r>
          </w:p>
        </w:tc>
        <w:tc>
          <w:tcPr>
            <w:tcW w:type="dxa" w:w="4968"/>
            <w:vAlign w:val="center"/>
            <w:tcMar>
              <w:top w:w="80" w:type="dxa"/>
              <w:start w:w="90" w:type="dxa"/>
              <w:bottom w:w="80" w:type="dxa"/>
              <w:end w:w="90" w:type="dxa"/>
            </w:tcMar>
            <w:shd w:fill="D9EAF7"/>
          </w:tcPr>
          <w:p>
            <w:pPr>
              <w:spacing w:after="0"/>
            </w:pPr>
            <w:r>
              <w:rPr>
                <w:b/>
                <w:color w:val="17365D"/>
                <w:sz w:val="16"/>
              </w:rPr>
              <w:t>Harmonic mean of precision and recall.</w:t>
            </w:r>
          </w:p>
        </w:tc>
      </w:tr>
    </w:tbl>
    <w:p>
      <w:pPr>
        <w:spacing w:after="20"/>
      </w:pPr>
    </w:p>
    <w:p>
      <w:r>
        <w:t>| Summarizes a chosen precision/recall balance; class-specific and threshold-dependent.</w:t>
      </w: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ROC-AUC</w:t>
            </w:r>
          </w:p>
        </w:tc>
        <w:tc>
          <w:tcPr>
            <w:tcW w:type="dxa" w:w="4968"/>
            <w:vAlign w:val="center"/>
            <w:tcMar>
              <w:top w:w="80" w:type="dxa"/>
              <w:start w:w="90" w:type="dxa"/>
              <w:bottom w:w="80" w:type="dxa"/>
              <w:end w:w="90" w:type="dxa"/>
            </w:tcMar>
            <w:shd w:fill="D9EAF7"/>
          </w:tcPr>
          <w:p>
            <w:pPr>
              <w:spacing w:after="0"/>
            </w:pPr>
            <w:r>
              <w:rPr>
                <w:b/>
                <w:color w:val="17365D"/>
                <w:sz w:val="16"/>
              </w:rPr>
              <w:t>Ranking discrimination across thresholds.</w:t>
            </w:r>
          </w:p>
        </w:tc>
      </w:tr>
    </w:tbl>
    <w:p>
      <w:pPr>
        <w:spacing w:after="20"/>
      </w:pPr>
    </w:p>
    <w:p>
      <w:r>
        <w:t>| Can be misleading with strong imbalance; add PR-AUC where appropriate.</w:t>
      </w: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PR-AUC</w:t>
            </w:r>
          </w:p>
        </w:tc>
        <w:tc>
          <w:tcPr>
            <w:tcW w:type="dxa" w:w="4968"/>
            <w:vAlign w:val="center"/>
            <w:tcMar>
              <w:top w:w="80" w:type="dxa"/>
              <w:start w:w="90" w:type="dxa"/>
              <w:bottom w:w="80" w:type="dxa"/>
              <w:end w:w="90" w:type="dxa"/>
            </w:tcMar>
            <w:shd w:fill="D9EAF7"/>
          </w:tcPr>
          <w:p>
            <w:pPr>
              <w:spacing w:after="0"/>
            </w:pPr>
            <w:r>
              <w:rPr>
                <w:b/>
                <w:color w:val="17365D"/>
                <w:sz w:val="16"/>
              </w:rPr>
              <w:t>Precision-recall trade-off across thresholds.</w:t>
            </w:r>
          </w:p>
        </w:tc>
      </w:tr>
    </w:tbl>
    <w:p>
      <w:pPr>
        <w:spacing w:after="20"/>
      </w:pPr>
    </w:p>
    <w:p>
      <w:r>
        <w:t>| Often informative for rare positive classes; prevalence affects interpretation.</w:t>
      </w: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Confusion matrix</w:t>
            </w:r>
          </w:p>
        </w:tc>
        <w:tc>
          <w:tcPr>
            <w:tcW w:type="dxa" w:w="4968"/>
            <w:vAlign w:val="center"/>
            <w:tcMar>
              <w:top w:w="80" w:type="dxa"/>
              <w:start w:w="90" w:type="dxa"/>
              <w:bottom w:w="80" w:type="dxa"/>
              <w:end w:w="90" w:type="dxa"/>
            </w:tcMar>
            <w:shd w:fill="D9EAF7"/>
          </w:tcPr>
          <w:p>
            <w:pPr>
              <w:spacing w:after="0"/>
            </w:pPr>
            <w:r>
              <w:rPr>
                <w:b/>
                <w:color w:val="17365D"/>
                <w:sz w:val="16"/>
              </w:rPr>
              <w:t>Counts of true/false positives and negatives.</w:t>
            </w:r>
          </w:p>
        </w:tc>
      </w:tr>
    </w:tbl>
    <w:p>
      <w:pPr>
        <w:spacing w:after="20"/>
      </w:pPr>
    </w:p>
    <w:p>
      <w:r>
        <w:t>| Report with label order and evaluation sample size.</w:t>
      </w:r>
    </w:p>
    <w:p>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90" w:type="dxa"/>
              <w:bottom w:w="80" w:type="dxa"/>
              <w:end w:w="90" w:type="dxa"/>
            </w:tcMar>
            <w:shd w:fill="D9EAF7"/>
          </w:tcPr>
          <w:p>
            <w:pPr>
              <w:spacing w:after="0"/>
            </w:pPr>
            <w:r>
              <w:rPr>
                <w:b/>
                <w:color w:val="17365D"/>
                <w:sz w:val="16"/>
              </w:rPr>
              <w:t>Calibration / Brier score</w:t>
            </w:r>
          </w:p>
        </w:tc>
        <w:tc>
          <w:tcPr>
            <w:tcW w:type="dxa" w:w="4968"/>
            <w:vAlign w:val="center"/>
            <w:tcMar>
              <w:top w:w="80" w:type="dxa"/>
              <w:start w:w="90" w:type="dxa"/>
              <w:bottom w:w="80" w:type="dxa"/>
              <w:end w:w="90" w:type="dxa"/>
            </w:tcMar>
            <w:shd w:fill="D9EAF7"/>
          </w:tcPr>
          <w:p>
            <w:pPr>
              <w:spacing w:after="0"/>
            </w:pPr>
            <w:r>
              <w:rPr>
                <w:b/>
                <w:color w:val="17365D"/>
                <w:sz w:val="16"/>
              </w:rPr>
              <w:t>Agreement between predicted probabilities and observed outcomes.</w:t>
            </w:r>
          </w:p>
        </w:tc>
      </w:tr>
    </w:tbl>
    <w:p>
      <w:pPr>
        <w:spacing w:after="20"/>
      </w:pPr>
    </w:p>
    <w:p>
      <w:r>
        <w:t>| Needed when presenting probabilities as scores; calibration does not make it clinical risk.</w:t>
      </w:r>
    </w:p>
    <w:p>
      <w:r>
        <w:t>|</w:t>
      </w:r>
    </w:p>
    <w:p>
      <w:r>
        <w:t>Report the split method, sample counts, class counts, cross-validation design, hyperparameter search, confidence intervals or variability where feasible, chosen threshold and rationale, and test-set metrics for each condition/model. Record placeholders until experiments are actually run: [Dataset], [positive class], [train/validation/test counts], [Decision Tree metrics], [Random Forest metrics], [selected model and rationale], [probability calibration result]. Do not insert illustrative figures as if measured results.</w:t>
      </w:r>
    </w:p>
    <w:p>
      <w:pPr>
        <w:pStyle w:val="Heading2"/>
      </w:pPr>
      <w:r>
        <w:t>17. Risk Percentage Calculation and Explanation</w:t>
      </w:r>
    </w:p>
    <w:p>
      <w:r>
        <w:t xml:space="preserve">For a binary classifier that provides </w:t>
      </w:r>
      <w:r>
        <w:rPr>
          <w:rFonts w:ascii="Consolas" w:hAnsi="Consolas"/>
          <w:sz w:val="18"/>
        </w:rPr>
        <w:t>predict_proba</w:t>
      </w:r>
      <w:r>
        <w:t>, the displayed score may be calculated as:</w:t>
      </w:r>
    </w:p>
    <w:p>
      <w:pPr>
        <w:jc w:val="center"/>
      </w:pPr>
      <w:r>
        <w:rPr>
          <w:rFonts w:ascii="Cambria Math" w:hAnsi="Cambria Math"/>
          <w:i/>
          <w:sz w:val="22"/>
        </w:rPr>
        <w:t>\text{score\_percent} = 100 \times P(\text{model class} = \text{defined positive class} \mid \text{supplied features}) In scikit-learn, the class index must be found from the fitted estimator’s `classes_` mapping; code must not assume that index 1 always means positive. For a multiclass target, show class probabilities or the probability for a clearly defined category rather than summing categories arbitrarily. The interface should call this a “model score” or “model-estimated probability for the dataset-defined positive class”. A score of X% is not a patient’s confirmed medical probability, a diagnosis, or a guaranteed outcome. Classifier probabilities can be miscalibrated, shift across populations, depend on the dataset’s prevalence and label definitions, and change with thresholds. If calibration is not assessed on appropriate held-out data, prominently describe the number as an uncalibrated model score. Do not define low/moderate/high bands unless a documented, approved method is established and presented as a project display convention rather than a clinical standard. --- ## 18. Web Application Design ### 18.1 Pages * **Home / selection page:** Project purpose, four condition cards, intended-use notice. * **Condition form page:** Only the selected module’s own dataset-required inputs; labels, units, validation and reset action. * **Result page:** Predicted class, model score when available, algorithm/model version, concise explanation and safety notice. * **About / methodology page:** Dataset provenance, field definitions, model evaluation summary, limitations, contact or project details. * **Optional history page:** User-controlled prior entries, export/delete options, and privacy information. ### 18.2 Form and API Contract A request should identify exactly one module and provide named values in that module’s schema. The server rejects unknown fields, missing required fields, invalid types, and unsupported module IDs. Field constraints should come from data documentation and input validation needs; the project must not invent medical cutoffs. Keep inference logic on the backend so serialized model files and implementation details are not exposed to the browser. ### 18.3 Result Language Use neutral wording such as “The selected model assigned this record to the dataset-defined positive class” and “Model score: [value]% (not a diagnosis)”. Avoid language such as “You have [disease]” or medical instructions. A suggestion to consult a qualified professional may be included as general safety guidance without claiming an emergency assessment. --- ## 19. Database and Prediction History History is optional for a prototype. If implemented, a relational design may include a user table only if accounts are necessary, a prediction record with module ID, timestamp, model version, output class and score, and a protected payload containing submitted features only when there is a clear purpose. Avoid storing direct identifiers or raw health data by default. Define consent, access control, retention and deletion, encryption in transit and at rest where supported, backups, audit events, and a process for removing records. Do not place health inputs in URLs, analytics logs, or application error traces. --- ## 20. Expected Outputs * A home screen with four selectable condition modules. * A distinct, condition-specific form for each module; no forced common feature set. * A validated prediction result containing predicted class/category and model-based score only when supported. * A per-module comparison report for Decision Tree and Random Forest with clearly described test methodology and metrics. * A dataset register/data dictionary, preprocessing specification, reproducible training notebooks or scripts, saved pipelines, and application source. * An optional privacy-conscious prediction history, if implemented. --- ## 21. Testing and Evaluation Plan | Test area | Example checks | Evidence to record | | --- | --- | --- | | **Module routing** | Each selection loads correct fields, pipeline, and target mapping. | Module-by-module functional test results. | | **Input validation** | Missing, malformed, unknown, boundary, and categorical values handled safely. | Test cases, expected and actual behavior. | | **Inference consistency** | Same saved pipeline and input produce reproducible output within expected numerical behavior. | Artifact version, input fixture, output. | | **ML evaluation** | No leakage; held-out test; class-wise metrics; baselines and selected model documented. | Split manifest, experiment record, metrics. | | **UI usability** | Labels/units clear, errors actionable, result language understandable, responsive design. | Review notes or usability feedback. | | **Privacy/security** | No secrets in repository; access restrictions; sensitive values excluded from logs; deletion if history exists. | Configuration review and test evidence. | | **Robustness** | Missing model artifact, invalid module, or internal error returns safe message without stack trace. | Negative-path test records. | Testing should verify software behavior and model evaluation integrity. It does not establish clinical validity, safety, or effectiveness. Do not publish a performance figure until its test procedure and result are reproducible and reviewed. --- ## 22. Safety, Ethical Considerations, and Limitations * The prototype is for academic demonstration and research exploration only, not diagnosis, treatment, or emergency triage. * Dataset labels may be noisy, outdated, proxy-defined, or not equivalent to a clinician’s diagnosis. * A model may perform differently across age groups, sex/gender groups, regions, socioeconomic groups, or care settings. Assess subgroup performance where data and sample sizes permit; avoid unsupported fairness claims. * A probability score is dependent on the training data and calibration; it may be overconfident or invalid under distribution shift. * Small datasets, class imbalance, selection bias, measurement errors, missingness, and data leakage can distort evaluation. * Sensitive health information requires informed use, data minimization, access control, secure storage, retention limits, and compliance with applicable institutional and local requirements. * Do not recommend medication, treatment, or clinical thresholds from this classifier. Do not imply that a low score rules out disease. * If used beyond an academic prototype, require qualified clinical review, representative external validation, privacy/security review, and applicable regulatory assessment before deployment. --- ## 23. Future Enhancements * Replace demonstration datasets with well-documented, appropriately licensed and representative datasets. * Add external validation and prospective assessment with appropriate clinical and institutional oversight. * Evaluate subgroup performance, uncertainty, drift, and calibration over time. * Add explainability tools such as feature importance or local explanations with clear caveats about their limits. * Improve accessibility, multilingual labels, responsive layout, and user testing. * Add secure authentication and privacy-preserving history only where there is a justified use case. * Version data, code, preprocessing, models, and evaluation reports for reproducible retraining. * Consider additional models only after a clear methodological justification and fair comparison. --- ## 24. Suggested Data Fields and Data Dictionary Template ### Data Dictionary | Field name | Display label | Module | Data type / allowed values | Unit / coding | Required / optional | Missing value strategy | Provenance / rationale | Sensitive / derived status | Validation rule | | --- | --- | --- | --- | --- | --- | --- | --- | --- | --- | | `Gender` | Gender | BP, Anemia, Obesity | Categorical / Binary | 0 = Male, 1 = Female (or dataset mapping) | Required | Drop row / Impute mode | Demographics | Standard demographic | Permitted categories only | | `Age` | Age | BP, Diabetes, Obesity | Numeric | Years | Required | Mean/Median Imputation | Demographics | Standard demographic | Range: 1 to 120 | | `Patient_Systolic` | Systolic Blood Pressure | BP | Numeric | mmHg | Required | Median Imputation | Clinical measurement | Health-sensitive | Range: 50 to 250 | | `Patient_Diastolic` | Diastolic Blood Pressure | BP | Numeric | mmHg | Required | Median Imputation | Clinical measurement | Health-sensitive | Range: 30 to 150 | | `Glucose` | Plasma Glucose Level | Diabetes | Numeric | mg/dL | Required | Median Imputation | Lab measurement | Health-sensitive | Range: 0 to 300 | | `BloodPressure` | Diastolic Blood Pressure | Diabetes | Numeric | mmHg | Required | Median Imputation | Clinical measurement | Health-sensitive | Range: 0 to 150 | | `SkinThickness` | Triceps Skin Fold Thickness | Diabetes | Numeric | mm | Optional | Median Imputation | Anthropometric | Health-sensitive | Range: 0 to 100 | | `Insulin` | 2-Hour Serum Insulin | Diabetes | Numeric | mu U/ml | Optional | Median Imputation | Lab measurement | Health-sensitive | Range: 0 to 900 | | `BMI` | Body Mass Index | Diabetes, Obesity | Numeric | kg/m² | Required | Median Imputation | Anthropometric | Health-sensitive | Range: 10.0 to 70.0 | | `DiabetesPedigreeFunction` | Diabetes Pedigree Function | Diabetes | Numeric | Score | Required | Mean Imputation | Genetic history | Health-sensitive | Range: 0.0 to 3.0 | | `Hemoglobin` | Hemoglobin Level | Anemia | Numeric | g/dL | Required | Median Imputation | Blood test | Health-sensitive | Range: 3.0 to 25.0 | | `MCHC` | Mean Corpuscular Hemoglobin Conc. | Anemia | Numeric | g/dL | Required | Median Imputation | Blood test | Health-sensitive | Range: 10.0 to 50.0 | | `MCV` | Mean Corpuscular Volume | Anemia | Numeric | fL | Required | Median Imputation | Blood test | Health-sensitive | Range: 50.0 to 150.0 | | `MCH` | Mean Corpuscular Hemoglobin | Anemia | Numeric | pg | Required | Median Imputation | Blood test | Health-sensitive | Range: 10.0 to 50.0 | | `Height` | Height | Obesity | Numeric | Meters / cm | Required | Mean Imputation | Physical measurement | Standard physical | Range: 0.5 to 2.5 m | | `Weight` | Weight | Obesity | Numeric | kg | Required | Mean Imputation | Physical measurement | Standard physical | Range: 10 to 300 kg | --- ## 25. Suggested Report Tables and Experiment Record For the final academic review, include a separate results table for each module. Suggested columns are model, preprocessing version, validation strategy, selected parameters, test sample count, accuracy, precision, recall/sensitivity, specificity, F1, ROC-AUC and/or PR-AUC, calibration evidence, and notes. Fill these only after executing the experiments. Include a confusion matrix and explain positive-class mapping. Keep the dataset citation and license near each table. --- ## 26. Conclusion The proposed system combines four health-related screening demonstrations in one web application while keeping their datasets, input schemas, preprocessing, labels, and trained models separate. Decision Tree and Random Forest classifiers provide a clear, teachable comparison for each task, and a model-based score can be shown only with explicit class mapping and an explanation of its limits. The project’s credibility depends on transparent data provenance, leakage-aware evaluation, meaningful metrics, privacy safeguards, and careful user-facing language. Final dataset choices and all reported performance values remain to be established through the project’s actual experiments. --- ## Appendix A. Per-Module Experiment Checklist * Dataset source/version/license recorded: [Complete / pending]. * Target and positive class documented: [Complete / pending]. * Feature list and field units reviewed: [Complete / pending]. * Leakage review and split strategy recorded: [Complete / pending]. * Decision Tree pipeline and tuning recorded: [Complete / pending]. * Random Forest pipeline and tuning recorded: [Complete / pending]. * Held-out test metrics and confusion matrix recorded: [Complete / pending]. * Probability calibration and score wording reviewed: [Complete / pending]. * Model artifact metadata and UI schema version aligned: [Complete / pending].</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AI-Based Early Prediction of Health Diseases | Project Documentation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