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technical requirements for the website are categorized into structure, styling, multimedia, and deployment. To meet the standards for the Web Authoring project, the following elements must be implemented: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HTML Standards and Structure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website must be built using current HTML standards with a clear, multi-page architecture.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Document Structure: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Every page must include the mandatory structural tags: &lt;!DOCTYPE html&gt;, &lt;html&gt;, &lt;head&gt;, and &lt;body&gt;.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Semantic Elements: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 appropriate tags for content organization, including headings, lists, and links.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Navigation: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logical navigation solution must be present, allowing users to move easily between the home page and all sub-pages as defined in the site map.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CSS Styling and Layout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Styling must be handled through CSS to ensure a consistent user interface across the site.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Selectors: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 of both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selectors to apply styles.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Typography and Visuals: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Implementation of specific font properties (size, family, color), background properties, and borders.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Positioning: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Elements must be positioned using techniques such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absolute, relative, static, fixed,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The Box Model: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Precise control of layout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padding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margins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3. Multimedia and Content Integration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Beyond standard text, the site must include integrated media elements.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Media Types: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You must incorporate at least one form of multimedia: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video, audio, animation,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embedded content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(e.g., an iframe or external widget).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Image Optimization: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Images must be relevant, properly sized, and include alt text for accessibility.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4. Deployment and Functionality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project requires the site to be fully operational in a live environment.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FTP Upload: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entire site must be uploaded to a web or local server using File Transfer Protocol (FTP).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Functional Testing: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All internal and external links, navigation menus, and media players must be tested to ensure they work correctly after deployment.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5. Maintenance Requirements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technical documentation must demonstrate that the site is built for longevity by outlining how to: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Update existing text.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and link new webpages.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Insert and resize new images.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Re-upload updated files to the server to replace old versions.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