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characteristics, clinical results and severe outcomes of 17 202 adults diagnosed with health careassociated
Clostridium difficile infection from 2009 to 2015*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475"/>
        <w:gridCol w:w="1440"/>
      </w:tblGrid>
      <w:tr>
        <w:trPr>
          <w:trHeight w:val="397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2009-2015</w:t>
            </w:r>
          </w:p>
        </w:tc>
      </w:tr>
      <w:tr>
        <w:trPr>
          <w:trHeight w:val="39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Year-round surveillance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No. of patients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17,202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Sex, female, no.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7,294 (42.4)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Age, yr, mean ± SD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69.2±16.8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group, yr, no.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18-64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6,192 (36.0)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&gt;65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10,964 (63.7)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Time to C. difficile test from the date of admission, days, median (IQR)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 (6-26)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March and April targeted surveillance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2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No. of cases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3,684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Clinical results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Temperature, °C, mean ± SD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37.1±0.8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 Leukocyte count, x109/L, median (IQR)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12.8±20.1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2018-09-01T10:55:00Z</dcterms:modified>
  <cp:category/>
</cp:coreProperties>
</file>