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Patient characteristics, clinical results and severe outcomes of 17 202 adults diagnosed with health careassociated
Clostridium difficile infection from 2009 to 2015*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6475"/>
        <w:gridCol w:w="1440"/>
      </w:tblGrid>
      <w:tr>
        <w:trPr>
          <w:trHeight w:val="397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2009-2015</w:t>
            </w:r>
          </w:p>
        </w:tc>
      </w:tr>
      <w:tr>
        <w:trPr>
          <w:trHeight w:val="39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Year-round surveillance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43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No. of patients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17,202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Sex, female, no. (%)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8,511 (49.5)</w:t>
            </w: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Age, yr, mean ± SD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69.2±16.8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Age group, yr, no. (%)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  18-64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5,878 (34.2)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  &gt;65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11,311 (65.8)</w:t>
            </w:r>
          </w:p>
        </w:tc>
      </w:tr>
      <w:tr>
        <w:trPr>
          <w:trHeight w:val="438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Time to C. difficile test from the date of admission, days, median (IQR)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 (6-26)</w:t>
            </w:r>
          </w:p>
        </w:tc>
      </w:tr>
      <w:tr>
        <w:trPr>
          <w:trHeight w:val="436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March and April targeted surveillance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423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No. of cases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3,684</w:t>
            </w:r>
          </w:p>
        </w:tc>
      </w:tr>
      <w:tr>
        <w:trPr>
          <w:trHeight w:val="399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Clinical results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436"/>
        </w:trPr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Temperature, °C, mean ± SD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37.1±0.8</w:t>
            </w:r>
          </w:p>
        </w:tc>
      </w:tr>
      <w:tr>
        <w:trPr>
          <w:trHeight w:val="438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     Leukocyte count, x109/L, median (IQR)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12.8±20.1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2018-09-01T11:42:30Z</dcterms:modified>
  <cp:category/>
</cp:coreProperties>
</file>