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characteristics, clinical results and severe outcomes of 17 202 adults diagnosed with health careassociated
Clostridium difficile infection from 2009 to 2015*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475"/>
        <w:gridCol w:w="1563"/>
      </w:tblGrid>
      <w:tr>
        <w:trPr>
          <w:trHeight w:val="397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2009-2015</w:t>
            </w:r>
          </w:p>
        </w:tc>
      </w:tr>
      <w:tr>
        <w:trPr>
          <w:trHeight w:val="39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Year-round surveillance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No. of patients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17,202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Sex, female, no.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8,511 (49.5)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Age, yr, mean ± SD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69.2±16.8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group, yr, no.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18-64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5,878 (34.2)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&gt;65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11,311 (65.8)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Time to C. difficile test from the date of admission, days, median (IQR)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 (6-26)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March and April targeted surveillance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2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No. of cases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3,684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Clinical results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Temperature, °C, mean ± SD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37.1±0.8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 Leukocyte count, x109/L, median (IQR)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10.3 (6.0-16.0)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2018-09-04T11:58:59Z</dcterms:modified>
  <cp:category/>
</cp:coreProperties>
</file>