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characteristics, clinical results and severe outcomes of 17 202 adults diagnosed with health careassociated
Clostridium difficile infection from 2009 to 2015*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475"/>
        <w:gridCol w:w="1329"/>
      </w:tblGrid>
      <w:tr>
        <w:trPr>
          <w:trHeight w:val="397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2009-2015</w:t>
            </w:r>
          </w:p>
        </w:tc>
      </w:tr>
      <w:tr>
        <w:trPr>
          <w:trHeight w:val="39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Year-round surveillance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No. of patients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17,202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Sex, female, no.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7,294 (42.4)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Age, yr, mean ± SD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69.2±16.8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Time to C. difficile test from the date of admission, days, median (IQR)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 (6-26)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March and April targeted surveillance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23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No. of cases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3,684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Clinical results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Temperature, °C, mean ± SD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37.1±0.8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 Leukocyte count, x109/L, median (IQR)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12.8±20.1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2018-08-29T12:03:19Z</dcterms:modified>
  <cp:category/>
</cp:coreProperties>
</file>