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characteristics, clinical results and severe outcomes of 17 202 adults diagnosed with health careassociated
Clostridium difficile infection from 2009 to 2015*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475"/>
        <w:gridCol w:w="1440"/>
      </w:tblGrid>
      <w:tr>
        <w:trPr>
          <w:trHeight w:val="397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2009-2015</w:t>
            </w:r>
          </w:p>
        </w:tc>
      </w:tr>
      <w:tr>
        <w:trPr>
          <w:trHeight w:val="39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Year-round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patients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17,202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Sex, female,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8,511 (49.5)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Age, yr,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69.2±16.8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group, yr,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18-64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6,192 (36.0)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&gt;65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10,964 (63.7)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Time to C. difficile test from the date of admission, days, median (IQR)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(6-26)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March and April targeted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2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cases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3,684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Clinical results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Temperature, °C,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37.1±0.8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 Leukocyte count, x109/L, median (IQR)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12.8±20.1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2018-09-01T11:04:29Z</dcterms:modified>
  <cp:category/>
</cp:coreProperties>
</file>