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rPr>
          <w:b/>
          <w:bCs/>
          <w:color w:val="C08A1E"/>
          <w:sz w:val="20"/>
          <w:szCs w:val="20"/>
        </w:rPr>
        <w:t xml:space="preserve">RCMRD ARTS &amp; MAPS COMPETITION 2026 — PROFESSIONAL CATEGORY</w:t>
      </w:r>
    </w:p>
    <w:p>
      <w:pPr>
        <w:spacing w:after="100"/>
      </w:pPr>
      <w:r>
        <w:rPr>
          <w:b/>
          <w:bCs/>
          <w:color w:val="1B4332"/>
          <w:sz w:val="44"/>
          <w:szCs w:val="44"/>
        </w:rPr>
        <w:t xml:space="preserve">The Local Carbon Return Index</w:t>
      </w:r>
    </w:p>
    <w:p>
      <w:pPr>
        <w:spacing w:after="300"/>
      </w:pPr>
      <w:r>
        <w:rPr>
          <w:i/>
          <w:iCs/>
          <w:color w:val="444444"/>
          <w:sz w:val="24"/>
          <w:szCs w:val="24"/>
        </w:rPr>
        <w:t xml:space="preserve">A Reforestation Investment Simulator &amp; Community Planting Ledger for Rwanda's Forest Landscape</w:t>
      </w:r>
    </w:p>
    <w:p>
      <w:pPr>
        <w:spacing w:after="120" w:line="276"/>
      </w:pPr>
      <w:r>
        <w:rPr>
          <w:color w:val="444444"/>
          <w:sz w:val="21"/>
          <w:szCs w:val="21"/>
        </w:rPr>
        <w:t xml:space="preserve">Format: Data Dashboard  |  Sub-Category: Forestry  |  Theme: "Acting Locally for Global Impact"</w:t>
      </w:r>
    </w:p>
    <w:p>
      <w:pPr>
        <w:spacing w:after="120" w:line="276"/>
      </w:pPr>
      <w:r>
        <w:rPr>
          <w:color w:val="444444"/>
          <w:sz w:val="21"/>
          <w:szCs w:val="21"/>
        </w:rPr>
        <w:t xml:space="preserve">Approved Data Sources Used: ESRI Living Atlas (biomass carbon layer) + Africa Knowledge Platform (protected-area boundaries) — see Section 5 for full compliance mapping.</w:t>
      </w:r>
    </w:p>
    <w:p>
      <w:pPr>
        <w:spacing w:after="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CF3DC" w:val="clear"/>
            <w:tcMar>
              <w:top w:type="dxa" w:w="120"/>
              <w:left w:type="dxa" w:w="160"/>
              <w:bottom w:type="dxa" w:w="120"/>
              <w:right w:type="dxa" w:w="160"/>
            </w:tcMar>
          </w:tcPr>
          <w:p>
            <w:r>
              <w:rPr>
                <w:b/>
                <w:bCs/>
                <w:color w:val="8A5A00"/>
                <w:sz w:val="20"/>
                <w:szCs w:val="20"/>
              </w:rPr>
              <w:t xml:space="preserve">Revision note</w:t>
            </w:r>
          </w:p>
          <w:p>
            <w:pPr>
              <w:spacing w:before="40"/>
            </w:pPr>
            <w:r>
              <w:rPr>
                <w:sz w:val="20"/>
                <w:szCs w:val="20"/>
              </w:rPr>
              <w:t xml:space="preserve">This version replaces site-selection as the originality argument with a mechanism-level one: the dashboard is rebuilt around a named prioritization index (the Local Carbon Return Index) and a forward-looking investment simulator, rather than a monitoring view of fixed sites. It also adds a Umuganda community-planting submission mode with no precedent in prior winning entries, closes the data-source compliance gap, and adds a submission-reliability plan and compliance checklist.</w:t>
            </w:r>
          </w:p>
        </w:tc>
      </w:tr>
    </w:tbl>
    <w:p>
      <w:r>
        <w:br w:type="page"/>
      </w:r>
    </w:p>
    <w:p>
      <w:pPr>
        <w:pStyle w:val="Heading1"/>
        <w:pBdr>
          <w:bottom w:val="single" w:color="1B4332" w:sz="8" w:space="4"/>
        </w:pBdr>
        <w:spacing w:after="160" w:before="320"/>
      </w:pPr>
      <w:r>
        <w:rPr>
          <w:b/>
          <w:bCs/>
          <w:color w:val="1B4332"/>
          <w:sz w:val="28"/>
          <w:szCs w:val="28"/>
        </w:rPr>
        <w:t xml:space="preserve">1. Executive Summary</w:t>
      </w:r>
    </w:p>
    <w:p>
      <w:pPr>
        <w:spacing w:after="120" w:line="276"/>
      </w:pPr>
      <w:r>
        <w:rPr>
          <w:sz w:val="21"/>
          <w:szCs w:val="21"/>
        </w:rPr>
        <w:t xml:space="preserve">Rwanda reports 30.4% national forest cover and a 2-million-hectare Bonn Challenge restoration pledge — a single aggregate figure that cannot tell a district officer, cooperative, or funder which specific hectare to plant next, or what that hectare would be worth.</w:t>
      </w:r>
    </w:p>
    <w:p>
      <w:pPr>
        <w:spacing w:after="120" w:line="276"/>
      </w:pPr>
      <w:r>
        <w:rPr>
          <w:sz w:val="21"/>
          <w:szCs w:val="21"/>
        </w:rPr>
        <w:t xml:space="preserve">This project answers that different question. Most biomass dashboards, including strong entries already recognized in this competition, are descriptive: they report what a fixed set of sites is doing right now. This one is deliberately prescriptive: given a district and a hectare or budget target, it ranks candidate parcels by a purpose-built Local Carbon Return Index (LCRI), projects the carbon and revenue outcome of planting each one, and lets communities log their own tree-planting sites — including Umuganda planting days, Rwanda's national community work practice — into a growing, crowdsourced ledger that feeds back into the map.</w:t>
      </w:r>
    </w:p>
    <w:p>
      <w:pPr>
        <w:spacing w:after="120" w:line="276"/>
      </w:pPr>
      <w:r>
        <w:rPr>
          <w:sz w:val="21"/>
          <w:szCs w:val="21"/>
        </w:rPr>
        <w:t xml:space="preserve">The result is a tool that answers "where should we plant next, and what will it be worth," not only "how is this reserve doing." That is a mechanism-level originality claim, not a site-selection one, and it is checkable against the competition's own record — see Section 16 for the direct comparison against 2025's winning entries.</w:t>
      </w:r>
    </w:p>
    <w:p>
      <w:pPr>
        <w:pStyle w:val="Heading1"/>
        <w:pBdr>
          <w:bottom w:val="single" w:color="1B4332" w:sz="8" w:space="4"/>
        </w:pBdr>
        <w:spacing w:after="160" w:before="320"/>
      </w:pPr>
      <w:r>
        <w:rPr>
          <w:b/>
          <w:bCs/>
          <w:color w:val="1B4332"/>
          <w:sz w:val="28"/>
          <w:szCs w:val="28"/>
        </w:rPr>
        <w:t xml:space="preserve">2. What Makes This Original</w:t>
      </w:r>
    </w:p>
    <w:p>
      <w:pPr>
        <w:spacing w:after="120" w:line="276"/>
      </w:pPr>
      <w:r>
        <w:rPr>
          <w:sz w:val="21"/>
          <w:szCs w:val="21"/>
        </w:rPr>
        <w:t xml:space="preserve">Three elements distinguish this entry from a standard biomass-monitoring dashboard, and from prior winners in this competition:</w:t>
      </w:r>
    </w:p>
    <w:p>
      <w:pPr>
        <w:pStyle w:val="Heading2"/>
        <w:spacing w:after="100" w:before="240"/>
      </w:pPr>
      <w:r>
        <w:rPr>
          <w:b/>
          <w:bCs/>
          <w:color w:val="C08A1E"/>
          <w:sz w:val="24"/>
          <w:szCs w:val="24"/>
        </w:rPr>
        <w:t xml:space="preserve">2.1 A named, defensible prioritization index — not a generic hotspot map</w:t>
      </w:r>
    </w:p>
    <w:p>
      <w:pPr>
        <w:spacing w:after="120" w:line="276"/>
      </w:pPr>
      <w:r>
        <w:rPr>
          <w:sz w:val="21"/>
          <w:szCs w:val="21"/>
        </w:rPr>
        <w:t xml:space="preserve">The Local Carbon Return Index (Section 9) combines carbon-gain potential, degradation urgency, slope feasibility, and proximity to an intact-forest seed source into a single 0–100 score per candidate parcel. It is the ranking engine behind every recommendation the dashboard makes, and it is documented as a transparent, reproducible formula rather than a black-box "suitability layer."</w:t>
      </w:r>
    </w:p>
    <w:p>
      <w:pPr>
        <w:pStyle w:val="Heading2"/>
        <w:spacing w:after="100" w:before="240"/>
      </w:pPr>
      <w:r>
        <w:rPr>
          <w:b/>
          <w:bCs/>
          <w:color w:val="C08A1E"/>
          <w:sz w:val="24"/>
          <w:szCs w:val="24"/>
        </w:rPr>
        <w:t xml:space="preserve">2.2 A forward-looking investment simulator as the core feature, not a stretch goal</w:t>
      </w:r>
    </w:p>
    <w:p>
      <w:pPr>
        <w:spacing w:after="120" w:line="276"/>
      </w:pPr>
      <w:r>
        <w:rPr>
          <w:sz w:val="21"/>
          <w:szCs w:val="21"/>
        </w:rPr>
        <w:t xml:space="preserve">Type in a district and a hectare or budget target, and the dashboard returns a ranked shortlist of candidate sites with projected tCO₂e at year 5/10/20 and an indicative offset revenue range (Section 12). This is the feature a funder or district planner actually needs, and it did not exist as the centerpiece of any 2025 entry.</w:t>
      </w:r>
    </w:p>
    <w:p>
      <w:pPr>
        <w:pStyle w:val="Heading2"/>
        <w:spacing w:after="100" w:before="240"/>
      </w:pPr>
      <w:r>
        <w:rPr>
          <w:b/>
          <w:bCs/>
          <w:color w:val="C08A1E"/>
          <w:sz w:val="24"/>
          <w:szCs w:val="24"/>
        </w:rPr>
        <w:t xml:space="preserve">2.3 A Umuganda community-planting ledger — a Rwanda-specific data source no competing entry has used</w:t>
      </w:r>
    </w:p>
    <w:p>
      <w:pPr>
        <w:spacing w:after="120" w:line="276"/>
      </w:pPr>
      <w:r>
        <w:rPr>
          <w:sz w:val="21"/>
          <w:szCs w:val="21"/>
        </w:rPr>
        <w:t xml:space="preserve">Local leaders and cooperatives can submit the boundary of a planting site from an actual Umuganda work day (Rwanda's mandatory last-Saturday-of-month community service, which very often involves tree planting) through the same draw/upload interface used for any other selection (Section 8.4). Each submission is timestamped and tagged, building a bottom-up record of community reforestation activity that sits alongside, and can be cross-checked against, the top-down satellite record. This is the most literal possible reading of "Acting Locally": the map is partly built from the same local action it is measuring.</w:t>
      </w:r>
    </w:p>
    <w:p>
      <w:pPr>
        <w:pStyle w:val="Heading1"/>
        <w:pBdr>
          <w:bottom w:val="single" w:color="1B4332" w:sz="8" w:space="4"/>
        </w:pBdr>
        <w:spacing w:after="160" w:before="320"/>
      </w:pPr>
      <w:r>
        <w:rPr>
          <w:b/>
          <w:bCs/>
          <w:color w:val="1B4332"/>
          <w:sz w:val="28"/>
          <w:szCs w:val="28"/>
        </w:rPr>
        <w:t xml:space="preserve">3. Objectives</w:t>
      </w:r>
    </w:p>
    <w:p>
      <w:pPr>
        <w:pStyle w:val="Heading2"/>
        <w:spacing w:after="100" w:before="240"/>
      </w:pPr>
      <w:r>
        <w:rPr>
          <w:b/>
          <w:bCs/>
          <w:color w:val="C08A1E"/>
          <w:sz w:val="24"/>
          <w:szCs w:val="24"/>
        </w:rPr>
        <w:t xml:space="preserve">General Objective</w:t>
      </w:r>
    </w:p>
    <w:p>
      <w:pPr>
        <w:spacing w:after="120" w:line="276"/>
      </w:pPr>
      <w:r>
        <w:rPr>
          <w:sz w:val="21"/>
          <w:szCs w:val="21"/>
        </w:rPr>
        <w:t xml:space="preserve">Build an interactive, dynamically queryable dashboard that does not just track above-ground biomass and carbon sequestration across Rwanda's forest landscape, but actively ranks where the next reforestation hectare should go and what it would return.</w:t>
      </w:r>
    </w:p>
    <w:p>
      <w:pPr>
        <w:pStyle w:val="Heading2"/>
        <w:spacing w:after="100" w:before="240"/>
      </w:pPr>
      <w:r>
        <w:rPr>
          <w:b/>
          <w:bCs/>
          <w:color w:val="C08A1E"/>
          <w:sz w:val="24"/>
          <w:szCs w:val="24"/>
        </w:rPr>
        <w:t xml:space="preserve">Specific Objectives</w:t>
      </w:r>
    </w:p>
    <w:p>
      <w:pPr>
        <w:pStyle w:val="ListParagraph"/>
        <w:numPr>
          <w:ilvl w:val="0"/>
          <w:numId w:val="2"/>
        </w:numPr>
        <w:spacing w:after="60"/>
      </w:pPr>
      <w:r>
        <w:rPr>
          <w:sz w:val="21"/>
          <w:szCs w:val="21"/>
        </w:rPr>
        <w:t xml:space="preserve">Delineate and catalogue target forest reserves and restoration sites using authoritative boundary data from an approved source.</w:t>
      </w:r>
    </w:p>
    <w:p>
      <w:pPr>
        <w:pStyle w:val="ListParagraph"/>
        <w:numPr>
          <w:ilvl w:val="0"/>
          <w:numId w:val="2"/>
        </w:numPr>
        <w:spacing w:after="60"/>
      </w:pPr>
      <w:r>
        <w:rPr>
          <w:sz w:val="21"/>
          <w:szCs w:val="21"/>
        </w:rPr>
        <w:t xml:space="preserve">Extract and process multi-year AGB estimates (2010, 2015–2022) for each site and for any custom user-selected geometry.</w:t>
      </w:r>
    </w:p>
    <w:p>
      <w:pPr>
        <w:pStyle w:val="ListParagraph"/>
        <w:numPr>
          <w:ilvl w:val="0"/>
          <w:numId w:val="2"/>
        </w:numPr>
        <w:spacing w:after="60"/>
      </w:pPr>
      <w:r>
        <w:rPr>
          <w:sz w:val="21"/>
          <w:szCs w:val="21"/>
        </w:rPr>
        <w:t xml:space="preserve">Convert AGB to carbon stock and CO₂-equivalent using IPCC default factors, and compute year-on-year sequestration or loss rates.</w:t>
      </w:r>
    </w:p>
    <w:p>
      <w:pPr>
        <w:pStyle w:val="ListParagraph"/>
        <w:numPr>
          <w:ilvl w:val="0"/>
          <w:numId w:val="2"/>
        </w:numPr>
        <w:spacing w:after="60"/>
      </w:pPr>
      <w:r>
        <w:rPr>
          <w:sz w:val="21"/>
          <w:szCs w:val="21"/>
        </w:rPr>
        <w:t xml:space="preserve">Build the Local Carbon Return Index and use it to rank candidate reforestation parcels within any selected district.</w:t>
      </w:r>
    </w:p>
    <w:p>
      <w:pPr>
        <w:pStyle w:val="ListParagraph"/>
        <w:numPr>
          <w:ilvl w:val="0"/>
          <w:numId w:val="2"/>
        </w:numPr>
        <w:spacing w:after="60"/>
      </w:pPr>
      <w:r>
        <w:rPr>
          <w:sz w:val="21"/>
          <w:szCs w:val="21"/>
        </w:rPr>
        <w:t xml:space="preserve">Support dynamic area selection by administrative level, freehand-drawn polygon/line, uploaded shapefile/GeoJSON, or a community-submitted Umuganda planting site.</w:t>
      </w:r>
    </w:p>
    <w:p>
      <w:pPr>
        <w:pStyle w:val="ListParagraph"/>
        <w:numPr>
          <w:ilvl w:val="0"/>
          <w:numId w:val="2"/>
        </w:numPr>
        <w:spacing w:after="60"/>
      </w:pPr>
      <w:r>
        <w:rPr>
          <w:sz w:val="21"/>
          <w:szCs w:val="21"/>
        </w:rPr>
        <w:t xml:space="preserve">Translate results into an indicative carbon-offset value and a ranked investment shortlist, presented in a filterable, map-linked dashboard that a non-technical judge or planner can open cold, with no login and no local setup.</w:t>
      </w:r>
    </w:p>
    <w:p>
      <w:pPr>
        <w:pStyle w:val="Heading1"/>
        <w:pBdr>
          <w:bottom w:val="single" w:color="1B4332" w:sz="8" w:space="4"/>
        </w:pBdr>
        <w:spacing w:after="160" w:before="320"/>
      </w:pPr>
      <w:r>
        <w:rPr>
          <w:b/>
          <w:bCs/>
          <w:color w:val="1B4332"/>
          <w:sz w:val="28"/>
          <w:szCs w:val="28"/>
        </w:rPr>
        <w:t xml:space="preserve">4. Study Area</w:t>
      </w:r>
    </w:p>
    <w:p>
      <w:pPr>
        <w:spacing w:after="120" w:line="276"/>
      </w:pPr>
      <w:r>
        <w:rPr>
          <w:sz w:val="21"/>
          <w:szCs w:val="21"/>
        </w:rPr>
        <w:t xml:space="preserve">Baseline sites anchor the default view and validation; the dashboard is not limited to them (Section 8 covers dynamic selection, including community-submitted sites).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50"/>
      </w:tblGrid>
      <w:tr>
        <w:trPr>
          <w:tblHeader/>
        </w:trPr>
        <w:tc>
          <w:tcPr>
            <w:tcW w:type="dxa" w:w="2800"/>
            <w:shd w:fill="1B4332" w:val="clear"/>
            <w:tcMar>
              <w:top w:type="dxa" w:w="80"/>
              <w:left w:type="dxa" w:w="100"/>
              <w:bottom w:type="dxa" w:w="80"/>
              <w:right w:type="dxa" w:w="100"/>
            </w:tcMar>
          </w:tcPr>
          <w:p>
            <w:r>
              <w:rPr>
                <w:b/>
                <w:bCs/>
                <w:color w:val="FFFFFF"/>
                <w:sz w:val="19"/>
                <w:szCs w:val="19"/>
              </w:rPr>
              <w:t xml:space="preserve">Site</w:t>
            </w:r>
          </w:p>
        </w:tc>
        <w:tc>
          <w:tcPr>
            <w:tcW w:type="dxa" w:w="2200"/>
            <w:shd w:fill="1B4332" w:val="clear"/>
            <w:tcMar>
              <w:top w:type="dxa" w:w="80"/>
              <w:left w:type="dxa" w:w="100"/>
              <w:bottom w:type="dxa" w:w="80"/>
              <w:right w:type="dxa" w:w="100"/>
            </w:tcMar>
          </w:tcPr>
          <w:p>
            <w:r>
              <w:rPr>
                <w:b/>
                <w:bCs/>
                <w:color w:val="FFFFFF"/>
                <w:sz w:val="19"/>
                <w:szCs w:val="19"/>
              </w:rPr>
              <w:t xml:space="preserve">Type</w:t>
            </w:r>
          </w:p>
        </w:tc>
        <w:tc>
          <w:tcPr>
            <w:tcW w:type="dxa" w:w="4350"/>
            <w:shd w:fill="1B4332" w:val="clear"/>
            <w:tcMar>
              <w:top w:type="dxa" w:w="80"/>
              <w:left w:type="dxa" w:w="100"/>
              <w:bottom w:type="dxa" w:w="80"/>
              <w:right w:type="dxa" w:w="100"/>
            </w:tcMar>
          </w:tcPr>
          <w:p>
            <w:r>
              <w:rPr>
                <w:b/>
                <w:bCs/>
                <w:color w:val="FFFFFF"/>
                <w:sz w:val="19"/>
                <w:szCs w:val="19"/>
              </w:rPr>
              <w:t xml:space="preserve">Why included</w:t>
            </w:r>
          </w:p>
        </w:tc>
      </w:tr>
      <w:tr>
        <w:tc>
          <w:tcPr>
            <w:tcW w:type="dxa" w:w="2800"/>
            <w:shd w:fill="FFFFFF" w:val="clear"/>
            <w:tcMar>
              <w:top w:type="dxa" w:w="80"/>
              <w:left w:type="dxa" w:w="100"/>
              <w:bottom w:type="dxa" w:w="80"/>
              <w:right w:type="dxa" w:w="100"/>
            </w:tcMar>
          </w:tcPr>
          <w:p>
            <w:r>
              <w:rPr>
                <w:sz w:val="19"/>
                <w:szCs w:val="19"/>
              </w:rPr>
              <w:t xml:space="preserve">Nyungwe National Park</w:t>
            </w:r>
          </w:p>
        </w:tc>
        <w:tc>
          <w:tcPr>
            <w:tcW w:type="dxa" w:w="2200"/>
            <w:shd w:fill="FFFFFF" w:val="clear"/>
            <w:tcMar>
              <w:top w:type="dxa" w:w="80"/>
              <w:left w:type="dxa" w:w="100"/>
              <w:bottom w:type="dxa" w:w="80"/>
              <w:right w:type="dxa" w:w="100"/>
            </w:tcMar>
          </w:tcPr>
          <w:p>
            <w:r>
              <w:rPr>
                <w:sz w:val="19"/>
                <w:szCs w:val="19"/>
              </w:rPr>
              <w:t xml:space="preserve">Montane rainforest</w:t>
            </w:r>
          </w:p>
        </w:tc>
        <w:tc>
          <w:tcPr>
            <w:tcW w:type="dxa" w:w="4350"/>
            <w:shd w:fill="FFFFFF" w:val="clear"/>
            <w:tcMar>
              <w:top w:type="dxa" w:w="80"/>
              <w:left w:type="dxa" w:w="100"/>
              <w:bottom w:type="dxa" w:w="80"/>
              <w:right w:type="dxa" w:w="100"/>
            </w:tcMar>
          </w:tcPr>
          <w:p>
            <w:r>
              <w:rPr>
                <w:sz w:val="19"/>
                <w:szCs w:val="19"/>
              </w:rPr>
              <w:t xml:space="preserve">Largest remaining montane forest; high biomass density; carbon-finance relevance</w:t>
            </w:r>
          </w:p>
        </w:tc>
      </w:tr>
      <w:tr>
        <w:tc>
          <w:tcPr>
            <w:tcW w:type="dxa" w:w="2800"/>
            <w:shd w:fill="EFF5EF" w:val="clear"/>
            <w:tcMar>
              <w:top w:type="dxa" w:w="80"/>
              <w:left w:type="dxa" w:w="100"/>
              <w:bottom w:type="dxa" w:w="80"/>
              <w:right w:type="dxa" w:w="100"/>
            </w:tcMar>
          </w:tcPr>
          <w:p>
            <w:r>
              <w:rPr>
                <w:sz w:val="19"/>
                <w:szCs w:val="19"/>
              </w:rPr>
              <w:t xml:space="preserve">Volcanoes National Park</w:t>
            </w:r>
          </w:p>
        </w:tc>
        <w:tc>
          <w:tcPr>
            <w:tcW w:type="dxa" w:w="2200"/>
            <w:shd w:fill="EFF5EF" w:val="clear"/>
            <w:tcMar>
              <w:top w:type="dxa" w:w="80"/>
              <w:left w:type="dxa" w:w="100"/>
              <w:bottom w:type="dxa" w:w="80"/>
              <w:right w:type="dxa" w:w="100"/>
            </w:tcMar>
          </w:tcPr>
          <w:p>
            <w:r>
              <w:rPr>
                <w:sz w:val="19"/>
                <w:szCs w:val="19"/>
              </w:rPr>
              <w:t xml:space="preserve">Montane / bamboo forest</w:t>
            </w:r>
          </w:p>
        </w:tc>
        <w:tc>
          <w:tcPr>
            <w:tcW w:type="dxa" w:w="4350"/>
            <w:shd w:fill="EFF5EF" w:val="clear"/>
            <w:tcMar>
              <w:top w:type="dxa" w:w="80"/>
              <w:left w:type="dxa" w:w="100"/>
              <w:bottom w:type="dxa" w:w="80"/>
              <w:right w:type="dxa" w:w="100"/>
            </w:tcMar>
          </w:tcPr>
          <w:p>
            <w:r>
              <w:rPr>
                <w:sz w:val="19"/>
                <w:szCs w:val="19"/>
              </w:rPr>
              <w:t xml:space="preserve">High conservation profile; buffer-zone pressure narrative</w:t>
            </w:r>
          </w:p>
        </w:tc>
      </w:tr>
      <w:tr>
        <w:tc>
          <w:tcPr>
            <w:tcW w:type="dxa" w:w="2800"/>
            <w:shd w:fill="FFFFFF" w:val="clear"/>
            <w:tcMar>
              <w:top w:type="dxa" w:w="80"/>
              <w:left w:type="dxa" w:w="100"/>
              <w:bottom w:type="dxa" w:w="80"/>
              <w:right w:type="dxa" w:w="100"/>
            </w:tcMar>
          </w:tcPr>
          <w:p>
            <w:r>
              <w:rPr>
                <w:sz w:val="19"/>
                <w:szCs w:val="19"/>
              </w:rPr>
              <w:t xml:space="preserve">Gishwati-Mukura National Park</w:t>
            </w:r>
          </w:p>
        </w:tc>
        <w:tc>
          <w:tcPr>
            <w:tcW w:type="dxa" w:w="2200"/>
            <w:shd w:fill="FFFFFF" w:val="clear"/>
            <w:tcMar>
              <w:top w:type="dxa" w:w="80"/>
              <w:left w:type="dxa" w:w="100"/>
              <w:bottom w:type="dxa" w:w="80"/>
              <w:right w:type="dxa" w:w="100"/>
            </w:tcMar>
          </w:tcPr>
          <w:p>
            <w:r>
              <w:rPr>
                <w:sz w:val="19"/>
                <w:szCs w:val="19"/>
              </w:rPr>
              <w:t xml:space="preserve">Restoration landscape</w:t>
            </w:r>
          </w:p>
        </w:tc>
        <w:tc>
          <w:tcPr>
            <w:tcW w:type="dxa" w:w="4350"/>
            <w:shd w:fill="FFFFFF" w:val="clear"/>
            <w:tcMar>
              <w:top w:type="dxa" w:w="80"/>
              <w:left w:type="dxa" w:w="100"/>
              <w:bottom w:type="dxa" w:w="80"/>
              <w:right w:type="dxa" w:w="100"/>
            </w:tcMar>
          </w:tcPr>
          <w:p>
            <w:r>
              <w:rPr>
                <w:sz w:val="19"/>
                <w:szCs w:val="19"/>
              </w:rPr>
              <w:t xml:space="preserve">Newest park; strongest before/after restoration signal</w:t>
            </w:r>
          </w:p>
        </w:tc>
      </w:tr>
      <w:tr>
        <w:tc>
          <w:tcPr>
            <w:tcW w:type="dxa" w:w="2800"/>
            <w:shd w:fill="EFF5EF" w:val="clear"/>
            <w:tcMar>
              <w:top w:type="dxa" w:w="80"/>
              <w:left w:type="dxa" w:w="100"/>
              <w:bottom w:type="dxa" w:w="80"/>
              <w:right w:type="dxa" w:w="100"/>
            </w:tcMar>
          </w:tcPr>
          <w:p>
            <w:r>
              <w:rPr>
                <w:sz w:val="19"/>
                <w:szCs w:val="19"/>
              </w:rPr>
              <w:t xml:space="preserve">Nyabihu, Rutsiro, Karongi reforestation blocks</w:t>
            </w:r>
          </w:p>
        </w:tc>
        <w:tc>
          <w:tcPr>
            <w:tcW w:type="dxa" w:w="2200"/>
            <w:shd w:fill="EFF5EF" w:val="clear"/>
            <w:tcMar>
              <w:top w:type="dxa" w:w="80"/>
              <w:left w:type="dxa" w:w="100"/>
              <w:bottom w:type="dxa" w:w="80"/>
              <w:right w:type="dxa" w:w="100"/>
            </w:tcMar>
          </w:tcPr>
          <w:p>
            <w:r>
              <w:rPr>
                <w:sz w:val="19"/>
                <w:szCs w:val="19"/>
              </w:rPr>
              <w:t xml:space="preserve">Community reforestation</w:t>
            </w:r>
          </w:p>
        </w:tc>
        <w:tc>
          <w:tcPr>
            <w:tcW w:type="dxa" w:w="4350"/>
            <w:shd w:fill="EFF5EF" w:val="clear"/>
            <w:tcMar>
              <w:top w:type="dxa" w:w="80"/>
              <w:left w:type="dxa" w:w="100"/>
              <w:bottom w:type="dxa" w:w="80"/>
              <w:right w:type="dxa" w:w="100"/>
            </w:tcMar>
          </w:tcPr>
          <w:p>
            <w:r>
              <w:rPr>
                <w:sz w:val="19"/>
                <w:szCs w:val="19"/>
              </w:rPr>
              <w:t xml:space="preserve">District-scale "Acting Locally" evidence, owned by local government, not a park authority</w:t>
            </w:r>
          </w:p>
        </w:tc>
      </w:tr>
      <w:tr>
        <w:tc>
          <w:tcPr>
            <w:tcW w:type="dxa" w:w="2800"/>
            <w:shd w:fill="FFFFFF" w:val="clear"/>
            <w:tcMar>
              <w:top w:type="dxa" w:w="80"/>
              <w:left w:type="dxa" w:w="100"/>
              <w:bottom w:type="dxa" w:w="80"/>
              <w:right w:type="dxa" w:w="100"/>
            </w:tcMar>
          </w:tcPr>
          <w:p>
            <w:r>
              <w:rPr>
                <w:sz w:val="19"/>
                <w:szCs w:val="19"/>
              </w:rPr>
              <w:t xml:space="preserve">Selected plantation block (eucalyptus/pine)</w:t>
            </w:r>
          </w:p>
        </w:tc>
        <w:tc>
          <w:tcPr>
            <w:tcW w:type="dxa" w:w="2200"/>
            <w:shd w:fill="FFFFFF" w:val="clear"/>
            <w:tcMar>
              <w:top w:type="dxa" w:w="80"/>
              <w:left w:type="dxa" w:w="100"/>
              <w:bottom w:type="dxa" w:w="80"/>
              <w:right w:type="dxa" w:w="100"/>
            </w:tcMar>
          </w:tcPr>
          <w:p>
            <w:r>
              <w:rPr>
                <w:sz w:val="19"/>
                <w:szCs w:val="19"/>
              </w:rPr>
              <w:t xml:space="preserve">Plantation</w:t>
            </w:r>
          </w:p>
        </w:tc>
        <w:tc>
          <w:tcPr>
            <w:tcW w:type="dxa" w:w="4350"/>
            <w:shd w:fill="FFFFFF" w:val="clear"/>
            <w:tcMar>
              <w:top w:type="dxa" w:w="80"/>
              <w:left w:type="dxa" w:w="100"/>
              <w:bottom w:type="dxa" w:w="80"/>
              <w:right w:type="dxa" w:w="100"/>
            </w:tcMar>
          </w:tcPr>
          <w:p>
            <w:r>
              <w:rPr>
                <w:sz w:val="19"/>
                <w:szCs w:val="19"/>
              </w:rPr>
              <w:t xml:space="preserve">Contrast case: fast plantation gain vs. slow natural-forest gain</w:t>
            </w:r>
          </w:p>
        </w:tc>
      </w:tr>
    </w:tbl>
    <w:p>
      <w:pPr>
        <w:spacing w:after="120" w:line="276"/>
      </w:pPr>
      <w:r>
        <w:rPr>
          <w:sz w:val="21"/>
          <w:szCs w:val="21"/>
        </w:rPr>
        <w:t xml:space="preserve">These five sites are starting context only. The Local Carbon Return Index (Section 9) is what actually drives the entry's distinct contribution: it scans unplanted land within any district a user selects and ranks it, rather than reporting only on this fixed list.</w:t>
      </w:r>
    </w:p>
    <w:p>
      <w:pPr>
        <w:pStyle w:val="Heading1"/>
        <w:pBdr>
          <w:bottom w:val="single" w:color="1B4332" w:sz="8" w:space="4"/>
        </w:pBdr>
        <w:spacing w:after="160" w:before="320"/>
      </w:pPr>
      <w:r>
        <w:rPr>
          <w:b/>
          <w:bCs/>
          <w:color w:val="1B4332"/>
          <w:sz w:val="28"/>
          <w:szCs w:val="28"/>
        </w:rPr>
        <w:t xml:space="preserve">5. Approved Data Source Compliance</w:t>
      </w:r>
    </w:p>
    <w:p>
      <w:pPr>
        <w:spacing w:after="120" w:line="276"/>
      </w:pPr>
      <w:r>
        <w:rPr>
          <w:sz w:val="21"/>
          <w:szCs w:val="21"/>
        </w:rPr>
        <w:t xml:space="preserve">The competition requires at least two datasets from the official approved-source list (RCOE Geoportal, RCMRD GeoPortal, Protected Planet, Africa Knowledge Platform, ESRI Africa Geoportal, ESRI Living Atlas) and states that entries failing this requirement are not eligible for judging. This section makes the compliance path explicit and citable, correcting a gap in the previous draft.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2200"/>
        <w:gridCol w:w="2250"/>
      </w:tblGrid>
      <w:tr>
        <w:trPr>
          <w:tblHeader/>
        </w:trPr>
        <w:tc>
          <w:tcPr>
            <w:tcW w:type="dxa" w:w="2500"/>
            <w:shd w:fill="1B4332" w:val="clear"/>
            <w:tcMar>
              <w:top w:type="dxa" w:w="80"/>
              <w:left w:type="dxa" w:w="100"/>
              <w:bottom w:type="dxa" w:w="80"/>
              <w:right w:type="dxa" w:w="100"/>
            </w:tcMar>
          </w:tcPr>
          <w:p>
            <w:r>
              <w:rPr>
                <w:b/>
                <w:bCs/>
                <w:color w:val="FFFFFF"/>
                <w:sz w:val="19"/>
                <w:szCs w:val="19"/>
              </w:rPr>
              <w:t xml:space="preserve">Dataset</w:t>
            </w:r>
          </w:p>
        </w:tc>
        <w:tc>
          <w:tcPr>
            <w:tcW w:type="dxa" w:w="2400"/>
            <w:shd w:fill="1B4332" w:val="clear"/>
            <w:tcMar>
              <w:top w:type="dxa" w:w="80"/>
              <w:left w:type="dxa" w:w="100"/>
              <w:bottom w:type="dxa" w:w="80"/>
              <w:right w:type="dxa" w:w="100"/>
            </w:tcMar>
          </w:tcPr>
          <w:p>
            <w:r>
              <w:rPr>
                <w:b/>
                <w:bCs/>
                <w:color w:val="FFFFFF"/>
                <w:sz w:val="19"/>
                <w:szCs w:val="19"/>
              </w:rPr>
              <w:t xml:space="preserve">Approved source used</w:t>
            </w:r>
          </w:p>
        </w:tc>
        <w:tc>
          <w:tcPr>
            <w:tcW w:type="dxa" w:w="2200"/>
            <w:shd w:fill="1B4332" w:val="clear"/>
            <w:tcMar>
              <w:top w:type="dxa" w:w="80"/>
              <w:left w:type="dxa" w:w="100"/>
              <w:bottom w:type="dxa" w:w="80"/>
              <w:right w:type="dxa" w:w="100"/>
            </w:tcMar>
          </w:tcPr>
          <w:p>
            <w:r>
              <w:rPr>
                <w:b/>
                <w:bCs/>
                <w:color w:val="FFFFFF"/>
                <w:sz w:val="19"/>
                <w:szCs w:val="19"/>
              </w:rPr>
              <w:t xml:space="preserve">Role</w:t>
            </w:r>
          </w:p>
        </w:tc>
        <w:tc>
          <w:tcPr>
            <w:tcW w:type="dxa" w:w="2250"/>
            <w:shd w:fill="1B4332" w:val="clear"/>
            <w:tcMar>
              <w:top w:type="dxa" w:w="80"/>
              <w:left w:type="dxa" w:w="100"/>
              <w:bottom w:type="dxa" w:w="80"/>
              <w:right w:type="dxa" w:w="100"/>
            </w:tcMar>
          </w:tcPr>
          <w:p>
            <w:r>
              <w:rPr>
                <w:b/>
                <w:bCs/>
                <w:color w:val="FFFFFF"/>
                <w:sz w:val="19"/>
                <w:szCs w:val="19"/>
              </w:rPr>
              <w:t xml:space="preserve">Exact layer / citation</w:t>
            </w:r>
          </w:p>
        </w:tc>
      </w:tr>
      <w:tr>
        <w:tc>
          <w:tcPr>
            <w:tcW w:type="dxa" w:w="2500"/>
            <w:shd w:fill="FFFFFF" w:val="clear"/>
            <w:tcMar>
              <w:top w:type="dxa" w:w="80"/>
              <w:left w:type="dxa" w:w="100"/>
              <w:bottom w:type="dxa" w:w="80"/>
              <w:right w:type="dxa" w:w="100"/>
            </w:tcMar>
          </w:tcPr>
          <w:p>
            <w:r>
              <w:rPr>
                <w:sz w:val="19"/>
                <w:szCs w:val="19"/>
              </w:rPr>
              <w:t xml:space="preserve">Above/below-ground biomass carbon</w:t>
            </w:r>
          </w:p>
        </w:tc>
        <w:tc>
          <w:tcPr>
            <w:tcW w:type="dxa" w:w="2400"/>
            <w:shd w:fill="FFFFFF" w:val="clear"/>
            <w:tcMar>
              <w:top w:type="dxa" w:w="80"/>
              <w:left w:type="dxa" w:w="100"/>
              <w:bottom w:type="dxa" w:w="80"/>
              <w:right w:type="dxa" w:w="100"/>
            </w:tcMar>
          </w:tcPr>
          <w:p>
            <w:r>
              <w:rPr>
                <w:sz w:val="19"/>
                <w:szCs w:val="19"/>
              </w:rPr>
              <w:t xml:space="preserve">ESRI Living Atlas</w:t>
            </w:r>
          </w:p>
        </w:tc>
        <w:tc>
          <w:tcPr>
            <w:tcW w:type="dxa" w:w="2200"/>
            <w:shd w:fill="FFFFFF" w:val="clear"/>
            <w:tcMar>
              <w:top w:type="dxa" w:w="80"/>
              <w:left w:type="dxa" w:w="100"/>
              <w:bottom w:type="dxa" w:w="80"/>
              <w:right w:type="dxa" w:w="100"/>
            </w:tcMar>
          </w:tcPr>
          <w:p>
            <w:r>
              <w:rPr>
                <w:sz w:val="19"/>
                <w:szCs w:val="19"/>
              </w:rPr>
              <w:t xml:space="preserve">Primary biomass layer driving carbon calculations and the LCRI score</w:t>
            </w:r>
          </w:p>
        </w:tc>
        <w:tc>
          <w:tcPr>
            <w:tcW w:type="dxa" w:w="2250"/>
            <w:shd w:fill="FFFFFF" w:val="clear"/>
            <w:tcMar>
              <w:top w:type="dxa" w:w="80"/>
              <w:left w:type="dxa" w:w="100"/>
              <w:bottom w:type="dxa" w:w="80"/>
              <w:right w:type="dxa" w:w="100"/>
            </w:tcMar>
          </w:tcPr>
          <w:p>
            <w:r>
              <w:rPr>
                <w:sz w:val="19"/>
                <w:szCs w:val="19"/>
              </w:rPr>
              <w:t xml:space="preserve">"Above and Below Ground Biomass Carbon" analysis-ready image layer, ArcGIS Living Atlas of the World (UNEP-WCMC contribution)</w:t>
            </w:r>
          </w:p>
        </w:tc>
      </w:tr>
      <w:tr>
        <w:tc>
          <w:tcPr>
            <w:tcW w:type="dxa" w:w="2500"/>
            <w:shd w:fill="EFF5EF" w:val="clear"/>
            <w:tcMar>
              <w:top w:type="dxa" w:w="80"/>
              <w:left w:type="dxa" w:w="100"/>
              <w:bottom w:type="dxa" w:w="80"/>
              <w:right w:type="dxa" w:w="100"/>
            </w:tcMar>
          </w:tcPr>
          <w:p>
            <w:r>
              <w:rPr>
                <w:sz w:val="19"/>
                <w:szCs w:val="19"/>
              </w:rPr>
              <w:t xml:space="preserve">Protected area / forest reserve boundaries</w:t>
            </w:r>
          </w:p>
        </w:tc>
        <w:tc>
          <w:tcPr>
            <w:tcW w:type="dxa" w:w="2400"/>
            <w:shd w:fill="EFF5EF" w:val="clear"/>
            <w:tcMar>
              <w:top w:type="dxa" w:w="80"/>
              <w:left w:type="dxa" w:w="100"/>
              <w:bottom w:type="dxa" w:w="80"/>
              <w:right w:type="dxa" w:w="100"/>
            </w:tcMar>
          </w:tcPr>
          <w:p>
            <w:r>
              <w:rPr>
                <w:sz w:val="19"/>
                <w:szCs w:val="19"/>
              </w:rPr>
              <w:t xml:space="preserve">Africa Knowledge Platform</w:t>
            </w:r>
          </w:p>
        </w:tc>
        <w:tc>
          <w:tcPr>
            <w:tcW w:type="dxa" w:w="2200"/>
            <w:shd w:fill="EFF5EF" w:val="clear"/>
            <w:tcMar>
              <w:top w:type="dxa" w:w="80"/>
              <w:left w:type="dxa" w:w="100"/>
              <w:bottom w:type="dxa" w:w="80"/>
              <w:right w:type="dxa" w:w="100"/>
            </w:tcMar>
          </w:tcPr>
          <w:p>
            <w:r>
              <w:rPr>
                <w:sz w:val="19"/>
                <w:szCs w:val="19"/>
              </w:rPr>
              <w:t xml:space="preserve">Boundary and policy context; defines default reserve polygons</w:t>
            </w:r>
          </w:p>
        </w:tc>
        <w:tc>
          <w:tcPr>
            <w:tcW w:type="dxa" w:w="2250"/>
            <w:shd w:fill="EFF5EF" w:val="clear"/>
            <w:tcMar>
              <w:top w:type="dxa" w:w="80"/>
              <w:left w:type="dxa" w:w="100"/>
              <w:bottom w:type="dxa" w:w="80"/>
              <w:right w:type="dxa" w:w="100"/>
            </w:tcMar>
          </w:tcPr>
          <w:p>
            <w:r>
              <w:rPr>
                <w:sz w:val="19"/>
                <w:szCs w:val="19"/>
              </w:rPr>
              <w:t xml:space="preserve">Protected-area boundary layer, Africa Knowledge Platform catalogue</w:t>
            </w:r>
          </w:p>
        </w:tc>
      </w:tr>
      <w:tr>
        <w:tc>
          <w:tcPr>
            <w:tcW w:type="dxa" w:w="2500"/>
            <w:shd w:fill="FFFFFF" w:val="clear"/>
            <w:tcMar>
              <w:top w:type="dxa" w:w="80"/>
              <w:left w:type="dxa" w:w="100"/>
              <w:bottom w:type="dxa" w:w="80"/>
              <w:right w:type="dxa" w:w="100"/>
            </w:tcMar>
          </w:tcPr>
          <w:p>
            <w:r>
              <w:rPr>
                <w:sz w:val="19"/>
                <w:szCs w:val="19"/>
              </w:rPr>
              <w:t xml:space="preserve">Admin boundaries (Province/District/Sector/Cell)</w:t>
            </w:r>
          </w:p>
        </w:tc>
        <w:tc>
          <w:tcPr>
            <w:tcW w:type="dxa" w:w="2400"/>
            <w:shd w:fill="FFFFFF" w:val="clear"/>
            <w:tcMar>
              <w:top w:type="dxa" w:w="80"/>
              <w:left w:type="dxa" w:w="100"/>
              <w:bottom w:type="dxa" w:w="80"/>
              <w:right w:type="dxa" w:w="100"/>
            </w:tcMar>
          </w:tcPr>
          <w:p>
            <w:r>
              <w:rPr>
                <w:sz w:val="19"/>
                <w:szCs w:val="19"/>
              </w:rPr>
              <w:t xml:space="preserve">RCOE Geoportal (supplementary, not required for eligibility)</w:t>
            </w:r>
          </w:p>
        </w:tc>
        <w:tc>
          <w:tcPr>
            <w:tcW w:type="dxa" w:w="2200"/>
            <w:shd w:fill="FFFFFF" w:val="clear"/>
            <w:tcMar>
              <w:top w:type="dxa" w:w="80"/>
              <w:left w:type="dxa" w:w="100"/>
              <w:bottom w:type="dxa" w:w="80"/>
              <w:right w:type="dxa" w:w="100"/>
            </w:tcMar>
          </w:tcPr>
          <w:p>
            <w:r>
              <w:rPr>
                <w:sz w:val="19"/>
                <w:szCs w:val="19"/>
              </w:rPr>
              <w:t xml:space="preserve">Powers the administrative-level selector in Section 8</w:t>
            </w:r>
          </w:p>
        </w:tc>
        <w:tc>
          <w:tcPr>
            <w:tcW w:type="dxa" w:w="2250"/>
            <w:shd w:fill="FFFFFF" w:val="clear"/>
            <w:tcMar>
              <w:top w:type="dxa" w:w="80"/>
              <w:left w:type="dxa" w:w="100"/>
              <w:bottom w:type="dxa" w:w="80"/>
              <w:right w:type="dxa" w:w="100"/>
            </w:tcMar>
          </w:tcPr>
          <w:p>
            <w:r>
              <w:rPr>
                <w:sz w:val="19"/>
                <w:szCs w:val="19"/>
              </w:rPr>
              <w:t xml:space="preserve">RCOE Geoportal admin boundary layer</w:t>
            </w:r>
          </w:p>
        </w:tc>
      </w:tr>
    </w:tbl>
    <w:p>
      <w:pPr>
        <w:spacing w:after="120" w:line="276"/>
      </w:pPr>
      <w:r>
        <w:rPr>
          <w:sz w:val="21"/>
          <w:szCs w:val="21"/>
        </w:rPr>
        <w:t xml:space="preserve">This resolves the compliance risk in the original draft: the technical build previously called a Google Earth Engine community-catalog mirror of ESA CCI Biomass (path projects/sat-io/open-datasets/ESA/ESA_CCI_AGB). That mirror is not the same asset as either approved portal, and citing it as "served via ESRI Living Atlas" would not withstand a judge's check. Two build options, in order of preference:</w:t>
      </w:r>
    </w:p>
    <w:p>
      <w:pPr>
        <w:pStyle w:val="ListParagraph"/>
        <w:numPr>
          <w:ilvl w:val="0"/>
          <w:numId w:val="2"/>
        </w:numPr>
        <w:spacing w:after="60"/>
      </w:pPr>
      <w:r>
        <w:rPr>
          <w:sz w:val="21"/>
          <w:szCs w:val="21"/>
        </w:rPr>
        <w:t xml:space="preserve">Option A (recommended): source biomass directly from the ESRI Living Atlas biomass-carbon image service (via ArcGIS REST / ArcGIS API for Python), so the primary data path is the approved layer itself, no community mirror involved.</w:t>
      </w:r>
    </w:p>
    <w:p>
      <w:pPr>
        <w:pStyle w:val="ListParagraph"/>
        <w:numPr>
          <w:ilvl w:val="0"/>
          <w:numId w:val="2"/>
        </w:numPr>
        <w:spacing w:after="60"/>
      </w:pPr>
      <w:r>
        <w:rPr>
          <w:sz w:val="21"/>
          <w:szCs w:val="21"/>
        </w:rPr>
        <w:t xml:space="preserve">Option B: keep the ESA CCI Biomass GEE asset as a supplementary, clearly-labelled calibration layer only (Section 10.1) — never as the dataset satisfying the eligibility rule — while the ESRI Living Atlas layer is the one actually cited to meet the "two approved datasets" requirement.</w:t>
      </w:r>
    </w:p>
    <w:p>
      <w:pPr>
        <w:spacing w:after="120" w:line="276"/>
      </w:pPr>
      <w:r>
        <w:rPr>
          <w:sz w:val="21"/>
          <w:szCs w:val="21"/>
        </w:rPr>
        <w:t xml:space="preserve">Every layer used in the final submission must appear in the data-source panel with: dataset name, approved portal, access date, and citation string. Track this in a single provenance table (Section 15.2) and populate it with real dates before submission — not left as a placeholder.</w:t>
      </w:r>
    </w:p>
    <w:p>
      <w:pPr>
        <w:pStyle w:val="Heading1"/>
        <w:pBdr>
          <w:bottom w:val="single" w:color="1B4332" w:sz="8" w:space="4"/>
        </w:pBdr>
        <w:spacing w:after="160" w:before="320"/>
      </w:pPr>
      <w:r>
        <w:rPr>
          <w:b/>
          <w:bCs/>
          <w:color w:val="1B4332"/>
          <w:sz w:val="28"/>
          <w:szCs w:val="28"/>
        </w:rPr>
        <w:t xml:space="preserve">6. Supplementary &amp; Auxiliary Data</w:t>
      </w:r>
    </w:p>
    <w:p>
      <w:pPr>
        <w:pStyle w:val="Heading2"/>
        <w:spacing w:after="100" w:before="240"/>
      </w:pPr>
      <w:r>
        <w:rPr>
          <w:b/>
          <w:bCs/>
          <w:color w:val="C08A1E"/>
          <w:sz w:val="24"/>
          <w:szCs w:val="24"/>
        </w:rPr>
        <w:t xml:space="preserve">Supplementary remote sensing (validation / enrichment — not required for eligibility)</w:t>
      </w:r>
    </w:p>
    <w:p>
      <w:pPr>
        <w:pStyle w:val="ListParagraph"/>
        <w:numPr>
          <w:ilvl w:val="0"/>
          <w:numId w:val="2"/>
        </w:numPr>
        <w:spacing w:after="60"/>
      </w:pPr>
      <w:r>
        <w:rPr>
          <w:sz w:val="21"/>
          <w:szCs w:val="21"/>
        </w:rPr>
        <w:t xml:space="preserve">Sentinel-2 (10–20 m multispectral) — NDVI/EVI, forest/non-forest masking</w:t>
      </w:r>
    </w:p>
    <w:p>
      <w:pPr>
        <w:pStyle w:val="ListParagraph"/>
        <w:numPr>
          <w:ilvl w:val="0"/>
          <w:numId w:val="2"/>
        </w:numPr>
        <w:spacing w:after="60"/>
      </w:pPr>
      <w:r>
        <w:rPr>
          <w:sz w:val="21"/>
          <w:szCs w:val="21"/>
        </w:rPr>
        <w:t xml:space="preserve">Landsat 8/9 — historical biomass trend cross-check</w:t>
      </w:r>
    </w:p>
    <w:p>
      <w:pPr>
        <w:pStyle w:val="ListParagraph"/>
        <w:numPr>
          <w:ilvl w:val="0"/>
          <w:numId w:val="2"/>
        </w:numPr>
        <w:spacing w:after="60"/>
      </w:pPr>
      <w:r>
        <w:rPr>
          <w:sz w:val="21"/>
          <w:szCs w:val="21"/>
        </w:rPr>
        <w:t xml:space="preserve">GEDI LiDAR footprints — canopy height/biomass calibration where footprints intersect Rwanda</w:t>
      </w:r>
    </w:p>
    <w:p>
      <w:pPr>
        <w:pStyle w:val="Heading2"/>
        <w:spacing w:after="100" w:before="240"/>
      </w:pPr>
      <w:r>
        <w:rPr>
          <w:b/>
          <w:bCs/>
          <w:color w:val="C08A1E"/>
          <w:sz w:val="24"/>
          <w:szCs w:val="24"/>
        </w:rPr>
        <w:t xml:space="preserve">Auxiliary spatial data</w:t>
      </w:r>
    </w:p>
    <w:p>
      <w:pPr>
        <w:pStyle w:val="ListParagraph"/>
        <w:numPr>
          <w:ilvl w:val="0"/>
          <w:numId w:val="2"/>
        </w:numPr>
        <w:spacing w:after="60"/>
      </w:pPr>
      <w:r>
        <w:rPr>
          <w:sz w:val="21"/>
          <w:szCs w:val="21"/>
        </w:rPr>
        <w:t xml:space="preserve">Land use / land cover maps</w:t>
      </w:r>
    </w:p>
    <w:p>
      <w:pPr>
        <w:pStyle w:val="ListParagraph"/>
        <w:numPr>
          <w:ilvl w:val="0"/>
          <w:numId w:val="2"/>
        </w:numPr>
        <w:spacing w:after="60"/>
      </w:pPr>
      <w:r>
        <w:rPr>
          <w:sz w:val="21"/>
          <w:szCs w:val="21"/>
        </w:rPr>
        <w:t xml:space="preserve">DEM — elevation and slope, relevant given Rwanda's mountainous terrain and its effect on both growth and erosion risk, and a direct input to the LCRI slope-feasibility factor</w:t>
      </w:r>
    </w:p>
    <w:p>
      <w:pPr>
        <w:pStyle w:val="ListParagraph"/>
        <w:numPr>
          <w:ilvl w:val="0"/>
          <w:numId w:val="2"/>
        </w:numPr>
        <w:spacing w:after="60"/>
      </w:pPr>
      <w:r>
        <w:rPr>
          <w:sz w:val="21"/>
          <w:szCs w:val="21"/>
        </w:rPr>
        <w:t xml:space="preserve">Climate layers (rainfall, temperature) and soil data (optional, improves growth models)</w:t>
      </w:r>
    </w:p>
    <w:p>
      <w:pPr>
        <w:pStyle w:val="Heading1"/>
        <w:pBdr>
          <w:bottom w:val="single" w:color="1B4332" w:sz="8" w:space="4"/>
        </w:pBdr>
        <w:spacing w:after="160" w:before="320"/>
      </w:pPr>
      <w:r>
        <w:rPr>
          <w:b/>
          <w:bCs/>
          <w:color w:val="1B4332"/>
          <w:sz w:val="28"/>
          <w:szCs w:val="28"/>
        </w:rPr>
        <w:t xml:space="preserve">7. Preprocessing Layer</w:t>
      </w:r>
    </w:p>
    <w:p>
      <w:pPr>
        <w:pStyle w:val="ListParagraph"/>
        <w:numPr>
          <w:ilvl w:val="0"/>
          <w:numId w:val="2"/>
        </w:numPr>
        <w:spacing w:after="60"/>
      </w:pPr>
      <w:r>
        <w:rPr>
          <w:sz w:val="21"/>
          <w:szCs w:val="21"/>
        </w:rPr>
        <w:t xml:space="preserve">Atmospheric correction (Sen2Cor) and cloud masking where supplementary Sentinel-2 imagery is used</w:t>
      </w:r>
    </w:p>
    <w:p>
      <w:pPr>
        <w:pStyle w:val="ListParagraph"/>
        <w:numPr>
          <w:ilvl w:val="0"/>
          <w:numId w:val="2"/>
        </w:numPr>
        <w:spacing w:after="60"/>
      </w:pPr>
      <w:r>
        <w:rPr>
          <w:sz w:val="21"/>
          <w:szCs w:val="21"/>
        </w:rPr>
        <w:t xml:space="preserve">Resampling to a uniform 100 m spatial resolution, matching the biomass layer's native resolution</w:t>
      </w:r>
    </w:p>
    <w:p>
      <w:pPr>
        <w:pStyle w:val="ListParagraph"/>
        <w:numPr>
          <w:ilvl w:val="0"/>
          <w:numId w:val="2"/>
        </w:numPr>
        <w:spacing w:after="60"/>
      </w:pPr>
      <w:r>
        <w:rPr>
          <w:sz w:val="21"/>
          <w:szCs w:val="21"/>
        </w:rPr>
        <w:t xml:space="preserve">Harmonization of multi-source rasters into a common CRS — UTM Zone 36S (EPSG:32736) for area-accurate statistics</w:t>
      </w:r>
    </w:p>
    <w:p>
      <w:pPr>
        <w:pStyle w:val="ListParagraph"/>
        <w:numPr>
          <w:ilvl w:val="0"/>
          <w:numId w:val="2"/>
        </w:numPr>
        <w:spacing w:after="60"/>
      </w:pPr>
      <w:r>
        <w:rPr>
          <w:sz w:val="21"/>
          <w:szCs w:val="21"/>
        </w:rPr>
        <w:t xml:space="preserve">Time-series normalization across the 2010–2022 AGB epochs</w:t>
      </w:r>
    </w:p>
    <w:p>
      <w:pPr>
        <w:pStyle w:val="ListParagraph"/>
        <w:numPr>
          <w:ilvl w:val="0"/>
          <w:numId w:val="2"/>
        </w:numPr>
        <w:spacing w:after="60"/>
      </w:pPr>
      <w:r>
        <w:rPr>
          <w:sz w:val="21"/>
          <w:szCs w:val="21"/>
        </w:rPr>
        <w:t xml:space="preserve">Forest-mask extraction to exclude non-forest pixels from zonal statistics</w:t>
      </w:r>
    </w:p>
    <w:p>
      <w:r>
        <w:br w:type="page"/>
      </w:r>
    </w:p>
    <w:p>
      <w:pPr>
        <w:pStyle w:val="Heading1"/>
        <w:pBdr>
          <w:bottom w:val="single" w:color="1B4332" w:sz="8" w:space="4"/>
        </w:pBdr>
        <w:spacing w:after="160" w:before="320"/>
      </w:pPr>
      <w:r>
        <w:rPr>
          <w:b/>
          <w:bCs/>
          <w:color w:val="1B4332"/>
          <w:sz w:val="28"/>
          <w:szCs w:val="28"/>
        </w:rPr>
        <w:t xml:space="preserve">8. Dynamic Area-of-Interest Selection</w:t>
      </w:r>
    </w:p>
    <w:p>
      <w:pPr>
        <w:spacing w:after="120" w:line="276"/>
      </w:pPr>
      <w:r>
        <w:rPr>
          <w:sz w:val="21"/>
          <w:szCs w:val="21"/>
        </w:rPr>
        <w:t xml:space="preserve">Four selection modes feed the same backend and instantly recompute every KPI, chart, ranking, and map layer: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50"/>
      </w:tblGrid>
      <w:tr>
        <w:trPr>
          <w:tblHeader/>
        </w:trPr>
        <w:tc>
          <w:tcPr>
            <w:tcW w:type="dxa" w:w="2200"/>
            <w:shd w:fill="1B4332" w:val="clear"/>
            <w:tcMar>
              <w:top w:type="dxa" w:w="80"/>
              <w:left w:type="dxa" w:w="100"/>
              <w:bottom w:type="dxa" w:w="80"/>
              <w:right w:type="dxa" w:w="100"/>
            </w:tcMar>
          </w:tcPr>
          <w:p>
            <w:r>
              <w:rPr>
                <w:b/>
                <w:bCs/>
                <w:color w:val="FFFFFF"/>
                <w:sz w:val="19"/>
                <w:szCs w:val="19"/>
              </w:rPr>
              <w:t xml:space="preserve">Mode</w:t>
            </w:r>
          </w:p>
        </w:tc>
        <w:tc>
          <w:tcPr>
            <w:tcW w:type="dxa" w:w="3400"/>
            <w:shd w:fill="1B4332" w:val="clear"/>
            <w:tcMar>
              <w:top w:type="dxa" w:w="80"/>
              <w:left w:type="dxa" w:w="100"/>
              <w:bottom w:type="dxa" w:w="80"/>
              <w:right w:type="dxa" w:w="100"/>
            </w:tcMar>
          </w:tcPr>
          <w:p>
            <w:r>
              <w:rPr>
                <w:b/>
                <w:bCs/>
                <w:color w:val="FFFFFF"/>
                <w:sz w:val="19"/>
                <w:szCs w:val="19"/>
              </w:rPr>
              <w:t xml:space="preserve">Mechanism</w:t>
            </w:r>
          </w:p>
        </w:tc>
        <w:tc>
          <w:tcPr>
            <w:tcW w:type="dxa" w:w="3750"/>
            <w:shd w:fill="1B4332" w:val="clear"/>
            <w:tcMar>
              <w:top w:type="dxa" w:w="80"/>
              <w:left w:type="dxa" w:w="100"/>
              <w:bottom w:type="dxa" w:w="80"/>
              <w:right w:type="dxa" w:w="100"/>
            </w:tcMar>
          </w:tcPr>
          <w:p>
            <w:r>
              <w:rPr>
                <w:b/>
                <w:bCs/>
                <w:color w:val="FFFFFF"/>
                <w:sz w:val="19"/>
                <w:szCs w:val="19"/>
              </w:rPr>
              <w:t xml:space="preserve">Typical use</w:t>
            </w:r>
          </w:p>
        </w:tc>
      </w:tr>
      <w:tr>
        <w:tc>
          <w:tcPr>
            <w:tcW w:type="dxa" w:w="2200"/>
            <w:shd w:fill="FFFFFF" w:val="clear"/>
            <w:tcMar>
              <w:top w:type="dxa" w:w="80"/>
              <w:left w:type="dxa" w:w="100"/>
              <w:bottom w:type="dxa" w:w="80"/>
              <w:right w:type="dxa" w:w="100"/>
            </w:tcMar>
          </w:tcPr>
          <w:p>
            <w:r>
              <w:rPr>
                <w:sz w:val="19"/>
                <w:szCs w:val="19"/>
              </w:rPr>
              <w:t xml:space="preserve">Administrative level</w:t>
            </w:r>
          </w:p>
        </w:tc>
        <w:tc>
          <w:tcPr>
            <w:tcW w:type="dxa" w:w="3400"/>
            <w:shd w:fill="FFFFFF" w:val="clear"/>
            <w:tcMar>
              <w:top w:type="dxa" w:w="80"/>
              <w:left w:type="dxa" w:w="100"/>
              <w:bottom w:type="dxa" w:w="80"/>
              <w:right w:type="dxa" w:w="100"/>
            </w:tcMar>
          </w:tcPr>
          <w:p>
            <w:r>
              <w:rPr>
                <w:sz w:val="19"/>
                <w:szCs w:val="19"/>
              </w:rPr>
              <w:t xml:space="preserve">Dropdown: Province → District → Sector → Cell</w:t>
            </w:r>
          </w:p>
        </w:tc>
        <w:tc>
          <w:tcPr>
            <w:tcW w:type="dxa" w:w="3750"/>
            <w:shd w:fill="FFFFFF" w:val="clear"/>
            <w:tcMar>
              <w:top w:type="dxa" w:w="80"/>
              <w:left w:type="dxa" w:w="100"/>
              <w:bottom w:type="dxa" w:w="80"/>
              <w:right w:type="dxa" w:w="100"/>
            </w:tcMar>
          </w:tcPr>
          <w:p>
            <w:r>
              <w:rPr>
                <w:sz w:val="19"/>
                <w:szCs w:val="19"/>
              </w:rPr>
              <w:t xml:space="preserve">"Acting Locally" framing; compare sectors or districts directly</w:t>
            </w:r>
          </w:p>
        </w:tc>
      </w:tr>
      <w:tr>
        <w:tc>
          <w:tcPr>
            <w:tcW w:type="dxa" w:w="2200"/>
            <w:shd w:fill="EFF5EF" w:val="clear"/>
            <w:tcMar>
              <w:top w:type="dxa" w:w="80"/>
              <w:left w:type="dxa" w:w="100"/>
              <w:bottom w:type="dxa" w:w="80"/>
              <w:right w:type="dxa" w:w="100"/>
            </w:tcMar>
          </w:tcPr>
          <w:p>
            <w:r>
              <w:rPr>
                <w:sz w:val="19"/>
                <w:szCs w:val="19"/>
              </w:rPr>
              <w:t xml:space="preserve">Draw on map</w:t>
            </w:r>
          </w:p>
        </w:tc>
        <w:tc>
          <w:tcPr>
            <w:tcW w:type="dxa" w:w="3400"/>
            <w:shd w:fill="EFF5EF" w:val="clear"/>
            <w:tcMar>
              <w:top w:type="dxa" w:w="80"/>
              <w:left w:type="dxa" w:w="100"/>
              <w:bottom w:type="dxa" w:w="80"/>
              <w:right w:type="dxa" w:w="100"/>
            </w:tcMar>
          </w:tcPr>
          <w:p>
            <w:r>
              <w:rPr>
                <w:sz w:val="19"/>
                <w:szCs w:val="19"/>
              </w:rPr>
              <w:t xml:space="preserve">Polygon, rectangle, or line drawn on the map</w:t>
            </w:r>
          </w:p>
        </w:tc>
        <w:tc>
          <w:tcPr>
            <w:tcW w:type="dxa" w:w="3750"/>
            <w:shd w:fill="EFF5EF" w:val="clear"/>
            <w:tcMar>
              <w:top w:type="dxa" w:w="80"/>
              <w:left w:type="dxa" w:w="100"/>
              <w:bottom w:type="dxa" w:w="80"/>
              <w:right w:type="dxa" w:w="100"/>
            </w:tcMar>
          </w:tcPr>
          <w:p>
            <w:r>
              <w:rPr>
                <w:sz w:val="19"/>
                <w:szCs w:val="19"/>
              </w:rPr>
              <w:t xml:space="preserve">Ad hoc custom site, or a transect through a landscape</w:t>
            </w:r>
          </w:p>
        </w:tc>
      </w:tr>
      <w:tr>
        <w:tc>
          <w:tcPr>
            <w:tcW w:type="dxa" w:w="2200"/>
            <w:shd w:fill="FFFFFF" w:val="clear"/>
            <w:tcMar>
              <w:top w:type="dxa" w:w="80"/>
              <w:left w:type="dxa" w:w="100"/>
              <w:bottom w:type="dxa" w:w="80"/>
              <w:right w:type="dxa" w:w="100"/>
            </w:tcMar>
          </w:tcPr>
          <w:p>
            <w:r>
              <w:rPr>
                <w:sz w:val="19"/>
                <w:szCs w:val="19"/>
              </w:rPr>
              <w:t xml:space="preserve">Upload boundary</w:t>
            </w:r>
          </w:p>
        </w:tc>
        <w:tc>
          <w:tcPr>
            <w:tcW w:type="dxa" w:w="3400"/>
            <w:shd w:fill="FFFFFF" w:val="clear"/>
            <w:tcMar>
              <w:top w:type="dxa" w:w="80"/>
              <w:left w:type="dxa" w:w="100"/>
              <w:bottom w:type="dxa" w:w="80"/>
              <w:right w:type="dxa" w:w="100"/>
            </w:tcMar>
          </w:tcPr>
          <w:p>
            <w:r>
              <w:rPr>
                <w:sz w:val="19"/>
                <w:szCs w:val="19"/>
              </w:rPr>
              <w:t xml:space="preserve">User uploads a .geojson or zipped .shp</w:t>
            </w:r>
          </w:p>
        </w:tc>
        <w:tc>
          <w:tcPr>
            <w:tcW w:type="dxa" w:w="3750"/>
            <w:shd w:fill="FFFFFF" w:val="clear"/>
            <w:tcMar>
              <w:top w:type="dxa" w:w="80"/>
              <w:left w:type="dxa" w:w="100"/>
              <w:bottom w:type="dxa" w:w="80"/>
              <w:right w:type="dxa" w:w="100"/>
            </w:tcMar>
          </w:tcPr>
          <w:p>
            <w:r>
              <w:rPr>
                <w:sz w:val="19"/>
                <w:szCs w:val="19"/>
              </w:rPr>
              <w:t xml:space="preserve">Bring in an actual reforestation-block boundary from a project file</w:t>
            </w:r>
          </w:p>
        </w:tc>
      </w:tr>
      <w:tr>
        <w:tc>
          <w:tcPr>
            <w:tcW w:type="dxa" w:w="2200"/>
            <w:shd w:fill="EFF5EF" w:val="clear"/>
            <w:tcMar>
              <w:top w:type="dxa" w:w="80"/>
              <w:left w:type="dxa" w:w="100"/>
              <w:bottom w:type="dxa" w:w="80"/>
              <w:right w:type="dxa" w:w="100"/>
            </w:tcMar>
          </w:tcPr>
          <w:p>
            <w:r>
              <w:rPr>
                <w:sz w:val="19"/>
                <w:szCs w:val="19"/>
              </w:rPr>
              <w:t xml:space="preserve">Community submission (new)</w:t>
            </w:r>
          </w:p>
        </w:tc>
        <w:tc>
          <w:tcPr>
            <w:tcW w:type="dxa" w:w="3400"/>
            <w:shd w:fill="EFF5EF" w:val="clear"/>
            <w:tcMar>
              <w:top w:type="dxa" w:w="80"/>
              <w:left w:type="dxa" w:w="100"/>
              <w:bottom w:type="dxa" w:w="80"/>
              <w:right w:type="dxa" w:w="100"/>
            </w:tcMar>
          </w:tcPr>
          <w:p>
            <w:r>
              <w:rPr>
                <w:sz w:val="19"/>
                <w:szCs w:val="19"/>
              </w:rPr>
              <w:t xml:space="preserve">Draw or upload, tagged as a Umuganda planting site with date and submitting sector</w:t>
            </w:r>
          </w:p>
        </w:tc>
        <w:tc>
          <w:tcPr>
            <w:tcW w:type="dxa" w:w="3750"/>
            <w:shd w:fill="EFF5EF" w:val="clear"/>
            <w:tcMar>
              <w:top w:type="dxa" w:w="80"/>
              <w:left w:type="dxa" w:w="100"/>
              <w:bottom w:type="dxa" w:w="80"/>
              <w:right w:type="dxa" w:w="100"/>
            </w:tcMar>
          </w:tcPr>
          <w:p>
            <w:r>
              <w:rPr>
                <w:sz w:val="19"/>
                <w:szCs w:val="19"/>
              </w:rPr>
              <w:t xml:space="preserve">Crowdsourced ledger of community-led planting, cross-checked against satellite change detection</w:t>
            </w:r>
          </w:p>
        </w:tc>
      </w:tr>
    </w:tbl>
    <w:p>
      <w:pPr>
        <w:pStyle w:val="Heading2"/>
        <w:spacing w:after="100" w:before="240"/>
      </w:pPr>
      <w:r>
        <w:rPr>
          <w:b/>
          <w:bCs/>
          <w:color w:val="C08A1E"/>
          <w:sz w:val="24"/>
          <w:szCs w:val="24"/>
        </w:rPr>
        <w:t xml:space="preserve">8.1 Backend approach</w:t>
      </w:r>
    </w:p>
    <w:p>
      <w:pPr>
        <w:spacing w:after="120" w:line="276"/>
      </w:pPr>
      <w:r>
        <w:rPr>
          <w:sz w:val="21"/>
          <w:szCs w:val="21"/>
        </w:rPr>
        <w:t xml:space="preserve">Rather than downloading and clipping a global raster locally for every selection, zonal statistics are computed server-side against whichever approved image service is queried (Section 5), for any polygon a user provides, in seconds — whether the geometry came from a dropdown, a freehand draw, an uploaded file, or a community submission.</w:t>
      </w:r>
    </w:p>
    <w:p>
      <w:pPr>
        <w:pStyle w:val="Heading2"/>
        <w:spacing w:after="100" w:before="240"/>
      </w:pPr>
      <w:r>
        <w:rPr>
          <w:b/>
          <w:bCs/>
          <w:color w:val="C08A1E"/>
          <w:sz w:val="24"/>
          <w:szCs w:val="24"/>
        </w:rPr>
        <w:t xml:space="preserve">8.2 Lines and transects</w:t>
      </w:r>
    </w:p>
    <w:p>
      <w:pPr>
        <w:spacing w:after="120" w:line="276"/>
      </w:pPr>
      <w:r>
        <w:rPr>
          <w:sz w:val="21"/>
          <w:szCs w:val="21"/>
        </w:rPr>
        <w:t xml:space="preserve">A drawn or uploaded line (e.g., a transect across a forest edge) is handled in one of two selectable modes: Corridor mode buffers the line (default 30 m) into a polygon and computes standard zonal statistics; Profile mode samples AGB values at intervals along the line to chart how biomass changes from forest core to edge.</w:t>
      </w:r>
    </w:p>
    <w:p>
      <w:pPr>
        <w:pStyle w:val="Heading2"/>
        <w:spacing w:after="100" w:before="240"/>
      </w:pPr>
      <w:r>
        <w:rPr>
          <w:b/>
          <w:bCs/>
          <w:color w:val="C08A1E"/>
          <w:sz w:val="24"/>
          <w:szCs w:val="24"/>
        </w:rPr>
        <w:t xml:space="preserve">8.3 Processing pipeline per selection</w:t>
      </w:r>
    </w:p>
    <w:p>
      <w:pPr>
        <w:pStyle w:val="ListParagraph"/>
        <w:numPr>
          <w:ilvl w:val="0"/>
          <w:numId w:val="2"/>
        </w:numPr>
        <w:spacing w:after="60"/>
      </w:pPr>
      <w:r>
        <w:rPr>
          <w:sz w:val="21"/>
          <w:szCs w:val="21"/>
        </w:rPr>
        <w:t xml:space="preserve">Geometry captured (dropdown feature, drawn shape, uploaded file, or community submission) and reprojected as needed for the source image service.</w:t>
      </w:r>
    </w:p>
    <w:p>
      <w:pPr>
        <w:pStyle w:val="ListParagraph"/>
        <w:numPr>
          <w:ilvl w:val="0"/>
          <w:numId w:val="2"/>
        </w:numPr>
        <w:spacing w:after="60"/>
      </w:pPr>
      <w:r>
        <w:rPr>
          <w:sz w:val="21"/>
          <w:szCs w:val="21"/>
        </w:rPr>
        <w:t xml:space="preserve">For each available AGB year: zonal mean and pixel count over the geometry at native resolution.</w:t>
      </w:r>
    </w:p>
    <w:p>
      <w:pPr>
        <w:pStyle w:val="ListParagraph"/>
        <w:numPr>
          <w:ilvl w:val="0"/>
          <w:numId w:val="2"/>
        </w:numPr>
        <w:spacing w:after="60"/>
      </w:pPr>
      <w:r>
        <w:rPr>
          <w:sz w:val="21"/>
          <w:szCs w:val="21"/>
        </w:rPr>
        <w:t xml:space="preserve">Pixel count → area (ha); mean AGB (Mg/ha) × area → total AGB (Mg).</w:t>
      </w:r>
    </w:p>
    <w:p>
      <w:pPr>
        <w:pStyle w:val="ListParagraph"/>
        <w:numPr>
          <w:ilvl w:val="0"/>
          <w:numId w:val="2"/>
        </w:numPr>
        <w:spacing w:after="60"/>
      </w:pPr>
      <w:r>
        <w:rPr>
          <w:sz w:val="21"/>
          <w:szCs w:val="21"/>
        </w:rPr>
        <w:t xml:space="preserve">Carbon stock = total AGB × 0.47 (IPCC default carbon fraction of dry biomass).</w:t>
      </w:r>
    </w:p>
    <w:p>
      <w:pPr>
        <w:pStyle w:val="ListParagraph"/>
        <w:numPr>
          <w:ilvl w:val="0"/>
          <w:numId w:val="2"/>
        </w:numPr>
        <w:spacing w:after="60"/>
      </w:pPr>
      <w:r>
        <w:rPr>
          <w:sz w:val="21"/>
          <w:szCs w:val="21"/>
        </w:rPr>
        <w:t xml:space="preserve">CO₂-equivalent = carbon stock × 3.67 (CO₂/C molecular weight ratio, 44/12).</w:t>
      </w:r>
    </w:p>
    <w:p>
      <w:pPr>
        <w:pStyle w:val="ListParagraph"/>
        <w:numPr>
          <w:ilvl w:val="0"/>
          <w:numId w:val="2"/>
        </w:numPr>
        <w:spacing w:after="60"/>
      </w:pPr>
      <w:r>
        <w:rPr>
          <w:sz w:val="21"/>
          <w:szCs w:val="21"/>
        </w:rPr>
        <w:t xml:space="preserve">Year-on-year change = sequestration (positive) or loss (negative) signal, per selection.</w:t>
      </w:r>
    </w:p>
    <w:p>
      <w:pPr>
        <w:pStyle w:val="ListParagraph"/>
        <w:numPr>
          <w:ilvl w:val="0"/>
          <w:numId w:val="2"/>
        </w:numPr>
        <w:spacing w:after="60"/>
      </w:pPr>
      <w:r>
        <w:rPr>
          <w:sz w:val="21"/>
          <w:szCs w:val="21"/>
        </w:rPr>
        <w:t xml:space="preserve">Indicative offset value = positive CO₂e change × an adjustable USD/tCO₂e price slider.</w:t>
      </w:r>
    </w:p>
    <w:p>
      <w:pPr>
        <w:pStyle w:val="ListParagraph"/>
        <w:numPr>
          <w:ilvl w:val="0"/>
          <w:numId w:val="2"/>
        </w:numPr>
        <w:spacing w:after="60"/>
      </w:pPr>
      <w:r>
        <w:rPr>
          <w:sz w:val="21"/>
          <w:szCs w:val="21"/>
        </w:rPr>
        <w:t xml:space="preserve">Dashboard KPIs, map coloring, ranked shortlist, and time-series chart update immediately for the new selection.</w:t>
      </w:r>
    </w:p>
    <w:p>
      <w:pPr>
        <w:pStyle w:val="Heading2"/>
        <w:spacing w:after="100" w:before="240"/>
      </w:pPr>
      <w:r>
        <w:rPr>
          <w:b/>
          <w:bCs/>
          <w:color w:val="C08A1E"/>
          <w:sz w:val="24"/>
          <w:szCs w:val="24"/>
        </w:rPr>
        <w:t xml:space="preserve">8.4 Umuganda community-planting ledger</w:t>
      </w:r>
    </w:p>
    <w:p>
      <w:pPr>
        <w:spacing w:after="120" w:line="276"/>
      </w:pPr>
      <w:r>
        <w:rPr>
          <w:sz w:val="21"/>
          <w:szCs w:val="21"/>
        </w:rPr>
        <w:t xml:space="preserve">A sector coordinator, cooperative, or school can submit the boundary of a real Umuganda planting site through the same draw/upload interface, tagged with a date and the submitting group's name. Submissions accumulate into a filterable "Community-led sites" layer, separate from the satellite-derived reserve data but computed with the exact same zonal-statistics pipeline — so a community-planted hectare gets the same rigor as a national park. Over successive Umuganda days this becomes a running, bottom-up record of local action that the satellite change-detection layer (Section 11) can independently verify, closing the loop between what a community says it planted and what the biomass record shows growing.</w:t>
      </w:r>
    </w:p>
    <w:p>
      <w:pPr>
        <w:pStyle w:val="Heading1"/>
        <w:pBdr>
          <w:bottom w:val="single" w:color="1B4332" w:sz="8" w:space="4"/>
        </w:pBdr>
        <w:spacing w:after="160" w:before="320"/>
      </w:pPr>
      <w:r>
        <w:rPr>
          <w:b/>
          <w:bCs/>
          <w:color w:val="1B4332"/>
          <w:sz w:val="28"/>
          <w:szCs w:val="28"/>
        </w:rPr>
        <w:t xml:space="preserve">9. The Local Carbon Return Index (LCRI)</w:t>
      </w:r>
    </w:p>
    <w:p>
      <w:pPr>
        <w:spacing w:after="120" w:line="276"/>
      </w:pPr>
      <w:r>
        <w:rPr>
          <w:sz w:val="21"/>
          <w:szCs w:val="21"/>
        </w:rPr>
        <w:t xml:space="preserve">The LCRI is the dashboard's ranking engine: a single, transparent 0–100 score computed per candidate parcel (or per grid cell within a selected district) that answers "how good a reforestation investment is this specific piece of land," not just "what is its biomass today."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50"/>
      </w:tblGrid>
      <w:tr>
        <w:trPr>
          <w:tblHeader/>
        </w:trPr>
        <w:tc>
          <w:tcPr>
            <w:tcW w:type="dxa" w:w="2600"/>
            <w:shd w:fill="1B4332" w:val="clear"/>
            <w:tcMar>
              <w:top w:type="dxa" w:w="80"/>
              <w:left w:type="dxa" w:w="100"/>
              <w:bottom w:type="dxa" w:w="80"/>
              <w:right w:type="dxa" w:w="100"/>
            </w:tcMar>
          </w:tcPr>
          <w:p>
            <w:r>
              <w:rPr>
                <w:b/>
                <w:bCs/>
                <w:color w:val="FFFFFF"/>
                <w:sz w:val="19"/>
                <w:szCs w:val="19"/>
              </w:rPr>
              <w:t xml:space="preserve">Factor</w:t>
            </w:r>
          </w:p>
        </w:tc>
        <w:tc>
          <w:tcPr>
            <w:tcW w:type="dxa" w:w="4100"/>
            <w:shd w:fill="1B4332" w:val="clear"/>
            <w:tcMar>
              <w:top w:type="dxa" w:w="80"/>
              <w:left w:type="dxa" w:w="100"/>
              <w:bottom w:type="dxa" w:w="80"/>
              <w:right w:type="dxa" w:w="100"/>
            </w:tcMar>
          </w:tcPr>
          <w:p>
            <w:r>
              <w:rPr>
                <w:b/>
                <w:bCs/>
                <w:color w:val="FFFFFF"/>
                <w:sz w:val="19"/>
                <w:szCs w:val="19"/>
              </w:rPr>
              <w:t xml:space="preserve">What it captures</w:t>
            </w:r>
          </w:p>
        </w:tc>
        <w:tc>
          <w:tcPr>
            <w:tcW w:type="dxa" w:w="2650"/>
            <w:shd w:fill="1B4332" w:val="clear"/>
            <w:tcMar>
              <w:top w:type="dxa" w:w="80"/>
              <w:left w:type="dxa" w:w="100"/>
              <w:bottom w:type="dxa" w:w="80"/>
              <w:right w:type="dxa" w:w="100"/>
            </w:tcMar>
          </w:tcPr>
          <w:p>
            <w:r>
              <w:rPr>
                <w:b/>
                <w:bCs/>
                <w:color w:val="FFFFFF"/>
                <w:sz w:val="19"/>
                <w:szCs w:val="19"/>
              </w:rPr>
              <w:t xml:space="preserve">Data driving it</w:t>
            </w:r>
          </w:p>
        </w:tc>
      </w:tr>
      <w:tr>
        <w:tc>
          <w:tcPr>
            <w:tcW w:type="dxa" w:w="2600"/>
            <w:shd w:fill="FFFFFF" w:val="clear"/>
            <w:tcMar>
              <w:top w:type="dxa" w:w="80"/>
              <w:left w:type="dxa" w:w="100"/>
              <w:bottom w:type="dxa" w:w="80"/>
              <w:right w:type="dxa" w:w="100"/>
            </w:tcMar>
          </w:tcPr>
          <w:p>
            <w:r>
              <w:rPr>
                <w:sz w:val="19"/>
                <w:szCs w:val="19"/>
              </w:rPr>
              <w:t xml:space="preserve">Carbon-gain potential (35%)</w:t>
            </w:r>
          </w:p>
        </w:tc>
        <w:tc>
          <w:tcPr>
            <w:tcW w:type="dxa" w:w="4100"/>
            <w:shd w:fill="FFFFFF" w:val="clear"/>
            <w:tcMar>
              <w:top w:type="dxa" w:w="80"/>
              <w:left w:type="dxa" w:w="100"/>
              <w:bottom w:type="dxa" w:w="80"/>
              <w:right w:type="dxa" w:w="100"/>
            </w:tcMar>
          </w:tcPr>
          <w:p>
            <w:r>
              <w:rPr>
                <w:sz w:val="19"/>
                <w:szCs w:val="19"/>
              </w:rPr>
              <w:t xml:space="preserve">Headroom between current AGB and the typical mature-forest ceiling for that land-cover class and climate zone — bare or degraded land scores higher than land already near its ceiling</w:t>
            </w:r>
          </w:p>
        </w:tc>
        <w:tc>
          <w:tcPr>
            <w:tcW w:type="dxa" w:w="2650"/>
            <w:shd w:fill="FFFFFF" w:val="clear"/>
            <w:tcMar>
              <w:top w:type="dxa" w:w="80"/>
              <w:left w:type="dxa" w:w="100"/>
              <w:bottom w:type="dxa" w:w="80"/>
              <w:right w:type="dxa" w:w="100"/>
            </w:tcMar>
          </w:tcPr>
          <w:p>
            <w:r>
              <w:rPr>
                <w:sz w:val="19"/>
                <w:szCs w:val="19"/>
              </w:rPr>
              <w:t xml:space="preserve">Biomass layer (Section 5) + land-cover class</w:t>
            </w:r>
          </w:p>
        </w:tc>
      </w:tr>
      <w:tr>
        <w:tc>
          <w:tcPr>
            <w:tcW w:type="dxa" w:w="2600"/>
            <w:shd w:fill="EFF5EF" w:val="clear"/>
            <w:tcMar>
              <w:top w:type="dxa" w:w="80"/>
              <w:left w:type="dxa" w:w="100"/>
              <w:bottom w:type="dxa" w:w="80"/>
              <w:right w:type="dxa" w:w="100"/>
            </w:tcMar>
          </w:tcPr>
          <w:p>
            <w:r>
              <w:rPr>
                <w:sz w:val="19"/>
                <w:szCs w:val="19"/>
              </w:rPr>
              <w:t xml:space="preserve">Degradation urgency (25%)</w:t>
            </w:r>
          </w:p>
        </w:tc>
        <w:tc>
          <w:tcPr>
            <w:tcW w:type="dxa" w:w="4100"/>
            <w:shd w:fill="EFF5EF" w:val="clear"/>
            <w:tcMar>
              <w:top w:type="dxa" w:w="80"/>
              <w:left w:type="dxa" w:w="100"/>
              <w:bottom w:type="dxa" w:w="80"/>
              <w:right w:type="dxa" w:w="100"/>
            </w:tcMar>
          </w:tcPr>
          <w:p>
            <w:r>
              <w:rPr>
                <w:sz w:val="19"/>
                <w:szCs w:val="19"/>
              </w:rPr>
              <w:t xml:space="preserve">Severity and recency of negative biomass trend — prioritizes stopping active loss, not only starting new gain</w:t>
            </w:r>
          </w:p>
        </w:tc>
        <w:tc>
          <w:tcPr>
            <w:tcW w:type="dxa" w:w="2650"/>
            <w:shd w:fill="EFF5EF" w:val="clear"/>
            <w:tcMar>
              <w:top w:type="dxa" w:w="80"/>
              <w:left w:type="dxa" w:w="100"/>
              <w:bottom w:type="dxa" w:w="80"/>
              <w:right w:type="dxa" w:w="100"/>
            </w:tcMar>
          </w:tcPr>
          <w:p>
            <w:r>
              <w:rPr>
                <w:sz w:val="19"/>
                <w:szCs w:val="19"/>
              </w:rPr>
              <w:t xml:space="preserve">Multi-year change detection (Section 11)</w:t>
            </w:r>
          </w:p>
        </w:tc>
      </w:tr>
      <w:tr>
        <w:tc>
          <w:tcPr>
            <w:tcW w:type="dxa" w:w="2600"/>
            <w:shd w:fill="FFFFFF" w:val="clear"/>
            <w:tcMar>
              <w:top w:type="dxa" w:w="80"/>
              <w:left w:type="dxa" w:w="100"/>
              <w:bottom w:type="dxa" w:w="80"/>
              <w:right w:type="dxa" w:w="100"/>
            </w:tcMar>
          </w:tcPr>
          <w:p>
            <w:r>
              <w:rPr>
                <w:sz w:val="19"/>
                <w:szCs w:val="19"/>
              </w:rPr>
              <w:t xml:space="preserve">Slope feasibility (20%)</w:t>
            </w:r>
          </w:p>
        </w:tc>
        <w:tc>
          <w:tcPr>
            <w:tcW w:type="dxa" w:w="4100"/>
            <w:shd w:fill="FFFFFF" w:val="clear"/>
            <w:tcMar>
              <w:top w:type="dxa" w:w="80"/>
              <w:left w:type="dxa" w:w="100"/>
              <w:bottom w:type="dxa" w:w="80"/>
              <w:right w:type="dxa" w:w="100"/>
            </w:tcMar>
          </w:tcPr>
          <w:p>
            <w:r>
              <w:rPr>
                <w:sz w:val="19"/>
                <w:szCs w:val="19"/>
              </w:rPr>
              <w:t xml:space="preserve">Moderate slopes favored; steep, erosion-prone slopes penalized for both planting cost and survival risk</w:t>
            </w:r>
          </w:p>
        </w:tc>
        <w:tc>
          <w:tcPr>
            <w:tcW w:type="dxa" w:w="2650"/>
            <w:shd w:fill="FFFFFF" w:val="clear"/>
            <w:tcMar>
              <w:top w:type="dxa" w:w="80"/>
              <w:left w:type="dxa" w:w="100"/>
              <w:bottom w:type="dxa" w:w="80"/>
              <w:right w:type="dxa" w:w="100"/>
            </w:tcMar>
          </w:tcPr>
          <w:p>
            <w:r>
              <w:rPr>
                <w:sz w:val="19"/>
                <w:szCs w:val="19"/>
              </w:rPr>
              <w:t xml:space="preserve">DEM (Section 6)</w:t>
            </w:r>
          </w:p>
        </w:tc>
      </w:tr>
      <w:tr>
        <w:tc>
          <w:tcPr>
            <w:tcW w:type="dxa" w:w="2600"/>
            <w:shd w:fill="EFF5EF" w:val="clear"/>
            <w:tcMar>
              <w:top w:type="dxa" w:w="80"/>
              <w:left w:type="dxa" w:w="100"/>
              <w:bottom w:type="dxa" w:w="80"/>
              <w:right w:type="dxa" w:w="100"/>
            </w:tcMar>
          </w:tcPr>
          <w:p>
            <w:r>
              <w:rPr>
                <w:sz w:val="19"/>
                <w:szCs w:val="19"/>
              </w:rPr>
              <w:t xml:space="preserve">Seed-source proximity (20%)</w:t>
            </w:r>
          </w:p>
        </w:tc>
        <w:tc>
          <w:tcPr>
            <w:tcW w:type="dxa" w:w="4100"/>
            <w:shd w:fill="EFF5EF" w:val="clear"/>
            <w:tcMar>
              <w:top w:type="dxa" w:w="80"/>
              <w:left w:type="dxa" w:w="100"/>
              <w:bottom w:type="dxa" w:w="80"/>
              <w:right w:type="dxa" w:w="100"/>
            </w:tcMar>
          </w:tcPr>
          <w:p>
            <w:r>
              <w:rPr>
                <w:sz w:val="19"/>
                <w:szCs w:val="19"/>
              </w:rPr>
              <w:t xml:space="preserve">Distance to the nearest intact forest edge — closer sites benefit from natural regeneration and lower-cost passive restoration, not only active planting</w:t>
            </w:r>
          </w:p>
        </w:tc>
        <w:tc>
          <w:tcPr>
            <w:tcW w:type="dxa" w:w="2650"/>
            <w:shd w:fill="EFF5EF" w:val="clear"/>
            <w:tcMar>
              <w:top w:type="dxa" w:w="80"/>
              <w:left w:type="dxa" w:w="100"/>
              <w:bottom w:type="dxa" w:w="80"/>
              <w:right w:type="dxa" w:w="100"/>
            </w:tcMar>
          </w:tcPr>
          <w:p>
            <w:r>
              <w:rPr>
                <w:sz w:val="19"/>
                <w:szCs w:val="19"/>
              </w:rPr>
              <w:t xml:space="preserve">Forest mask + boundary layer (Section 5)</w:t>
            </w:r>
          </w:p>
        </w:tc>
      </w:tr>
    </w:tbl>
    <w:p>
      <w:pPr>
        <w:spacing w:after="120" w:line="276"/>
      </w:pPr>
      <w:r>
        <w:rPr>
          <w:sz w:val="21"/>
          <w:szCs w:val="21"/>
        </w:rPr>
        <w:t xml:space="preserve">LCRI = 0.35 × CarbonPotential + 0.25 × DegradationUrgency + 0.20 × SlopeFeasibility + 0.20 × SeedProximity, each sub-factor normalized 0–100 within the selected district before weighting, so scores are always comparable within the area a user is actually planning for. Weights are exposed as adjustable sliders, not hard-coded, so a district that cares more about stopping active degradation than about virgin restoration can re-weight the index and get a different ranked list instantly.</w:t>
      </w:r>
    </w:p>
    <w:p>
      <w:pPr>
        <w:spacing w:after="120" w:line="276"/>
      </w:pPr>
      <w:r>
        <w:rPr>
          <w:sz w:val="21"/>
          <w:szCs w:val="21"/>
        </w:rPr>
        <w:t xml:space="preserve">This is what separates the tool from a generic "suitability map": every score is reproducible from four named, cited inputs, shown to the user, rather than a single unexplained shaded layer.</w:t>
      </w:r>
    </w:p>
    <w:p>
      <w:pPr>
        <w:pStyle w:val="Heading1"/>
        <w:pBdr>
          <w:bottom w:val="single" w:color="1B4332" w:sz="8" w:space="4"/>
        </w:pBdr>
        <w:spacing w:after="160" w:before="320"/>
      </w:pPr>
      <w:r>
        <w:rPr>
          <w:b/>
          <w:bCs/>
          <w:color w:val="1B4332"/>
          <w:sz w:val="28"/>
          <w:szCs w:val="28"/>
        </w:rPr>
        <w:t xml:space="preserve">10. Biomass Estimation Engine</w:t>
      </w:r>
    </w:p>
    <w:p>
      <w:pPr>
        <w:spacing w:after="120" w:line="276"/>
      </w:pPr>
      <w:r>
        <w:rPr>
          <w:sz w:val="21"/>
          <w:szCs w:val="21"/>
        </w:rPr>
        <w:t xml:space="preserve">The submission build uses the approved biomass layer directly (Section 5) — sufficient for eligibility and for a defensible, citable methodology within the competition timeframe.</w:t>
      </w:r>
    </w:p>
    <w:p>
      <w:pPr>
        <w:pStyle w:val="Heading2"/>
        <w:spacing w:after="100" w:before="240"/>
      </w:pPr>
      <w:r>
        <w:rPr>
          <w:b/>
          <w:bCs/>
          <w:color w:val="C08A1E"/>
          <w:sz w:val="24"/>
          <w:szCs w:val="24"/>
        </w:rPr>
        <w:t xml:space="preserve">10.1 Empirical NDVI-based enrichment (optional)</w:t>
      </w:r>
    </w:p>
    <w:p>
      <w:pPr>
        <w:spacing w:after="120" w:line="276"/>
      </w:pPr>
      <w:r>
        <w:rPr>
          <w:sz w:val="21"/>
          <w:szCs w:val="21"/>
        </w:rPr>
        <w:t xml:space="preserve">NDVI/EVI regression calibrated against the approved biomass layer, useful for filling gaps between AGB epochs using Sentinel-2's 5-day revisit. Labelled clearly as a supplementary estimate, never substituted for the cited approved-source value.</w:t>
      </w:r>
    </w:p>
    <w:p>
      <w:pPr>
        <w:pStyle w:val="Heading2"/>
        <w:spacing w:after="100" w:before="240"/>
      </w:pPr>
      <w:r>
        <w:rPr>
          <w:b/>
          <w:bCs/>
          <w:color w:val="C08A1E"/>
          <w:sz w:val="24"/>
          <w:szCs w:val="24"/>
        </w:rPr>
        <w:t xml:space="preserve">10.2 Machine-learning enhancement (stretch goal, not required)</w:t>
      </w:r>
    </w:p>
    <w:p>
      <w:pPr>
        <w:spacing w:after="120" w:line="276"/>
      </w:pPr>
      <w:r>
        <w:rPr>
          <w:sz w:val="21"/>
          <w:szCs w:val="21"/>
        </w:rPr>
        <w:t xml:space="preserve">Random Forest or XGBoost regression against NDVI, EVI, SAVI, elevation, slope, rainfall, temperature, and land-cover class, trained against the approved biomass layer as the reference label. Only pursued once Section 8's dynamic dashboard is stable, and flagged as experimental if included.</w:t>
      </w:r>
    </w:p>
    <w:p>
      <w:pPr>
        <w:pStyle w:val="Heading1"/>
        <w:pBdr>
          <w:bottom w:val="single" w:color="1B4332" w:sz="8" w:space="4"/>
        </w:pBdr>
        <w:spacing w:after="160" w:before="320"/>
      </w:pPr>
      <w:r>
        <w:rPr>
          <w:b/>
          <w:bCs/>
          <w:color w:val="1B4332"/>
          <w:sz w:val="28"/>
          <w:szCs w:val="28"/>
        </w:rPr>
        <w:t xml:space="preserve">11. Carbon Sequestration &amp; Change Detection</w:t>
      </w:r>
    </w:p>
    <w:p>
      <w:pPr>
        <w:spacing w:after="120" w:line="276"/>
      </w:pPr>
      <w:r>
        <w:rPr>
          <w:sz w:val="21"/>
          <w:szCs w:val="21"/>
        </w:rPr>
        <w:t xml:space="preserve">Carbon Stock (Mg) = AGB (Mg) × 0.47.  CO₂-equivalent (Mg) = Carbon Stock (Mg) × 3.67.  Annual sequestration rate = (CO₂e₂ − CO₂e₁) / (year₂ − year₁), computed per selection, and feeds directly into the Degradation Urgency factor of the LCRI (Section 9).</w:t>
      </w:r>
    </w:p>
    <w:p>
      <w:pPr>
        <w:pStyle w:val="ListParagraph"/>
        <w:numPr>
          <w:ilvl w:val="0"/>
          <w:numId w:val="2"/>
        </w:numPr>
        <w:spacing w:after="60"/>
      </w:pPr>
      <w:r>
        <w:rPr>
          <w:sz w:val="21"/>
          <w:szCs w:val="21"/>
        </w:rPr>
        <w:t xml:space="preserve">Year-to-year biomass change maps (raster differencing across AGB epochs)</w:t>
      </w:r>
    </w:p>
    <w:p>
      <w:pPr>
        <w:pStyle w:val="ListParagraph"/>
        <w:numPr>
          <w:ilvl w:val="0"/>
          <w:numId w:val="2"/>
        </w:numPr>
        <w:spacing w:after="60"/>
      </w:pPr>
      <w:r>
        <w:rPr>
          <w:sz w:val="21"/>
          <w:szCs w:val="21"/>
        </w:rPr>
        <w:t xml:space="preserve">Deforestation / degradation detection (sustained negative change)</w:t>
      </w:r>
    </w:p>
    <w:p>
      <w:pPr>
        <w:pStyle w:val="ListParagraph"/>
        <w:numPr>
          <w:ilvl w:val="0"/>
          <w:numId w:val="2"/>
        </w:numPr>
        <w:spacing w:after="60"/>
      </w:pPr>
      <w:r>
        <w:rPr>
          <w:sz w:val="21"/>
          <w:szCs w:val="21"/>
        </w:rPr>
        <w:t xml:space="preserve">Reforestation gain mapping — expected strongest in Gishwati-Mukura, the district reforestation blocks, and any Umuganda-tagged community sites (Section 8.4)</w:t>
      </w:r>
    </w:p>
    <w:p>
      <w:pPr>
        <w:pStyle w:val="ListParagraph"/>
        <w:numPr>
          <w:ilvl w:val="0"/>
          <w:numId w:val="2"/>
        </w:numPr>
        <w:spacing w:after="60"/>
      </w:pPr>
      <w:r>
        <w:rPr>
          <w:sz w:val="21"/>
          <w:szCs w:val="21"/>
        </w:rPr>
        <w:t xml:space="preserve">Trend analysis: linear regression per zone, or Mann-Kendall test for robustness to noisy years</w:t>
      </w:r>
    </w:p>
    <w:p>
      <w:r>
        <w:br w:type="page"/>
      </w:r>
    </w:p>
    <w:p>
      <w:pPr>
        <w:pStyle w:val="Heading1"/>
        <w:pBdr>
          <w:bottom w:val="single" w:color="1B4332" w:sz="8" w:space="4"/>
        </w:pBdr>
        <w:spacing w:after="160" w:before="320"/>
      </w:pPr>
      <w:r>
        <w:rPr>
          <w:b/>
          <w:bCs/>
          <w:color w:val="1B4332"/>
          <w:sz w:val="28"/>
          <w:szCs w:val="28"/>
        </w:rPr>
        <w:t xml:space="preserve">12. The Reforestation Investment Simulator</w:t>
      </w:r>
    </w:p>
    <w:p>
      <w:pPr>
        <w:spacing w:after="120" w:line="276"/>
      </w:pPr>
      <w:r>
        <w:rPr>
          <w:sz w:val="21"/>
          <w:szCs w:val="21"/>
        </w:rPr>
        <w:t xml:space="preserve">This is the dashboard's core deliverable for a planner or funder, not a bonus feature. The workflow:</w:t>
      </w:r>
    </w:p>
    <w:p>
      <w:pPr>
        <w:pStyle w:val="ListParagraph"/>
        <w:numPr>
          <w:ilvl w:val="0"/>
          <w:numId w:val="2"/>
        </w:numPr>
        <w:spacing w:after="60"/>
      </w:pPr>
      <w:r>
        <w:rPr>
          <w:sz w:val="21"/>
          <w:szCs w:val="21"/>
        </w:rPr>
        <w:t xml:space="preserve">User selects a district (or any custom area) and enters either a hectare target or a budget in USD.</w:t>
      </w:r>
    </w:p>
    <w:p>
      <w:pPr>
        <w:pStyle w:val="ListParagraph"/>
        <w:numPr>
          <w:ilvl w:val="0"/>
          <w:numId w:val="2"/>
        </w:numPr>
        <w:spacing w:after="60"/>
      </w:pPr>
      <w:r>
        <w:rPr>
          <w:sz w:val="21"/>
          <w:szCs w:val="21"/>
        </w:rPr>
        <w:t xml:space="preserve">The dashboard pulls every LCRI-ranked candidate parcel within that area (Section 9) and returns the top-ranked shortlist that fits the target.</w:t>
      </w:r>
    </w:p>
    <w:p>
      <w:pPr>
        <w:pStyle w:val="ListParagraph"/>
        <w:numPr>
          <w:ilvl w:val="0"/>
          <w:numId w:val="2"/>
        </w:numPr>
        <w:spacing w:after="60"/>
      </w:pPr>
      <w:r>
        <w:rPr>
          <w:sz w:val="21"/>
          <w:szCs w:val="21"/>
        </w:rPr>
        <w:t xml:space="preserve">For each shortlisted parcel, the dashboard projects biomass and carbon-stock trajectories at year 5, 10, and 20 using the site type's typical growth curve (natural regrowth vs. plantation vs. degraded-buffer recovery, calibrated against the ranges in Section 4's baseline sites).</w:t>
      </w:r>
    </w:p>
    <w:p>
      <w:pPr>
        <w:pStyle w:val="ListParagraph"/>
        <w:numPr>
          <w:ilvl w:val="0"/>
          <w:numId w:val="2"/>
        </w:numPr>
        <w:spacing w:after="60"/>
      </w:pPr>
      <w:r>
        <w:rPr>
          <w:sz w:val="21"/>
          <w:szCs w:val="21"/>
        </w:rPr>
        <w:t xml:space="preserve">Projected CO₂e gain is converted into an indicative offset-revenue range using the adjustable USD/tCO₂e slider (Section 8.3), giving a rough payback picture alongside the carbon number.</w:t>
      </w:r>
    </w:p>
    <w:p>
      <w:pPr>
        <w:pStyle w:val="ListParagraph"/>
        <w:numPr>
          <w:ilvl w:val="0"/>
          <w:numId w:val="2"/>
        </w:numPr>
        <w:spacing w:after="60"/>
      </w:pPr>
      <w:r>
        <w:rPr>
          <w:sz w:val="21"/>
          <w:szCs w:val="21"/>
        </w:rPr>
        <w:t xml:space="preserve">The inverse view is also available: "if current degradation continues unaddressed in this area, projected carbon loss by [year] is Z" — turning the same engine into an urgency case for inaction, not only a pitch for investment.</w:t>
      </w:r>
    </w:p>
    <w:p>
      <w:pPr>
        <w:spacing w:after="120" w:line="276"/>
      </w:pPr>
      <w:r>
        <w:rPr>
          <w:sz w:val="21"/>
          <w:szCs w:val="21"/>
        </w:rPr>
        <w:t xml:space="preserve">Every number here is explicitly labelled indicative, not a certified valuation (Section 15.3) — the value of the simulator is in ranking and comparing options quickly, not in producing a bankable carbon-credit certificate.</w:t>
      </w:r>
    </w:p>
    <w:p>
      <w:pPr>
        <w:pStyle w:val="Heading1"/>
        <w:pBdr>
          <w:bottom w:val="single" w:color="1B4332" w:sz="8" w:space="4"/>
        </w:pBdr>
        <w:spacing w:after="160" w:before="320"/>
      </w:pPr>
      <w:r>
        <w:rPr>
          <w:b/>
          <w:bCs/>
          <w:color w:val="1B4332"/>
          <w:sz w:val="28"/>
          <w:szCs w:val="28"/>
        </w:rPr>
        <w:t xml:space="preserve">13. Dashboard Visualization (UI/UX)</w:t>
      </w:r>
    </w:p>
    <w:p>
      <w:pPr>
        <w:pStyle w:val="Heading2"/>
        <w:spacing w:after="100" w:before="240"/>
      </w:pPr>
      <w:r>
        <w:rPr>
          <w:b/>
          <w:bCs/>
          <w:color w:val="C08A1E"/>
          <w:sz w:val="24"/>
          <w:szCs w:val="24"/>
        </w:rPr>
        <w:t xml:space="preserve">13.1 Main map interface</w:t>
      </w:r>
    </w:p>
    <w:p>
      <w:pPr>
        <w:pStyle w:val="ListParagraph"/>
        <w:numPr>
          <w:ilvl w:val="0"/>
          <w:numId w:val="2"/>
        </w:numPr>
        <w:spacing w:after="60"/>
      </w:pPr>
      <w:r>
        <w:rPr>
          <w:sz w:val="21"/>
          <w:szCs w:val="21"/>
        </w:rPr>
        <w:t xml:space="preserve">Interactive biomass heatmap with forest-reserve boundaries, LCRI-ranked candidate parcels, and any active user or community selection overlaid</w:t>
      </w:r>
    </w:p>
    <w:p>
      <w:pPr>
        <w:pStyle w:val="ListParagraph"/>
        <w:numPr>
          <w:ilvl w:val="0"/>
          <w:numId w:val="2"/>
        </w:numPr>
        <w:spacing w:after="60"/>
      </w:pPr>
      <w:r>
        <w:rPr>
          <w:sz w:val="21"/>
          <w:szCs w:val="21"/>
        </w:rPr>
        <w:t xml:space="preserve">Time slider for temporal change across AGB epochs</w:t>
      </w:r>
    </w:p>
    <w:p>
      <w:pPr>
        <w:pStyle w:val="Heading2"/>
        <w:spacing w:after="100" w:before="240"/>
      </w:pPr>
      <w:r>
        <w:rPr>
          <w:b/>
          <w:bCs/>
          <w:color w:val="C08A1E"/>
          <w:sz w:val="24"/>
          <w:szCs w:val="24"/>
        </w:rPr>
        <w:t xml:space="preserve">13.2 KPI cards</w:t>
      </w:r>
    </w:p>
    <w:p>
      <w:pPr>
        <w:pStyle w:val="ListParagraph"/>
        <w:numPr>
          <w:ilvl w:val="0"/>
          <w:numId w:val="2"/>
        </w:numPr>
        <w:spacing w:after="60"/>
      </w:pPr>
      <w:r>
        <w:rPr>
          <w:sz w:val="21"/>
          <w:szCs w:val="21"/>
        </w:rPr>
        <w:t xml:space="preserve">Total biomass (Mg) for the current selection</w:t>
      </w:r>
    </w:p>
    <w:p>
      <w:pPr>
        <w:pStyle w:val="ListParagraph"/>
        <w:numPr>
          <w:ilvl w:val="0"/>
          <w:numId w:val="2"/>
        </w:numPr>
        <w:spacing w:after="60"/>
      </w:pPr>
      <w:r>
        <w:rPr>
          <w:sz w:val="21"/>
          <w:szCs w:val="21"/>
        </w:rPr>
        <w:t xml:space="preserve">Total carbon stock (Mg C)</w:t>
      </w:r>
    </w:p>
    <w:p>
      <w:pPr>
        <w:pStyle w:val="ListParagraph"/>
        <w:numPr>
          <w:ilvl w:val="0"/>
          <w:numId w:val="2"/>
        </w:numPr>
        <w:spacing w:after="60"/>
      </w:pPr>
      <w:r>
        <w:rPr>
          <w:sz w:val="21"/>
          <w:szCs w:val="21"/>
        </w:rPr>
        <w:t xml:space="preserve">CO₂-equivalent offset potential (Mg CO₂e)</w:t>
      </w:r>
    </w:p>
    <w:p>
      <w:pPr>
        <w:pStyle w:val="ListParagraph"/>
        <w:numPr>
          <w:ilvl w:val="0"/>
          <w:numId w:val="2"/>
        </w:numPr>
        <w:spacing w:after="60"/>
      </w:pPr>
      <w:r>
        <w:rPr>
          <w:sz w:val="21"/>
          <w:szCs w:val="21"/>
        </w:rPr>
        <w:t xml:space="preserve">Annual sequestration rate</w:t>
      </w:r>
    </w:p>
    <w:p>
      <w:pPr>
        <w:pStyle w:val="ListParagraph"/>
        <w:numPr>
          <w:ilvl w:val="0"/>
          <w:numId w:val="2"/>
        </w:numPr>
        <w:spacing w:after="60"/>
      </w:pPr>
      <w:r>
        <w:rPr>
          <w:sz w:val="21"/>
          <w:szCs w:val="21"/>
        </w:rPr>
        <w:t xml:space="preserve">Degraded area (%) within the selection</w:t>
      </w:r>
    </w:p>
    <w:p>
      <w:pPr>
        <w:pStyle w:val="ListParagraph"/>
        <w:numPr>
          <w:ilvl w:val="0"/>
          <w:numId w:val="2"/>
        </w:numPr>
        <w:spacing w:after="60"/>
      </w:pPr>
      <w:r>
        <w:rPr>
          <w:sz w:val="21"/>
          <w:szCs w:val="21"/>
        </w:rPr>
        <w:t xml:space="preserve">Top LCRI score within the selection, linking directly into the Investment Simulator (Section 12)</w:t>
      </w:r>
    </w:p>
    <w:p>
      <w:pPr>
        <w:pStyle w:val="Heading2"/>
        <w:spacing w:after="100" w:before="240"/>
      </w:pPr>
      <w:r>
        <w:rPr>
          <w:b/>
          <w:bCs/>
          <w:color w:val="C08A1E"/>
          <w:sz w:val="24"/>
          <w:szCs w:val="24"/>
        </w:rPr>
        <w:t xml:space="preserve">13.3 Charts</w:t>
      </w:r>
    </w:p>
    <w:p>
      <w:pPr>
        <w:pStyle w:val="ListParagraph"/>
        <w:numPr>
          <w:ilvl w:val="0"/>
          <w:numId w:val="2"/>
        </w:numPr>
        <w:spacing w:after="60"/>
      </w:pPr>
      <w:r>
        <w:rPr>
          <w:sz w:val="21"/>
          <w:szCs w:val="21"/>
        </w:rPr>
        <w:t xml:space="preserve">Time-series biomass trend for the current selection</w:t>
      </w:r>
    </w:p>
    <w:p>
      <w:pPr>
        <w:pStyle w:val="ListParagraph"/>
        <w:numPr>
          <w:ilvl w:val="0"/>
          <w:numId w:val="2"/>
        </w:numPr>
        <w:spacing w:after="60"/>
      </w:pPr>
      <w:r>
        <w:rPr>
          <w:sz w:val="21"/>
          <w:szCs w:val="21"/>
        </w:rPr>
        <w:t xml:space="preserve">Carbon-stock comparison across reserves/sites (bar chart)</w:t>
      </w:r>
    </w:p>
    <w:p>
      <w:pPr>
        <w:pStyle w:val="ListParagraph"/>
        <w:numPr>
          <w:ilvl w:val="0"/>
          <w:numId w:val="2"/>
        </w:numPr>
        <w:spacing w:after="60"/>
      </w:pPr>
      <w:r>
        <w:rPr>
          <w:sz w:val="21"/>
          <w:szCs w:val="21"/>
        </w:rPr>
        <w:t xml:space="preserve">LCRI-ranked candidate list for the selected district, with each factor's contribution shown, not just the final score</w:t>
      </w:r>
    </w:p>
    <w:p>
      <w:pPr>
        <w:pStyle w:val="ListParagraph"/>
        <w:numPr>
          <w:ilvl w:val="0"/>
          <w:numId w:val="2"/>
        </w:numPr>
        <w:spacing w:after="60"/>
      </w:pPr>
      <w:r>
        <w:rPr>
          <w:sz w:val="21"/>
          <w:szCs w:val="21"/>
        </w:rPr>
        <w:t xml:space="preserve">Community-submitted (Umuganda) sites over time, filterable by sector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CF3DC" w:val="clear"/>
            <w:tcMar>
              <w:top w:type="dxa" w:w="120"/>
              <w:left w:type="dxa" w:w="160"/>
              <w:bottom w:type="dxa" w:w="120"/>
              <w:right w:type="dxa" w:w="160"/>
            </w:tcMar>
          </w:tcPr>
          <w:p>
            <w:r>
              <w:rPr>
                <w:b/>
                <w:bCs/>
                <w:color w:val="8A5A00"/>
                <w:sz w:val="20"/>
                <w:szCs w:val="20"/>
              </w:rPr>
              <w:t xml:space="preserve">Clarity &amp; Communication criterion</w:t>
            </w:r>
          </w:p>
          <w:p>
            <w:pPr>
              <w:spacing w:before="40"/>
            </w:pPr>
            <w:r>
              <w:rPr>
                <w:sz w:val="20"/>
                <w:szCs w:val="20"/>
              </w:rPr>
              <w:t xml:space="preserve">Before submission, produce one annotated screenshot or 30-second screen-capture GIF of the live dashboard for the write-up itself — judges score visual and narrative impact directly, and a text-only proposal under-communicates a visual product.</w:t>
            </w:r>
          </w:p>
        </w:tc>
      </w:tr>
    </w:tbl>
    <w:p>
      <w:r>
        <w:br w:type="page"/>
      </w:r>
    </w:p>
    <w:p>
      <w:pPr>
        <w:pStyle w:val="Heading1"/>
        <w:pBdr>
          <w:bottom w:val="single" w:color="1B4332" w:sz="8" w:space="4"/>
        </w:pBdr>
        <w:spacing w:after="160" w:before="320"/>
      </w:pPr>
      <w:r>
        <w:rPr>
          <w:b/>
          <w:bCs/>
          <w:color w:val="1B4332"/>
          <w:sz w:val="28"/>
          <w:szCs w:val="28"/>
        </w:rPr>
        <w:t xml:space="preserve">14. Technical Architecture &amp; Submission Reliability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B4332" w:val="clear"/>
            <w:tcMar>
              <w:top w:type="dxa" w:w="80"/>
              <w:left w:type="dxa" w:w="100"/>
              <w:bottom w:type="dxa" w:w="80"/>
              <w:right w:type="dxa" w:w="100"/>
            </w:tcMar>
          </w:tcPr>
          <w:p>
            <w:r>
              <w:rPr>
                <w:b/>
                <w:bCs/>
                <w:color w:val="FFFFFF"/>
                <w:sz w:val="19"/>
                <w:szCs w:val="19"/>
              </w:rPr>
              <w:t xml:space="preserve">Layer</w:t>
            </w:r>
          </w:p>
        </w:tc>
        <w:tc>
          <w:tcPr>
            <w:tcW w:type="dxa" w:w="6750"/>
            <w:shd w:fill="1B4332" w:val="clear"/>
            <w:tcMar>
              <w:top w:type="dxa" w:w="80"/>
              <w:left w:type="dxa" w:w="100"/>
              <w:bottom w:type="dxa" w:w="80"/>
              <w:right w:type="dxa" w:w="100"/>
            </w:tcMar>
          </w:tcPr>
          <w:p>
            <w:r>
              <w:rPr>
                <w:b/>
                <w:bCs/>
                <w:color w:val="FFFFFF"/>
                <w:sz w:val="19"/>
                <w:szCs w:val="19"/>
              </w:rPr>
              <w:t xml:space="preserve">Tools</w:t>
            </w:r>
          </w:p>
        </w:tc>
      </w:tr>
      <w:tr>
        <w:tc>
          <w:tcPr>
            <w:tcW w:type="dxa" w:w="2600"/>
            <w:shd w:fill="FFFFFF" w:val="clear"/>
            <w:tcMar>
              <w:top w:type="dxa" w:w="80"/>
              <w:left w:type="dxa" w:w="100"/>
              <w:bottom w:type="dxa" w:w="80"/>
              <w:right w:type="dxa" w:w="100"/>
            </w:tcMar>
          </w:tcPr>
          <w:p>
            <w:r>
              <w:rPr>
                <w:sz w:val="19"/>
                <w:szCs w:val="19"/>
              </w:rPr>
              <w:t xml:space="preserve">Backend / processing</w:t>
            </w:r>
          </w:p>
        </w:tc>
        <w:tc>
          <w:tcPr>
            <w:tcW w:type="dxa" w:w="6750"/>
            <w:shd w:fill="FFFFFF" w:val="clear"/>
            <w:tcMar>
              <w:top w:type="dxa" w:w="80"/>
              <w:left w:type="dxa" w:w="100"/>
              <w:bottom w:type="dxa" w:w="80"/>
              <w:right w:type="dxa" w:w="100"/>
            </w:tcMar>
          </w:tcPr>
          <w:p>
            <w:r>
              <w:rPr>
                <w:sz w:val="19"/>
                <w:szCs w:val="19"/>
              </w:rPr>
              <w:t xml:space="preserve">Python (GeoPandas, Rasterio, scikit-learn); ArcGIS API for Python or REST calls to the Living Atlas image service for zonal statistics; LCRI scoring as a pure Python module, independently testable</w:t>
            </w:r>
          </w:p>
        </w:tc>
      </w:tr>
      <w:tr>
        <w:tc>
          <w:tcPr>
            <w:tcW w:type="dxa" w:w="2600"/>
            <w:shd w:fill="EFF5EF" w:val="clear"/>
            <w:tcMar>
              <w:top w:type="dxa" w:w="80"/>
              <w:left w:type="dxa" w:w="100"/>
              <w:bottom w:type="dxa" w:w="80"/>
              <w:right w:type="dxa" w:w="100"/>
            </w:tcMar>
          </w:tcPr>
          <w:p>
            <w:r>
              <w:rPr>
                <w:sz w:val="19"/>
                <w:szCs w:val="19"/>
              </w:rPr>
              <w:t xml:space="preserve">Data storage</w:t>
            </w:r>
          </w:p>
        </w:tc>
        <w:tc>
          <w:tcPr>
            <w:tcW w:type="dxa" w:w="6750"/>
            <w:shd w:fill="EFF5EF" w:val="clear"/>
            <w:tcMar>
              <w:top w:type="dxa" w:w="80"/>
              <w:left w:type="dxa" w:w="100"/>
              <w:bottom w:type="dxa" w:w="80"/>
              <w:right w:type="dxa" w:w="100"/>
            </w:tcMar>
          </w:tcPr>
          <w:p>
            <w:r>
              <w:rPr>
                <w:sz w:val="19"/>
                <w:szCs w:val="19"/>
              </w:rPr>
              <w:t xml:space="preserve">PostGIS for processed zonal-statistics tables and the Umuganda submission ledger</w:t>
            </w:r>
          </w:p>
        </w:tc>
      </w:tr>
      <w:tr>
        <w:tc>
          <w:tcPr>
            <w:tcW w:type="dxa" w:w="2600"/>
            <w:shd w:fill="FFFFFF" w:val="clear"/>
            <w:tcMar>
              <w:top w:type="dxa" w:w="80"/>
              <w:left w:type="dxa" w:w="100"/>
              <w:bottom w:type="dxa" w:w="80"/>
              <w:right w:type="dxa" w:w="100"/>
            </w:tcMar>
          </w:tcPr>
          <w:p>
            <w:r>
              <w:rPr>
                <w:sz w:val="19"/>
                <w:szCs w:val="19"/>
              </w:rPr>
              <w:t xml:space="preserve">Frontend dashboard</w:t>
            </w:r>
          </w:p>
        </w:tc>
        <w:tc>
          <w:tcPr>
            <w:tcW w:type="dxa" w:w="6750"/>
            <w:shd w:fill="FFFFFF" w:val="clear"/>
            <w:tcMar>
              <w:top w:type="dxa" w:w="80"/>
              <w:left w:type="dxa" w:w="100"/>
              <w:bottom w:type="dxa" w:w="80"/>
              <w:right w:type="dxa" w:w="100"/>
            </w:tcMar>
          </w:tcPr>
          <w:p>
            <w:r>
              <w:rPr>
                <w:sz w:val="19"/>
                <w:szCs w:val="19"/>
              </w:rPr>
              <w:t xml:space="preserve">Streamlit (fastest path to a deployable prototype); Dash/Plotly or React + Mapbox as a stretch upgrade</w:t>
            </w:r>
          </w:p>
        </w:tc>
      </w:tr>
      <w:tr>
        <w:tc>
          <w:tcPr>
            <w:tcW w:type="dxa" w:w="2600"/>
            <w:shd w:fill="EFF5EF" w:val="clear"/>
            <w:tcMar>
              <w:top w:type="dxa" w:w="80"/>
              <w:left w:type="dxa" w:w="100"/>
              <w:bottom w:type="dxa" w:w="80"/>
              <w:right w:type="dxa" w:w="100"/>
            </w:tcMar>
          </w:tcPr>
          <w:p>
            <w:r>
              <w:rPr>
                <w:sz w:val="19"/>
                <w:szCs w:val="19"/>
              </w:rPr>
              <w:t xml:space="preserve">GIS / preprocessing</w:t>
            </w:r>
          </w:p>
        </w:tc>
        <w:tc>
          <w:tcPr>
            <w:tcW w:type="dxa" w:w="6750"/>
            <w:shd w:fill="EFF5EF" w:val="clear"/>
            <w:tcMar>
              <w:top w:type="dxa" w:w="80"/>
              <w:left w:type="dxa" w:w="100"/>
              <w:bottom w:type="dxa" w:w="80"/>
              <w:right w:type="dxa" w:w="100"/>
            </w:tcMar>
          </w:tcPr>
          <w:p>
            <w:r>
              <w:rPr>
                <w:sz w:val="19"/>
                <w:szCs w:val="19"/>
              </w:rPr>
              <w:t xml:space="preserve">QGIS or ArcGIS Pro for one-off preprocessing</w:t>
            </w:r>
          </w:p>
        </w:tc>
      </w:tr>
    </w:tbl>
    <w:p>
      <w:pPr>
        <w:pStyle w:val="Heading2"/>
        <w:spacing w:after="100" w:before="240"/>
      </w:pPr>
      <w:r>
        <w:rPr>
          <w:b/>
          <w:bCs/>
          <w:color w:val="C08A1E"/>
          <w:sz w:val="24"/>
          <w:szCs w:val="24"/>
        </w:rPr>
        <w:t xml:space="preserve">14.1 Reliability plan</w:t>
      </w:r>
    </w:p>
    <w:p>
      <w:pPr>
        <w:spacing w:after="120" w:line="276"/>
      </w:pPr>
      <w:r>
        <w:rPr>
          <w:sz w:val="21"/>
          <w:szCs w:val="21"/>
        </w:rPr>
        <w:t xml:space="preserve">Judges open the submitted link cold, with no dependencies. A live dashboard that depends on a free-tier hosting service and a third-party image service is a single point of failure on judging day. Mitigations:</w:t>
      </w:r>
    </w:p>
    <w:p>
      <w:pPr>
        <w:pStyle w:val="ListParagraph"/>
        <w:numPr>
          <w:ilvl w:val="0"/>
          <w:numId w:val="2"/>
        </w:numPr>
        <w:spacing w:after="60"/>
      </w:pPr>
      <w:r>
        <w:rPr>
          <w:sz w:val="21"/>
          <w:szCs w:val="21"/>
        </w:rPr>
        <w:t xml:space="preserve">Deploy on Streamlit Community Cloud, but pin dependency versions and load-test the app the week before the deadline, not on submission day.</w:t>
      </w:r>
    </w:p>
    <w:p>
      <w:pPr>
        <w:pStyle w:val="ListParagraph"/>
        <w:numPr>
          <w:ilvl w:val="0"/>
          <w:numId w:val="2"/>
        </w:numPr>
        <w:spacing w:after="60"/>
      </w:pPr>
      <w:r>
        <w:rPr>
          <w:sz w:val="21"/>
          <w:szCs w:val="21"/>
        </w:rPr>
        <w:t xml:space="preserve">Cache a static snapshot of default-site zonal statistics and pre-computed LCRI scores locally so KPI cards, charts, and the ranked shortlist still render even if the live image-service call is slow or rate-limited; live queries remain available for custom and community selections.</w:t>
      </w:r>
    </w:p>
    <w:p>
      <w:pPr>
        <w:pStyle w:val="ListParagraph"/>
        <w:numPr>
          <w:ilvl w:val="0"/>
          <w:numId w:val="2"/>
        </w:numPr>
        <w:spacing w:after="60"/>
      </w:pPr>
      <w:r>
        <w:rPr>
          <w:sz w:val="21"/>
          <w:szCs w:val="21"/>
        </w:rPr>
        <w:t xml:space="preserve">Record a 90-second screen-capture walkthrough covering all four selection modes and one full Investment Simulator run, as a fallback video linked alongside the live URL.</w:t>
      </w:r>
    </w:p>
    <w:p>
      <w:pPr>
        <w:pStyle w:val="ListParagraph"/>
        <w:numPr>
          <w:ilvl w:val="0"/>
          <w:numId w:val="2"/>
        </w:numPr>
        <w:spacing w:after="60"/>
      </w:pPr>
      <w:r>
        <w:rPr>
          <w:sz w:val="21"/>
          <w:szCs w:val="21"/>
        </w:rPr>
        <w:t xml:space="preserve">No login or credential should ever be required of a judge — all authenticated calls to the approved-source image service happen server-side via a service account, never client-side.</w:t>
      </w:r>
    </w:p>
    <w:p>
      <w:pPr>
        <w:pStyle w:val="Heading1"/>
        <w:pBdr>
          <w:bottom w:val="single" w:color="1B4332" w:sz="8" w:space="4"/>
        </w:pBdr>
        <w:spacing w:after="160" w:before="320"/>
      </w:pPr>
      <w:r>
        <w:rPr>
          <w:b/>
          <w:bCs/>
          <w:color w:val="1B4332"/>
          <w:sz w:val="28"/>
          <w:szCs w:val="28"/>
        </w:rPr>
        <w:t xml:space="preserve">15. Validation, Governance &amp; Limitations</w:t>
      </w:r>
    </w:p>
    <w:p>
      <w:pPr>
        <w:pStyle w:val="Heading2"/>
        <w:spacing w:after="100" w:before="240"/>
      </w:pPr>
      <w:r>
        <w:rPr>
          <w:b/>
          <w:bCs/>
          <w:color w:val="C08A1E"/>
          <w:sz w:val="24"/>
          <w:szCs w:val="24"/>
        </w:rPr>
        <w:t xml:space="preserve">15.1 Validation</w:t>
      </w:r>
    </w:p>
    <w:p>
      <w:pPr>
        <w:pStyle w:val="ListParagraph"/>
        <w:numPr>
          <w:ilvl w:val="0"/>
          <w:numId w:val="2"/>
        </w:numPr>
        <w:spacing w:after="60"/>
      </w:pPr>
      <w:r>
        <w:rPr>
          <w:sz w:val="21"/>
          <w:szCs w:val="21"/>
        </w:rPr>
        <w:t xml:space="preserve">Comparison against published Rwanda/regional biomass literature (e.g., Nyungwe carbon-stock studies) to sanity-check magnitude</w:t>
      </w:r>
    </w:p>
    <w:p>
      <w:pPr>
        <w:pStyle w:val="ListParagraph"/>
        <w:numPr>
          <w:ilvl w:val="0"/>
          <w:numId w:val="2"/>
        </w:numPr>
        <w:spacing w:after="60"/>
      </w:pPr>
      <w:r>
        <w:rPr>
          <w:sz w:val="21"/>
          <w:szCs w:val="21"/>
        </w:rPr>
        <w:t xml:space="preserve">Cross-validation of any machine-learning enhancement (Section 10.2), with RMSE/MAE reported if used</w:t>
      </w:r>
    </w:p>
    <w:p>
      <w:pPr>
        <w:pStyle w:val="ListParagraph"/>
        <w:numPr>
          <w:ilvl w:val="0"/>
          <w:numId w:val="2"/>
        </w:numPr>
        <w:spacing w:after="60"/>
      </w:pPr>
      <w:r>
        <w:rPr>
          <w:sz w:val="21"/>
          <w:szCs w:val="21"/>
        </w:rPr>
        <w:t xml:space="preserve">LCRI weights sanity-checked against the known baseline sites (Section 4) before generalizing to unseen districts — Gishwati-Mukura should score high, a mature Nyungwe core should score low despite high biomass, since it has little carbon-gain headroom</w:t>
      </w:r>
    </w:p>
    <w:p>
      <w:pPr>
        <w:pStyle w:val="ListParagraph"/>
        <w:numPr>
          <w:ilvl w:val="0"/>
          <w:numId w:val="2"/>
        </w:numPr>
        <w:spacing w:after="60"/>
      </w:pPr>
      <w:r>
        <w:rPr>
          <w:sz w:val="21"/>
          <w:szCs w:val="21"/>
        </w:rPr>
        <w:t xml:space="preserve">Ground-truth biomass plots flagged as future work, not feasible within the competition timeframe</w:t>
      </w:r>
    </w:p>
    <w:p>
      <w:pPr>
        <w:pStyle w:val="Heading2"/>
        <w:spacing w:after="100" w:before="240"/>
      </w:pPr>
      <w:r>
        <w:rPr>
          <w:b/>
          <w:bCs/>
          <w:color w:val="C08A1E"/>
          <w:sz w:val="24"/>
          <w:szCs w:val="24"/>
        </w:rPr>
        <w:t xml:space="preserve">15.2 Data provenance &amp; governance</w:t>
      </w:r>
    </w:p>
    <w:p>
      <w:pPr>
        <w:pStyle w:val="ListParagraph"/>
        <w:numPr>
          <w:ilvl w:val="0"/>
          <w:numId w:val="2"/>
        </w:numPr>
        <w:spacing w:after="60"/>
      </w:pPr>
      <w:r>
        <w:rPr>
          <w:sz w:val="21"/>
          <w:szCs w:val="21"/>
        </w:rPr>
        <w:t xml:space="preserve">Every layer in the dashboard traceable to its source dataset, approved portal, and access date — populated with real dates, not left as a placeholder, before submission</w:t>
      </w:r>
    </w:p>
    <w:p>
      <w:pPr>
        <w:pStyle w:val="ListParagraph"/>
        <w:numPr>
          <w:ilvl w:val="0"/>
          <w:numId w:val="2"/>
        </w:numPr>
        <w:spacing w:after="60"/>
      </w:pPr>
      <w:r>
        <w:rPr>
          <w:sz w:val="21"/>
          <w:szCs w:val="21"/>
        </w:rPr>
        <w:t xml:space="preserve">Version control of any model, LCRI weighting, or methodology changes</w:t>
      </w:r>
    </w:p>
    <w:p>
      <w:pPr>
        <w:pStyle w:val="ListParagraph"/>
        <w:numPr>
          <w:ilvl w:val="0"/>
          <w:numId w:val="2"/>
        </w:numPr>
        <w:spacing w:after="60"/>
      </w:pPr>
      <w:r>
        <w:rPr>
          <w:sz w:val="21"/>
          <w:szCs w:val="21"/>
        </w:rPr>
        <w:t xml:space="preserve">Uncertainty reporting per layer, including the biomass layer's stated relative-error target</w:t>
      </w:r>
    </w:p>
    <w:p>
      <w:pPr>
        <w:pStyle w:val="ListParagraph"/>
        <w:numPr>
          <w:ilvl w:val="0"/>
          <w:numId w:val="2"/>
        </w:numPr>
        <w:spacing w:after="60"/>
      </w:pPr>
      <w:r>
        <w:rPr>
          <w:sz w:val="21"/>
          <w:szCs w:val="21"/>
        </w:rPr>
        <w:t xml:space="preserve">Data licensing compliance with the terms of use of every approved portal cited, and clear consent/attribution language for community (Umuganda) submissions</w:t>
      </w:r>
    </w:p>
    <w:p>
      <w:pPr>
        <w:pStyle w:val="Heading2"/>
        <w:spacing w:after="100" w:before="240"/>
      </w:pPr>
      <w:r>
        <w:rPr>
          <w:b/>
          <w:bCs/>
          <w:color w:val="C08A1E"/>
          <w:sz w:val="24"/>
          <w:szCs w:val="24"/>
        </w:rPr>
        <w:t xml:space="preserve">15.3 Limitations — stated openly, as methodological rigor rather than weakness</w:t>
      </w:r>
    </w:p>
    <w:p>
      <w:pPr>
        <w:pStyle w:val="ListParagraph"/>
        <w:numPr>
          <w:ilvl w:val="0"/>
          <w:numId w:val="2"/>
        </w:numPr>
        <w:spacing w:after="60"/>
      </w:pPr>
      <w:r>
        <w:rPr>
          <w:sz w:val="21"/>
          <w:szCs w:val="21"/>
        </w:rPr>
        <w:t xml:space="preserve">100 m resolution cannot resolve within-reserve degradation hotspots; Sentinel-2 NDVI is offered as a finer-grain supplementary layer</w:t>
      </w:r>
    </w:p>
    <w:p>
      <w:pPr>
        <w:pStyle w:val="ListParagraph"/>
        <w:numPr>
          <w:ilvl w:val="0"/>
          <w:numId w:val="2"/>
        </w:numPr>
        <w:spacing w:after="60"/>
      </w:pPr>
      <w:r>
        <w:rPr>
          <w:sz w:val="21"/>
          <w:szCs w:val="21"/>
        </w:rPr>
        <w:t xml:space="preserve">Carbon price and offset-revenue projections are illustrative/market-indicative via an adjustable slider, not a certified credit valuation</w:t>
      </w:r>
    </w:p>
    <w:p>
      <w:pPr>
        <w:pStyle w:val="ListParagraph"/>
        <w:numPr>
          <w:ilvl w:val="0"/>
          <w:numId w:val="2"/>
        </w:numPr>
        <w:spacing w:after="60"/>
      </w:pPr>
      <w:r>
        <w:rPr>
          <w:sz w:val="21"/>
          <w:szCs w:val="21"/>
        </w:rPr>
        <w:t xml:space="preserve">LCRI weights are a defensible starting point, not a validated optimum — presented as adjustable and explicitly open to local expert calibration, not a finished algorithm</w:t>
      </w:r>
    </w:p>
    <w:p>
      <w:pPr>
        <w:pStyle w:val="ListParagraph"/>
        <w:numPr>
          <w:ilvl w:val="0"/>
          <w:numId w:val="2"/>
        </w:numPr>
        <w:spacing w:after="60"/>
      </w:pPr>
      <w:r>
        <w:rPr>
          <w:sz w:val="21"/>
          <w:szCs w:val="21"/>
        </w:rPr>
        <w:t xml:space="preserve">Any machine-learning enhancement (Section 10.2) is unvalidated against ground truth and is labelled experimental if included</w:t>
      </w:r>
    </w:p>
    <w:p>
      <w:pPr>
        <w:pStyle w:val="ListParagraph"/>
        <w:numPr>
          <w:ilvl w:val="0"/>
          <w:numId w:val="2"/>
        </w:numPr>
        <w:spacing w:after="60"/>
      </w:pPr>
      <w:r>
        <w:rPr>
          <w:sz w:val="21"/>
          <w:szCs w:val="21"/>
        </w:rPr>
        <w:t xml:space="preserve">Community-submitted sites are self-reported and not independently verified beyond the satellite cross-check in Section 11 — flagged in the UI as "community-reported," not treated as equivalent to the satellite record</w:t>
      </w:r>
    </w:p>
    <w:p>
      <w:pPr>
        <w:pStyle w:val="Heading1"/>
        <w:pBdr>
          <w:bottom w:val="single" w:color="1B4332" w:sz="8" w:space="4"/>
        </w:pBdr>
        <w:spacing w:after="160" w:before="320"/>
      </w:pPr>
      <w:r>
        <w:rPr>
          <w:b/>
          <w:bCs/>
          <w:color w:val="1B4332"/>
          <w:sz w:val="28"/>
          <w:szCs w:val="28"/>
        </w:rPr>
        <w:t xml:space="preserve">16. Competitive Positioning vs. Prior Winners</w:t>
      </w:r>
    </w:p>
    <w:p>
      <w:pPr>
        <w:spacing w:after="120" w:line="276"/>
      </w:pPr>
      <w:r>
        <w:rPr>
          <w:sz w:val="21"/>
          <w:szCs w:val="21"/>
        </w:rPr>
        <w:t xml:space="preserve">The comparison below is deliberately literal — checkable against the public record of past winners (Hall of Fame, 2025 edition) — rather than a general claim of novelty.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2500"/>
        <w:gridCol w:w="2350"/>
        <w:gridCol w:w="2850"/>
      </w:tblGrid>
      <w:tr>
        <w:trPr>
          <w:tblHeader/>
        </w:trPr>
        <w:tc>
          <w:tcPr>
            <w:tcW w:type="dxa" w:w="1650"/>
            <w:shd w:fill="1B4332" w:val="clear"/>
            <w:tcMar>
              <w:top w:type="dxa" w:w="80"/>
              <w:left w:type="dxa" w:w="100"/>
              <w:bottom w:type="dxa" w:w="80"/>
              <w:right w:type="dxa" w:w="100"/>
            </w:tcMar>
          </w:tcPr>
          <w:p>
            <w:r>
              <w:rPr>
                <w:b/>
                <w:bCs/>
                <w:color w:val="FFFFFF"/>
                <w:sz w:val="19"/>
                <w:szCs w:val="19"/>
              </w:rPr>
              <w:t xml:space="preserve">Axis</w:t>
            </w:r>
          </w:p>
        </w:tc>
        <w:tc>
          <w:tcPr>
            <w:tcW w:type="dxa" w:w="2500"/>
            <w:shd w:fill="1B4332" w:val="clear"/>
            <w:tcMar>
              <w:top w:type="dxa" w:w="80"/>
              <w:left w:type="dxa" w:w="100"/>
              <w:bottom w:type="dxa" w:w="80"/>
              <w:right w:type="dxa" w:w="100"/>
            </w:tcMar>
          </w:tcPr>
          <w:p>
            <w:r>
              <w:rPr>
                <w:b/>
                <w:bCs/>
                <w:color w:val="FFFFFF"/>
                <w:sz w:val="19"/>
                <w:szCs w:val="19"/>
              </w:rPr>
              <w:t xml:space="preserve">2025 Forestry winner (story map)</w:t>
            </w:r>
          </w:p>
        </w:tc>
        <w:tc>
          <w:tcPr>
            <w:tcW w:type="dxa" w:w="2350"/>
            <w:shd w:fill="1B4332" w:val="clear"/>
            <w:tcMar>
              <w:top w:type="dxa" w:w="80"/>
              <w:left w:type="dxa" w:w="100"/>
              <w:bottom w:type="dxa" w:w="80"/>
              <w:right w:type="dxa" w:w="100"/>
            </w:tcMar>
          </w:tcPr>
          <w:p>
            <w:r>
              <w:rPr>
                <w:b/>
                <w:bCs/>
                <w:color w:val="FFFFFF"/>
                <w:sz w:val="19"/>
                <w:szCs w:val="19"/>
              </w:rPr>
              <w:t xml:space="preserve">2025 Seascape winner (dashboard)</w:t>
            </w:r>
          </w:p>
        </w:tc>
        <w:tc>
          <w:tcPr>
            <w:tcW w:type="dxa" w:w="2850"/>
            <w:shd w:fill="1B4332" w:val="clear"/>
            <w:tcMar>
              <w:top w:type="dxa" w:w="80"/>
              <w:left w:type="dxa" w:w="100"/>
              <w:bottom w:type="dxa" w:w="80"/>
              <w:right w:type="dxa" w:w="100"/>
            </w:tcMar>
          </w:tcPr>
          <w:p>
            <w:r>
              <w:rPr>
                <w:b/>
                <w:bCs/>
                <w:color w:val="FFFFFF"/>
                <w:sz w:val="19"/>
                <w:szCs w:val="19"/>
              </w:rPr>
              <w:t xml:space="preserve">This entry</w:t>
            </w:r>
          </w:p>
        </w:tc>
      </w:tr>
      <w:tr>
        <w:tc>
          <w:tcPr>
            <w:tcW w:type="dxa" w:w="1650"/>
            <w:shd w:fill="FFFFFF" w:val="clear"/>
            <w:tcMar>
              <w:top w:type="dxa" w:w="80"/>
              <w:left w:type="dxa" w:w="100"/>
              <w:bottom w:type="dxa" w:w="80"/>
              <w:right w:type="dxa" w:w="100"/>
            </w:tcMar>
          </w:tcPr>
          <w:p>
            <w:r>
              <w:rPr>
                <w:sz w:val="19"/>
                <w:szCs w:val="19"/>
              </w:rPr>
              <w:t xml:space="preserve">Format</w:t>
            </w:r>
          </w:p>
        </w:tc>
        <w:tc>
          <w:tcPr>
            <w:tcW w:type="dxa" w:w="2500"/>
            <w:shd w:fill="FFFFFF" w:val="clear"/>
            <w:tcMar>
              <w:top w:type="dxa" w:w="80"/>
              <w:left w:type="dxa" w:w="100"/>
              <w:bottom w:type="dxa" w:w="80"/>
              <w:right w:type="dxa" w:w="100"/>
            </w:tcMar>
          </w:tcPr>
          <w:p>
            <w:r>
              <w:rPr>
                <w:sz w:val="19"/>
                <w:szCs w:val="19"/>
              </w:rPr>
              <w:t xml:space="preserve">Narrative story map</w:t>
            </w:r>
          </w:p>
        </w:tc>
        <w:tc>
          <w:tcPr>
            <w:tcW w:type="dxa" w:w="2350"/>
            <w:shd w:fill="FFFFFF" w:val="clear"/>
            <w:tcMar>
              <w:top w:type="dxa" w:w="80"/>
              <w:left w:type="dxa" w:w="100"/>
              <w:bottom w:type="dxa" w:w="80"/>
              <w:right w:type="dxa" w:w="100"/>
            </w:tcMar>
          </w:tcPr>
          <w:p>
            <w:r>
              <w:rPr>
                <w:sz w:val="19"/>
                <w:szCs w:val="19"/>
              </w:rPr>
              <w:t xml:space="preserve">Data dashboard, fixed sites</w:t>
            </w:r>
          </w:p>
        </w:tc>
        <w:tc>
          <w:tcPr>
            <w:tcW w:type="dxa" w:w="2850"/>
            <w:shd w:fill="FFFFFF" w:val="clear"/>
            <w:tcMar>
              <w:top w:type="dxa" w:w="80"/>
              <w:left w:type="dxa" w:w="100"/>
              <w:bottom w:type="dxa" w:w="80"/>
              <w:right w:type="dxa" w:w="100"/>
            </w:tcMar>
          </w:tcPr>
          <w:p>
            <w:r>
              <w:rPr>
                <w:sz w:val="19"/>
                <w:szCs w:val="19"/>
              </w:rPr>
              <w:t xml:space="preserve">Data dashboard, ranking engine</w:t>
            </w:r>
          </w:p>
        </w:tc>
      </w:tr>
      <w:tr>
        <w:tc>
          <w:tcPr>
            <w:tcW w:type="dxa" w:w="1650"/>
            <w:shd w:fill="EFF5EF" w:val="clear"/>
            <w:tcMar>
              <w:top w:type="dxa" w:w="80"/>
              <w:left w:type="dxa" w:w="100"/>
              <w:bottom w:type="dxa" w:w="80"/>
              <w:right w:type="dxa" w:w="100"/>
            </w:tcMar>
          </w:tcPr>
          <w:p>
            <w:r>
              <w:rPr>
                <w:sz w:val="19"/>
                <w:szCs w:val="19"/>
              </w:rPr>
              <w:t xml:space="preserve">Temporal orientation</w:t>
            </w:r>
          </w:p>
        </w:tc>
        <w:tc>
          <w:tcPr>
            <w:tcW w:type="dxa" w:w="2500"/>
            <w:shd w:fill="EFF5EF" w:val="clear"/>
            <w:tcMar>
              <w:top w:type="dxa" w:w="80"/>
              <w:left w:type="dxa" w:w="100"/>
              <w:bottom w:type="dxa" w:w="80"/>
              <w:right w:type="dxa" w:w="100"/>
            </w:tcMar>
          </w:tcPr>
          <w:p>
            <w:r>
              <w:rPr>
                <w:sz w:val="19"/>
                <w:szCs w:val="19"/>
              </w:rPr>
              <w:t xml:space="preserve">Descriptive / narrative</w:t>
            </w:r>
          </w:p>
        </w:tc>
        <w:tc>
          <w:tcPr>
            <w:tcW w:type="dxa" w:w="2350"/>
            <w:shd w:fill="EFF5EF" w:val="clear"/>
            <w:tcMar>
              <w:top w:type="dxa" w:w="80"/>
              <w:left w:type="dxa" w:w="100"/>
              <w:bottom w:type="dxa" w:w="80"/>
              <w:right w:type="dxa" w:w="100"/>
            </w:tcMar>
          </w:tcPr>
          <w:p>
            <w:r>
              <w:rPr>
                <w:sz w:val="19"/>
                <w:szCs w:val="19"/>
              </w:rPr>
              <w:t xml:space="preserve">Descriptive / monitoring</w:t>
            </w:r>
          </w:p>
        </w:tc>
        <w:tc>
          <w:tcPr>
            <w:tcW w:type="dxa" w:w="2850"/>
            <w:shd w:fill="EFF5EF" w:val="clear"/>
            <w:tcMar>
              <w:top w:type="dxa" w:w="80"/>
              <w:left w:type="dxa" w:w="100"/>
              <w:bottom w:type="dxa" w:w="80"/>
              <w:right w:type="dxa" w:w="100"/>
            </w:tcMar>
          </w:tcPr>
          <w:p>
            <w:r>
              <w:rPr>
                <w:sz w:val="19"/>
                <w:szCs w:val="19"/>
              </w:rPr>
              <w:t xml:space="preserve">Prescriptive — where to act next</w:t>
            </w:r>
          </w:p>
        </w:tc>
      </w:tr>
      <w:tr>
        <w:tc>
          <w:tcPr>
            <w:tcW w:type="dxa" w:w="1650"/>
            <w:shd w:fill="FFFFFF" w:val="clear"/>
            <w:tcMar>
              <w:top w:type="dxa" w:w="80"/>
              <w:left w:type="dxa" w:w="100"/>
              <w:bottom w:type="dxa" w:w="80"/>
              <w:right w:type="dxa" w:w="100"/>
            </w:tcMar>
          </w:tcPr>
          <w:p>
            <w:r>
              <w:rPr>
                <w:sz w:val="19"/>
                <w:szCs w:val="19"/>
              </w:rPr>
              <w:t xml:space="preserve">Scope</w:t>
            </w:r>
          </w:p>
        </w:tc>
        <w:tc>
          <w:tcPr>
            <w:tcW w:type="dxa" w:w="2500"/>
            <w:shd w:fill="FFFFFF" w:val="clear"/>
            <w:tcMar>
              <w:top w:type="dxa" w:w="80"/>
              <w:left w:type="dxa" w:w="100"/>
              <w:bottom w:type="dxa" w:w="80"/>
              <w:right w:type="dxa" w:w="100"/>
            </w:tcMar>
          </w:tcPr>
          <w:p>
            <w:r>
              <w:rPr>
                <w:sz w:val="19"/>
                <w:szCs w:val="19"/>
              </w:rPr>
              <w:t xml:space="preserve">Two named parks, fixed</w:t>
            </w:r>
          </w:p>
        </w:tc>
        <w:tc>
          <w:tcPr>
            <w:tcW w:type="dxa" w:w="2350"/>
            <w:shd w:fill="FFFFFF" w:val="clear"/>
            <w:tcMar>
              <w:top w:type="dxa" w:w="80"/>
              <w:left w:type="dxa" w:w="100"/>
              <w:bottom w:type="dxa" w:w="80"/>
              <w:right w:type="dxa" w:w="100"/>
            </w:tcMar>
          </w:tcPr>
          <w:p>
            <w:r>
              <w:rPr>
                <w:sz w:val="19"/>
                <w:szCs w:val="19"/>
              </w:rPr>
              <w:t xml:space="preserve">Two named mangrove sites, fixed</w:t>
            </w:r>
          </w:p>
        </w:tc>
        <w:tc>
          <w:tcPr>
            <w:tcW w:type="dxa" w:w="2850"/>
            <w:shd w:fill="FFFFFF" w:val="clear"/>
            <w:tcMar>
              <w:top w:type="dxa" w:w="80"/>
              <w:left w:type="dxa" w:w="100"/>
              <w:bottom w:type="dxa" w:w="80"/>
              <w:right w:type="dxa" w:w="100"/>
            </w:tcMar>
          </w:tcPr>
          <w:p>
            <w:r>
              <w:rPr>
                <w:sz w:val="19"/>
                <w:szCs w:val="19"/>
              </w:rPr>
              <w:t xml:space="preserve">Any reserve, district, drawn area, or community-submitted site</w:t>
            </w:r>
          </w:p>
        </w:tc>
      </w:tr>
      <w:tr>
        <w:tc>
          <w:tcPr>
            <w:tcW w:type="dxa" w:w="1650"/>
            <w:shd w:fill="EFF5EF" w:val="clear"/>
            <w:tcMar>
              <w:top w:type="dxa" w:w="80"/>
              <w:left w:type="dxa" w:w="100"/>
              <w:bottom w:type="dxa" w:w="80"/>
              <w:right w:type="dxa" w:w="100"/>
            </w:tcMar>
          </w:tcPr>
          <w:p>
            <w:r>
              <w:rPr>
                <w:sz w:val="19"/>
                <w:szCs w:val="19"/>
              </w:rPr>
              <w:t xml:space="preserve">Local-action mechanism</w:t>
            </w:r>
          </w:p>
        </w:tc>
        <w:tc>
          <w:tcPr>
            <w:tcW w:type="dxa" w:w="2500"/>
            <w:shd w:fill="EFF5EF" w:val="clear"/>
            <w:tcMar>
              <w:top w:type="dxa" w:w="80"/>
              <w:left w:type="dxa" w:w="100"/>
              <w:bottom w:type="dxa" w:w="80"/>
              <w:right w:type="dxa" w:w="100"/>
            </w:tcMar>
          </w:tcPr>
          <w:p>
            <w:r>
              <w:rPr>
                <w:sz w:val="19"/>
                <w:szCs w:val="19"/>
              </w:rPr>
              <w:t xml:space="preserve">General restoration narrative</w:t>
            </w:r>
          </w:p>
        </w:tc>
        <w:tc>
          <w:tcPr>
            <w:tcW w:type="dxa" w:w="2350"/>
            <w:shd w:fill="EFF5EF" w:val="clear"/>
            <w:tcMar>
              <w:top w:type="dxa" w:w="80"/>
              <w:left w:type="dxa" w:w="100"/>
              <w:bottom w:type="dxa" w:w="80"/>
              <w:right w:type="dxa" w:w="100"/>
            </w:tcMar>
          </w:tcPr>
          <w:p>
            <w:r>
              <w:rPr>
                <w:sz w:val="19"/>
                <w:szCs w:val="19"/>
              </w:rPr>
              <w:t xml:space="preserve">Site health metrics over time</w:t>
            </w:r>
          </w:p>
        </w:tc>
        <w:tc>
          <w:tcPr>
            <w:tcW w:type="dxa" w:w="2850"/>
            <w:shd w:fill="EFF5EF" w:val="clear"/>
            <w:tcMar>
              <w:top w:type="dxa" w:w="80"/>
              <w:left w:type="dxa" w:w="100"/>
              <w:bottom w:type="dxa" w:w="80"/>
              <w:right w:type="dxa" w:w="100"/>
            </w:tcMar>
          </w:tcPr>
          <w:p>
            <w:r>
              <w:rPr>
                <w:sz w:val="19"/>
                <w:szCs w:val="19"/>
              </w:rPr>
              <w:t xml:space="preserve">Named LCRI ranking + Umuganda submission ledger</w:t>
            </w:r>
          </w:p>
        </w:tc>
      </w:tr>
      <w:tr>
        <w:tc>
          <w:tcPr>
            <w:tcW w:type="dxa" w:w="1650"/>
            <w:shd w:fill="FFFFFF" w:val="clear"/>
            <w:tcMar>
              <w:top w:type="dxa" w:w="80"/>
              <w:left w:type="dxa" w:w="100"/>
              <w:bottom w:type="dxa" w:w="80"/>
              <w:right w:type="dxa" w:w="100"/>
            </w:tcMar>
          </w:tcPr>
          <w:p>
            <w:r>
              <w:rPr>
                <w:sz w:val="19"/>
                <w:szCs w:val="19"/>
              </w:rPr>
              <w:t xml:space="preserve">Deliverable to a planner</w:t>
            </w:r>
          </w:p>
        </w:tc>
        <w:tc>
          <w:tcPr>
            <w:tcW w:type="dxa" w:w="2500"/>
            <w:shd w:fill="FFFFFF" w:val="clear"/>
            <w:tcMar>
              <w:top w:type="dxa" w:w="80"/>
              <w:left w:type="dxa" w:w="100"/>
              <w:bottom w:type="dxa" w:w="80"/>
              <w:right w:type="dxa" w:w="100"/>
            </w:tcMar>
          </w:tcPr>
          <w:p>
            <w:r>
              <w:rPr>
                <w:sz w:val="19"/>
                <w:szCs w:val="19"/>
              </w:rPr>
              <w:t xml:space="preserve">A restoration story</w:t>
            </w:r>
          </w:p>
        </w:tc>
        <w:tc>
          <w:tcPr>
            <w:tcW w:type="dxa" w:w="2350"/>
            <w:shd w:fill="FFFFFF" w:val="clear"/>
            <w:tcMar>
              <w:top w:type="dxa" w:w="80"/>
              <w:left w:type="dxa" w:w="100"/>
              <w:bottom w:type="dxa" w:w="80"/>
              <w:right w:type="dxa" w:w="100"/>
            </w:tcMar>
          </w:tcPr>
          <w:p>
            <w:r>
              <w:rPr>
                <w:sz w:val="19"/>
                <w:szCs w:val="19"/>
              </w:rPr>
              <w:t xml:space="preserve">A monitoring report</w:t>
            </w:r>
          </w:p>
        </w:tc>
        <w:tc>
          <w:tcPr>
            <w:tcW w:type="dxa" w:w="2850"/>
            <w:shd w:fill="FFFFFF" w:val="clear"/>
            <w:tcMar>
              <w:top w:type="dxa" w:w="80"/>
              <w:left w:type="dxa" w:w="100"/>
              <w:bottom w:type="dxa" w:w="80"/>
              <w:right w:type="dxa" w:w="100"/>
            </w:tcMar>
          </w:tcPr>
          <w:p>
            <w:r>
              <w:rPr>
                <w:sz w:val="19"/>
                <w:szCs w:val="19"/>
              </w:rPr>
              <w:t xml:space="preserve">A ranked shortlist with a projected budget and return</w:t>
            </w:r>
          </w:p>
        </w:tc>
      </w:tr>
    </w:tbl>
    <w:p>
      <w:pPr>
        <w:spacing w:after="120" w:line="276"/>
      </w:pPr>
      <w:r>
        <w:rPr>
          <w:sz w:val="21"/>
          <w:szCs w:val="21"/>
        </w:rPr>
        <w:t xml:space="preserve">This is a claim to state plainly in the submission write-up itself (not just this proposal), since "Creativity &amp; Originality" is scored against what already exists in the competition record, not against the field in general.</w:t>
      </w:r>
    </w:p>
    <w:p>
      <w:pPr>
        <w:pStyle w:val="Heading1"/>
        <w:pBdr>
          <w:bottom w:val="single" w:color="1B4332" w:sz="8" w:space="4"/>
        </w:pBdr>
        <w:spacing w:after="160" w:before="320"/>
      </w:pPr>
      <w:r>
        <w:rPr>
          <w:b/>
          <w:bCs/>
          <w:color w:val="1B4332"/>
          <w:sz w:val="28"/>
          <w:szCs w:val="28"/>
        </w:rPr>
        <w:t xml:space="preserve">17. Judging Criteria Alignment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B4332" w:val="clear"/>
            <w:tcMar>
              <w:top w:type="dxa" w:w="80"/>
              <w:left w:type="dxa" w:w="100"/>
              <w:bottom w:type="dxa" w:w="80"/>
              <w:right w:type="dxa" w:w="100"/>
            </w:tcMar>
          </w:tcPr>
          <w:p>
            <w:r>
              <w:rPr>
                <w:b/>
                <w:bCs/>
                <w:color w:val="FFFFFF"/>
                <w:sz w:val="19"/>
                <w:szCs w:val="19"/>
              </w:rPr>
              <w:t xml:space="preserve">Criterion</w:t>
            </w:r>
          </w:p>
        </w:tc>
        <w:tc>
          <w:tcPr>
            <w:tcW w:type="dxa" w:w="6750"/>
            <w:shd w:fill="1B4332" w:val="clear"/>
            <w:tcMar>
              <w:top w:type="dxa" w:w="80"/>
              <w:left w:type="dxa" w:w="100"/>
              <w:bottom w:type="dxa" w:w="80"/>
              <w:right w:type="dxa" w:w="100"/>
            </w:tcMar>
          </w:tcPr>
          <w:p>
            <w:r>
              <w:rPr>
                <w:b/>
                <w:bCs/>
                <w:color w:val="FFFFFF"/>
                <w:sz w:val="19"/>
                <w:szCs w:val="19"/>
              </w:rPr>
              <w:t xml:space="preserve">How this project meets it</w:t>
            </w:r>
          </w:p>
        </w:tc>
      </w:tr>
      <w:tr>
        <w:tc>
          <w:tcPr>
            <w:tcW w:type="dxa" w:w="2600"/>
            <w:shd w:fill="FFFFFF" w:val="clear"/>
            <w:tcMar>
              <w:top w:type="dxa" w:w="80"/>
              <w:left w:type="dxa" w:w="100"/>
              <w:bottom w:type="dxa" w:w="80"/>
              <w:right w:type="dxa" w:w="100"/>
            </w:tcMar>
          </w:tcPr>
          <w:p>
            <w:r>
              <w:rPr>
                <w:sz w:val="19"/>
                <w:szCs w:val="19"/>
              </w:rPr>
              <w:t xml:space="preserve">Theme Alignment</w:t>
            </w:r>
          </w:p>
        </w:tc>
        <w:tc>
          <w:tcPr>
            <w:tcW w:type="dxa" w:w="6750"/>
            <w:shd w:fill="FFFFFF" w:val="clear"/>
            <w:tcMar>
              <w:top w:type="dxa" w:w="80"/>
              <w:left w:type="dxa" w:w="100"/>
              <w:bottom w:type="dxa" w:w="80"/>
              <w:right w:type="dxa" w:w="100"/>
            </w:tcMar>
          </w:tcPr>
          <w:p>
            <w:r>
              <w:rPr>
                <w:sz w:val="19"/>
                <w:szCs w:val="19"/>
              </w:rPr>
              <w:t xml:space="preserve">Reforestation decisions and community planting data, ranked and quantified at any scale, link directly to global climate impact via CO₂e accounting</w:t>
            </w:r>
          </w:p>
        </w:tc>
      </w:tr>
      <w:tr>
        <w:tc>
          <w:tcPr>
            <w:tcW w:type="dxa" w:w="2600"/>
            <w:shd w:fill="EFF5EF" w:val="clear"/>
            <w:tcMar>
              <w:top w:type="dxa" w:w="80"/>
              <w:left w:type="dxa" w:w="100"/>
              <w:bottom w:type="dxa" w:w="80"/>
              <w:right w:type="dxa" w:w="100"/>
            </w:tcMar>
          </w:tcPr>
          <w:p>
            <w:r>
              <w:rPr>
                <w:sz w:val="19"/>
                <w:szCs w:val="19"/>
              </w:rPr>
              <w:t xml:space="preserve">Creativity &amp; Originality</w:t>
            </w:r>
          </w:p>
        </w:tc>
        <w:tc>
          <w:tcPr>
            <w:tcW w:type="dxa" w:w="6750"/>
            <w:shd w:fill="EFF5EF" w:val="clear"/>
            <w:tcMar>
              <w:top w:type="dxa" w:w="80"/>
              <w:left w:type="dxa" w:w="100"/>
              <w:bottom w:type="dxa" w:w="80"/>
              <w:right w:type="dxa" w:w="100"/>
            </w:tcMar>
          </w:tcPr>
          <w:p>
            <w:r>
              <w:rPr>
                <w:sz w:val="19"/>
                <w:szCs w:val="19"/>
              </w:rPr>
              <w:t xml:space="preserve">A named ranking index (LCRI) and a prescriptive investment simulator, plus a Umuganda community-data ledger — see Section 16 for the checkable comparison against 2025 winners</w:t>
            </w:r>
          </w:p>
        </w:tc>
      </w:tr>
      <w:tr>
        <w:tc>
          <w:tcPr>
            <w:tcW w:type="dxa" w:w="2600"/>
            <w:shd w:fill="FFFFFF" w:val="clear"/>
            <w:tcMar>
              <w:top w:type="dxa" w:w="80"/>
              <w:left w:type="dxa" w:w="100"/>
              <w:bottom w:type="dxa" w:w="80"/>
              <w:right w:type="dxa" w:w="100"/>
            </w:tcMar>
          </w:tcPr>
          <w:p>
            <w:r>
              <w:rPr>
                <w:sz w:val="19"/>
                <w:szCs w:val="19"/>
              </w:rPr>
              <w:t xml:space="preserve">Technical Quality</w:t>
            </w:r>
          </w:p>
        </w:tc>
        <w:tc>
          <w:tcPr>
            <w:tcW w:type="dxa" w:w="6750"/>
            <w:shd w:fill="FFFFFF" w:val="clear"/>
            <w:tcMar>
              <w:top w:type="dxa" w:w="80"/>
              <w:left w:type="dxa" w:w="100"/>
              <w:bottom w:type="dxa" w:w="80"/>
              <w:right w:type="dxa" w:w="100"/>
            </w:tcMar>
          </w:tcPr>
          <w:p>
            <w:r>
              <w:rPr>
                <w:sz w:val="19"/>
                <w:szCs w:val="19"/>
              </w:rPr>
              <w:t xml:space="preserve">Two genuinely approved datasets (Section 5), IPCC-standard conversion factors, a documented and reproducible scoring formula, server-side zonal statistics</w:t>
            </w:r>
          </w:p>
        </w:tc>
      </w:tr>
      <w:tr>
        <w:tc>
          <w:tcPr>
            <w:tcW w:type="dxa" w:w="2600"/>
            <w:shd w:fill="EFF5EF" w:val="clear"/>
            <w:tcMar>
              <w:top w:type="dxa" w:w="80"/>
              <w:left w:type="dxa" w:w="100"/>
              <w:bottom w:type="dxa" w:w="80"/>
              <w:right w:type="dxa" w:w="100"/>
            </w:tcMar>
          </w:tcPr>
          <w:p>
            <w:r>
              <w:rPr>
                <w:sz w:val="19"/>
                <w:szCs w:val="19"/>
              </w:rPr>
              <w:t xml:space="preserve">Clarity &amp; Communication</w:t>
            </w:r>
          </w:p>
        </w:tc>
        <w:tc>
          <w:tcPr>
            <w:tcW w:type="dxa" w:w="6750"/>
            <w:shd w:fill="EFF5EF" w:val="clear"/>
            <w:tcMar>
              <w:top w:type="dxa" w:w="80"/>
              <w:left w:type="dxa" w:w="100"/>
              <w:bottom w:type="dxa" w:w="80"/>
              <w:right w:type="dxa" w:w="100"/>
            </w:tcMar>
          </w:tcPr>
          <w:p>
            <w:r>
              <w:rPr>
                <w:sz w:val="19"/>
                <w:szCs w:val="19"/>
              </w:rPr>
              <w:t xml:space="preserve">KPI cards, map, ranked shortlist, and trend chart update live per selection; a recorded walkthrough backs up the live demo (Section 14.1)</w:t>
            </w:r>
          </w:p>
        </w:tc>
      </w:tr>
      <w:tr>
        <w:tc>
          <w:tcPr>
            <w:tcW w:type="dxa" w:w="2600"/>
            <w:shd w:fill="FFFFFF" w:val="clear"/>
            <w:tcMar>
              <w:top w:type="dxa" w:w="80"/>
              <w:left w:type="dxa" w:w="100"/>
              <w:bottom w:type="dxa" w:w="80"/>
              <w:right w:type="dxa" w:w="100"/>
            </w:tcMar>
          </w:tcPr>
          <w:p>
            <w:r>
              <w:rPr>
                <w:sz w:val="19"/>
                <w:szCs w:val="19"/>
              </w:rPr>
              <w:t xml:space="preserve">Relevance to Conservation</w:t>
            </w:r>
          </w:p>
        </w:tc>
        <w:tc>
          <w:tcPr>
            <w:tcW w:type="dxa" w:w="6750"/>
            <w:shd w:fill="FFFFFF" w:val="clear"/>
            <w:tcMar>
              <w:top w:type="dxa" w:w="80"/>
              <w:left w:type="dxa" w:w="100"/>
              <w:bottom w:type="dxa" w:w="80"/>
              <w:right w:type="dxa" w:w="100"/>
            </w:tcMar>
          </w:tcPr>
          <w:p>
            <w:r>
              <w:rPr>
                <w:sz w:val="19"/>
                <w:szCs w:val="19"/>
              </w:rPr>
              <w:t xml:space="preserve">Converts restoration into a rankable, fundable decision — not just a status report — for any site a planner, funder, or community group chooses</w:t>
            </w:r>
          </w:p>
        </w:tc>
      </w:tr>
    </w:tbl>
    <w:p>
      <w:pPr>
        <w:pStyle w:val="Heading1"/>
        <w:pBdr>
          <w:bottom w:val="single" w:color="1B4332" w:sz="8" w:space="4"/>
        </w:pBdr>
        <w:spacing w:after="160" w:before="320"/>
      </w:pPr>
      <w:r>
        <w:rPr>
          <w:b/>
          <w:bCs/>
          <w:color w:val="1B4332"/>
          <w:sz w:val="28"/>
          <w:szCs w:val="28"/>
        </w:rPr>
        <w:t xml:space="preserve">18. Submission Compliance Checklist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500"/>
        <w:gridCol w:w="3850"/>
      </w:tblGrid>
      <w:tr>
        <w:trPr>
          <w:tblHeader/>
        </w:trPr>
        <w:tc>
          <w:tcPr>
            <w:tcW w:type="dxa" w:w="5500"/>
            <w:shd w:fill="1B4332" w:val="clear"/>
            <w:tcMar>
              <w:top w:type="dxa" w:w="80"/>
              <w:left w:type="dxa" w:w="100"/>
              <w:bottom w:type="dxa" w:w="80"/>
              <w:right w:type="dxa" w:w="100"/>
            </w:tcMar>
          </w:tcPr>
          <w:p>
            <w:r>
              <w:rPr>
                <w:b/>
                <w:bCs/>
                <w:color w:val="FFFFFF"/>
                <w:sz w:val="19"/>
                <w:szCs w:val="19"/>
              </w:rPr>
              <w:t xml:space="preserve">Requirement (per official rules)</w:t>
            </w:r>
          </w:p>
        </w:tc>
        <w:tc>
          <w:tcPr>
            <w:tcW w:type="dxa" w:w="3850"/>
            <w:shd w:fill="1B4332" w:val="clear"/>
            <w:tcMar>
              <w:top w:type="dxa" w:w="80"/>
              <w:left w:type="dxa" w:w="100"/>
              <w:bottom w:type="dxa" w:w="80"/>
              <w:right w:type="dxa" w:w="100"/>
            </w:tcMar>
          </w:tcPr>
          <w:p>
            <w:r>
              <w:rPr>
                <w:b/>
                <w:bCs/>
                <w:color w:val="FFFFFF"/>
                <w:sz w:val="19"/>
                <w:szCs w:val="19"/>
              </w:rPr>
              <w:t xml:space="preserve">Status / action</w:t>
            </w:r>
          </w:p>
        </w:tc>
      </w:tr>
      <w:tr>
        <w:tc>
          <w:tcPr>
            <w:tcW w:type="dxa" w:w="5500"/>
            <w:shd w:fill="FFFFFF" w:val="clear"/>
            <w:tcMar>
              <w:top w:type="dxa" w:w="80"/>
              <w:left w:type="dxa" w:w="100"/>
              <w:bottom w:type="dxa" w:w="80"/>
              <w:right w:type="dxa" w:w="100"/>
            </w:tcMar>
          </w:tcPr>
          <w:p>
            <w:r>
              <w:rPr>
                <w:sz w:val="19"/>
                <w:szCs w:val="19"/>
              </w:rPr>
              <w:t xml:space="preserve">Individual submission (Professional category is individual, not team)</w:t>
            </w:r>
          </w:p>
        </w:tc>
        <w:tc>
          <w:tcPr>
            <w:tcW w:type="dxa" w:w="3850"/>
            <w:shd w:fill="FFFFFF" w:val="clear"/>
            <w:tcMar>
              <w:top w:type="dxa" w:w="80"/>
              <w:left w:type="dxa" w:w="100"/>
              <w:bottom w:type="dxa" w:w="80"/>
              <w:right w:type="dxa" w:w="100"/>
            </w:tcMar>
          </w:tcPr>
          <w:p>
            <w:r>
              <w:rPr>
                <w:sz w:val="19"/>
                <w:szCs w:val="19"/>
              </w:rPr>
              <w:t xml:space="preserve">Confirm sole-author or clearly credited co-author list before submission</w:t>
            </w:r>
          </w:p>
        </w:tc>
      </w:tr>
      <w:tr>
        <w:tc>
          <w:tcPr>
            <w:tcW w:type="dxa" w:w="5500"/>
            <w:shd w:fill="EFF5EF" w:val="clear"/>
            <w:tcMar>
              <w:top w:type="dxa" w:w="80"/>
              <w:left w:type="dxa" w:w="100"/>
              <w:bottom w:type="dxa" w:w="80"/>
              <w:right w:type="dxa" w:w="100"/>
            </w:tcMar>
          </w:tcPr>
          <w:p>
            <w:r>
              <w:rPr>
                <w:sz w:val="19"/>
                <w:szCs w:val="19"/>
              </w:rPr>
              <w:t xml:space="preserve">Register at rcoe-artsandmaps.rcmrd.org</w:t>
            </w:r>
          </w:p>
        </w:tc>
        <w:tc>
          <w:tcPr>
            <w:tcW w:type="dxa" w:w="3850"/>
            <w:shd w:fill="EFF5EF" w:val="clear"/>
            <w:tcMar>
              <w:top w:type="dxa" w:w="80"/>
              <w:left w:type="dxa" w:w="100"/>
              <w:bottom w:type="dxa" w:w="80"/>
              <w:right w:type="dxa" w:w="100"/>
            </w:tcMar>
          </w:tcPr>
          <w:p>
            <w:r>
              <w:rPr>
                <w:sz w:val="19"/>
                <w:szCs w:val="19"/>
              </w:rPr>
              <w:t xml:space="preserve">Complete before building begins, not deferred to August</w:t>
            </w:r>
          </w:p>
        </w:tc>
      </w:tr>
      <w:tr>
        <w:tc>
          <w:tcPr>
            <w:tcW w:type="dxa" w:w="5500"/>
            <w:shd w:fill="FFFFFF" w:val="clear"/>
            <w:tcMar>
              <w:top w:type="dxa" w:w="80"/>
              <w:left w:type="dxa" w:w="100"/>
              <w:bottom w:type="dxa" w:w="80"/>
              <w:right w:type="dxa" w:w="100"/>
            </w:tcMar>
          </w:tcPr>
          <w:p>
            <w:r>
              <w:rPr>
                <w:sz w:val="19"/>
                <w:szCs w:val="19"/>
              </w:rPr>
              <w:t xml:space="preserve">Attend the 3 guided webinars (formats, data sources, judging tips)</w:t>
            </w:r>
          </w:p>
        </w:tc>
        <w:tc>
          <w:tcPr>
            <w:tcW w:type="dxa" w:w="3850"/>
            <w:shd w:fill="FFFFFF" w:val="clear"/>
            <w:tcMar>
              <w:top w:type="dxa" w:w="80"/>
              <w:left w:type="dxa" w:w="100"/>
              <w:bottom w:type="dxa" w:w="80"/>
              <w:right w:type="dxa" w:w="100"/>
            </w:tcMar>
          </w:tcPr>
          <w:p>
            <w:r>
              <w:rPr>
                <w:sz w:val="19"/>
                <w:szCs w:val="19"/>
              </w:rPr>
              <w:t xml:space="preserve">Schedule against the timeline in Section 19; do not skip the data-sources webinar given the Section 5 compliance rework</w:t>
            </w:r>
          </w:p>
        </w:tc>
      </w:tr>
      <w:tr>
        <w:tc>
          <w:tcPr>
            <w:tcW w:type="dxa" w:w="5500"/>
            <w:shd w:fill="EFF5EF" w:val="clear"/>
            <w:tcMar>
              <w:top w:type="dxa" w:w="80"/>
              <w:left w:type="dxa" w:w="100"/>
              <w:bottom w:type="dxa" w:w="80"/>
              <w:right w:type="dxa" w:w="100"/>
            </w:tcMar>
          </w:tcPr>
          <w:p>
            <w:r>
              <w:rPr>
                <w:sz w:val="19"/>
                <w:szCs w:val="19"/>
              </w:rPr>
              <w:t xml:space="preserve">At least 2 datasets from the approved-source list, entries failing this are not eligible for judging</w:t>
            </w:r>
          </w:p>
        </w:tc>
        <w:tc>
          <w:tcPr>
            <w:tcW w:type="dxa" w:w="3850"/>
            <w:shd w:fill="EFF5EF" w:val="clear"/>
            <w:tcMar>
              <w:top w:type="dxa" w:w="80"/>
              <w:left w:type="dxa" w:w="100"/>
              <w:bottom w:type="dxa" w:w="80"/>
              <w:right w:type="dxa" w:w="100"/>
            </w:tcMar>
          </w:tcPr>
          <w:p>
            <w:r>
              <w:rPr>
                <w:sz w:val="19"/>
                <w:szCs w:val="19"/>
              </w:rPr>
              <w:t xml:space="preserve">Resolved — see Section 5 compliance table</w:t>
            </w:r>
          </w:p>
        </w:tc>
      </w:tr>
      <w:tr>
        <w:tc>
          <w:tcPr>
            <w:tcW w:type="dxa" w:w="5500"/>
            <w:shd w:fill="FFFFFF" w:val="clear"/>
            <w:tcMar>
              <w:top w:type="dxa" w:w="80"/>
              <w:left w:type="dxa" w:w="100"/>
              <w:bottom w:type="dxa" w:w="80"/>
              <w:right w:type="dxa" w:w="100"/>
            </w:tcMar>
          </w:tcPr>
          <w:p>
            <w:r>
              <w:rPr>
                <w:sz w:val="19"/>
                <w:szCs w:val="19"/>
              </w:rPr>
              <w:t xml:space="preserve">Submit by 31 August 2026</w:t>
            </w:r>
          </w:p>
        </w:tc>
        <w:tc>
          <w:tcPr>
            <w:tcW w:type="dxa" w:w="3850"/>
            <w:shd w:fill="FFFFFF" w:val="clear"/>
            <w:tcMar>
              <w:top w:type="dxa" w:w="80"/>
              <w:left w:type="dxa" w:w="100"/>
              <w:bottom w:type="dxa" w:w="80"/>
              <w:right w:type="dxa" w:w="100"/>
            </w:tcMar>
          </w:tcPr>
          <w:p>
            <w:r>
              <w:rPr>
                <w:sz w:val="19"/>
                <w:szCs w:val="19"/>
              </w:rPr>
              <w:t xml:space="preserve">Build in a buffer; see revised timeline, Section 19</w:t>
            </w:r>
          </w:p>
        </w:tc>
      </w:tr>
      <w:tr>
        <w:tc>
          <w:tcPr>
            <w:tcW w:type="dxa" w:w="5500"/>
            <w:shd w:fill="EFF5EF" w:val="clear"/>
            <w:tcMar>
              <w:top w:type="dxa" w:w="80"/>
              <w:left w:type="dxa" w:w="100"/>
              <w:bottom w:type="dxa" w:w="80"/>
              <w:right w:type="dxa" w:w="100"/>
            </w:tcMar>
          </w:tcPr>
          <w:p>
            <w:r>
              <w:rPr>
                <w:sz w:val="19"/>
                <w:szCs w:val="19"/>
              </w:rPr>
              <w:t xml:space="preserve">Entry must address Conservation and Climate Goals under the 2026 theme</w:t>
            </w:r>
          </w:p>
        </w:tc>
        <w:tc>
          <w:tcPr>
            <w:tcW w:type="dxa" w:w="3850"/>
            <w:shd w:fill="EFF5EF" w:val="clear"/>
            <w:tcMar>
              <w:top w:type="dxa" w:w="80"/>
              <w:left w:type="dxa" w:w="100"/>
              <w:bottom w:type="dxa" w:w="80"/>
              <w:right w:type="dxa" w:w="100"/>
            </w:tcMar>
          </w:tcPr>
          <w:p>
            <w:r>
              <w:rPr>
                <w:sz w:val="19"/>
                <w:szCs w:val="19"/>
              </w:rPr>
              <w:t xml:space="preserve">Met — Forestry sub-category, carbon/climate and community-action framing throughout</w:t>
            </w:r>
          </w:p>
        </w:tc>
      </w:tr>
    </w:tbl>
    <w:p>
      <w:pPr>
        <w:pStyle w:val="Heading1"/>
        <w:pBdr>
          <w:bottom w:val="single" w:color="1B4332" w:sz="8" w:space="4"/>
        </w:pBdr>
        <w:spacing w:after="160" w:before="320"/>
      </w:pPr>
      <w:r>
        <w:rPr>
          <w:b/>
          <w:bCs/>
          <w:color w:val="1B4332"/>
          <w:sz w:val="28"/>
          <w:szCs w:val="28"/>
        </w:rPr>
        <w:t xml:space="preserve">19. Timeline (Revised With Submission Buffer)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50"/>
      </w:tblGrid>
      <w:tr>
        <w:trPr>
          <w:tblHeader/>
        </w:trPr>
        <w:tc>
          <w:tcPr>
            <w:tcW w:type="dxa" w:w="700"/>
            <w:shd w:fill="1B4332" w:val="clear"/>
            <w:tcMar>
              <w:top w:type="dxa" w:w="80"/>
              <w:left w:type="dxa" w:w="100"/>
              <w:bottom w:type="dxa" w:w="80"/>
              <w:right w:type="dxa" w:w="100"/>
            </w:tcMar>
          </w:tcPr>
          <w:p>
            <w:r>
              <w:rPr>
                <w:b/>
                <w:bCs/>
                <w:color w:val="FFFFFF"/>
                <w:sz w:val="19"/>
                <w:szCs w:val="19"/>
              </w:rPr>
              <w:t xml:space="preserve">Phase</w:t>
            </w:r>
          </w:p>
        </w:tc>
        <w:tc>
          <w:tcPr>
            <w:tcW w:type="dxa" w:w="2500"/>
            <w:shd w:fill="1B4332" w:val="clear"/>
            <w:tcMar>
              <w:top w:type="dxa" w:w="80"/>
              <w:left w:type="dxa" w:w="100"/>
              <w:bottom w:type="dxa" w:w="80"/>
              <w:right w:type="dxa" w:w="100"/>
            </w:tcMar>
          </w:tcPr>
          <w:p>
            <w:r>
              <w:rPr>
                <w:b/>
                <w:bCs/>
                <w:color w:val="FFFFFF"/>
                <w:sz w:val="19"/>
                <w:szCs w:val="19"/>
              </w:rPr>
              <w:t xml:space="preserve">Window</w:t>
            </w:r>
          </w:p>
        </w:tc>
        <w:tc>
          <w:tcPr>
            <w:tcW w:type="dxa" w:w="6150"/>
            <w:shd w:fill="1B4332" w:val="clear"/>
            <w:tcMar>
              <w:top w:type="dxa" w:w="80"/>
              <w:left w:type="dxa" w:w="100"/>
              <w:bottom w:type="dxa" w:w="80"/>
              <w:right w:type="dxa" w:w="100"/>
            </w:tcMar>
          </w:tcPr>
          <w:p>
            <w:r>
              <w:rPr>
                <w:b/>
                <w:bCs/>
                <w:color w:val="FFFFFF"/>
                <w:sz w:val="19"/>
                <w:szCs w:val="19"/>
              </w:rPr>
              <w:t xml:space="preserve">Task</w:t>
            </w:r>
          </w:p>
        </w:tc>
      </w:tr>
      <w:tr>
        <w:tc>
          <w:tcPr>
            <w:tcW w:type="dxa" w:w="700"/>
            <w:shd w:fill="FFFFFF" w:val="clear"/>
            <w:tcMar>
              <w:top w:type="dxa" w:w="80"/>
              <w:left w:type="dxa" w:w="100"/>
              <w:bottom w:type="dxa" w:w="80"/>
              <w:right w:type="dxa" w:w="100"/>
            </w:tcMar>
          </w:tcPr>
          <w:p>
            <w:r>
              <w:rPr>
                <w:sz w:val="19"/>
                <w:szCs w:val="19"/>
              </w:rPr>
              <w:t xml:space="preserve">1</w:t>
            </w:r>
          </w:p>
        </w:tc>
        <w:tc>
          <w:tcPr>
            <w:tcW w:type="dxa" w:w="2500"/>
            <w:shd w:fill="FFFFFF" w:val="clear"/>
            <w:tcMar>
              <w:top w:type="dxa" w:w="80"/>
              <w:left w:type="dxa" w:w="100"/>
              <w:bottom w:type="dxa" w:w="80"/>
              <w:right w:type="dxa" w:w="100"/>
            </w:tcMar>
          </w:tcPr>
          <w:p>
            <w:r>
              <w:rPr>
                <w:sz w:val="19"/>
                <w:szCs w:val="19"/>
              </w:rPr>
              <w:t xml:space="preserve">Now – mid-July 2026</w:t>
            </w:r>
          </w:p>
        </w:tc>
        <w:tc>
          <w:tcPr>
            <w:tcW w:type="dxa" w:w="6150"/>
            <w:shd w:fill="FFFFFF" w:val="clear"/>
            <w:tcMar>
              <w:top w:type="dxa" w:w="80"/>
              <w:left w:type="dxa" w:w="100"/>
              <w:bottom w:type="dxa" w:w="80"/>
              <w:right w:type="dxa" w:w="100"/>
            </w:tcMar>
          </w:tcPr>
          <w:p>
            <w:r>
              <w:rPr>
                <w:sz w:val="19"/>
                <w:szCs w:val="19"/>
              </w:rPr>
              <w:t xml:space="preserve">Register; attend data-sources webinar; rebuild AGB pipeline on the approved Living Atlas layer (Section 5); boundary sourcing; build dynamic selection (admin/draw/upload/community)</w:t>
            </w:r>
          </w:p>
        </w:tc>
      </w:tr>
      <w:tr>
        <w:tc>
          <w:tcPr>
            <w:tcW w:type="dxa" w:w="700"/>
            <w:shd w:fill="EFF5EF" w:val="clear"/>
            <w:tcMar>
              <w:top w:type="dxa" w:w="80"/>
              <w:left w:type="dxa" w:w="100"/>
              <w:bottom w:type="dxa" w:w="80"/>
              <w:right w:type="dxa" w:w="100"/>
            </w:tcMar>
          </w:tcPr>
          <w:p>
            <w:r>
              <w:rPr>
                <w:sz w:val="19"/>
                <w:szCs w:val="19"/>
              </w:rPr>
              <w:t xml:space="preserve">2</w:t>
            </w:r>
          </w:p>
        </w:tc>
        <w:tc>
          <w:tcPr>
            <w:tcW w:type="dxa" w:w="2500"/>
            <w:shd w:fill="EFF5EF" w:val="clear"/>
            <w:tcMar>
              <w:top w:type="dxa" w:w="80"/>
              <w:left w:type="dxa" w:w="100"/>
              <w:bottom w:type="dxa" w:w="80"/>
              <w:right w:type="dxa" w:w="100"/>
            </w:tcMar>
          </w:tcPr>
          <w:p>
            <w:r>
              <w:rPr>
                <w:sz w:val="19"/>
                <w:szCs w:val="19"/>
              </w:rPr>
              <w:t xml:space="preserve">Mid–late July 2026</w:t>
            </w:r>
          </w:p>
        </w:tc>
        <w:tc>
          <w:tcPr>
            <w:tcW w:type="dxa" w:w="6150"/>
            <w:shd w:fill="EFF5EF" w:val="clear"/>
            <w:tcMar>
              <w:top w:type="dxa" w:w="80"/>
              <w:left w:type="dxa" w:w="100"/>
              <w:bottom w:type="dxa" w:w="80"/>
              <w:right w:type="dxa" w:w="100"/>
            </w:tcMar>
          </w:tcPr>
          <w:p>
            <w:r>
              <w:rPr>
                <w:sz w:val="19"/>
                <w:szCs w:val="19"/>
              </w:rPr>
              <w:t xml:space="preserve">Carbon/CO₂e conversion, sequestration rates, change detection; build and sanity-check the LCRI (Section 9); replace all placeholder figures with real zonal-statistics output</w:t>
            </w:r>
          </w:p>
        </w:tc>
      </w:tr>
      <w:tr>
        <w:tc>
          <w:tcPr>
            <w:tcW w:type="dxa" w:w="700"/>
            <w:shd w:fill="FFFFFF" w:val="clear"/>
            <w:tcMar>
              <w:top w:type="dxa" w:w="80"/>
              <w:left w:type="dxa" w:w="100"/>
              <w:bottom w:type="dxa" w:w="80"/>
              <w:right w:type="dxa" w:w="100"/>
            </w:tcMar>
          </w:tcPr>
          <w:p>
            <w:r>
              <w:rPr>
                <w:sz w:val="19"/>
                <w:szCs w:val="19"/>
              </w:rPr>
              <w:t xml:space="preserve">3</w:t>
            </w:r>
          </w:p>
        </w:tc>
        <w:tc>
          <w:tcPr>
            <w:tcW w:type="dxa" w:w="2500"/>
            <w:shd w:fill="FFFFFF" w:val="clear"/>
            <w:tcMar>
              <w:top w:type="dxa" w:w="80"/>
              <w:left w:type="dxa" w:w="100"/>
              <w:bottom w:type="dxa" w:w="80"/>
              <w:right w:type="dxa" w:w="100"/>
            </w:tcMar>
          </w:tcPr>
          <w:p>
            <w:r>
              <w:rPr>
                <w:sz w:val="19"/>
                <w:szCs w:val="19"/>
              </w:rPr>
              <w:t xml:space="preserve">Early August 2026</w:t>
            </w:r>
          </w:p>
        </w:tc>
        <w:tc>
          <w:tcPr>
            <w:tcW w:type="dxa" w:w="6150"/>
            <w:shd w:fill="FFFFFF" w:val="clear"/>
            <w:tcMar>
              <w:top w:type="dxa" w:w="80"/>
              <w:left w:type="dxa" w:w="100"/>
              <w:bottom w:type="dxa" w:w="80"/>
              <w:right w:type="dxa" w:w="100"/>
            </w:tcMar>
          </w:tcPr>
          <w:p>
            <w:r>
              <w:rPr>
                <w:sz w:val="19"/>
                <w:szCs w:val="19"/>
              </w:rPr>
              <w:t xml:space="preserve">Build the Investment Simulator (Section 12) and the Umuganda submission ledger (Section 8.4); dashboard deployment</w:t>
            </w:r>
          </w:p>
        </w:tc>
      </w:tr>
      <w:tr>
        <w:tc>
          <w:tcPr>
            <w:tcW w:type="dxa" w:w="700"/>
            <w:shd w:fill="EFF5EF" w:val="clear"/>
            <w:tcMar>
              <w:top w:type="dxa" w:w="80"/>
              <w:left w:type="dxa" w:w="100"/>
              <w:bottom w:type="dxa" w:w="80"/>
              <w:right w:type="dxa" w:w="100"/>
            </w:tcMar>
          </w:tcPr>
          <w:p>
            <w:r>
              <w:rPr>
                <w:sz w:val="19"/>
                <w:szCs w:val="19"/>
              </w:rPr>
              <w:t xml:space="preserve">4</w:t>
            </w:r>
          </w:p>
        </w:tc>
        <w:tc>
          <w:tcPr>
            <w:tcW w:type="dxa" w:w="2500"/>
            <w:shd w:fill="EFF5EF" w:val="clear"/>
            <w:tcMar>
              <w:top w:type="dxa" w:w="80"/>
              <w:left w:type="dxa" w:w="100"/>
              <w:bottom w:type="dxa" w:w="80"/>
              <w:right w:type="dxa" w:w="100"/>
            </w:tcMar>
          </w:tcPr>
          <w:p>
            <w:r>
              <w:rPr>
                <w:sz w:val="19"/>
                <w:szCs w:val="19"/>
              </w:rPr>
              <w:t xml:space="preserve">Mid-August 2026</w:t>
            </w:r>
          </w:p>
        </w:tc>
        <w:tc>
          <w:tcPr>
            <w:tcW w:type="dxa" w:w="6150"/>
            <w:shd w:fill="EFF5EF" w:val="clear"/>
            <w:tcMar>
              <w:top w:type="dxa" w:w="80"/>
              <w:left w:type="dxa" w:w="100"/>
              <w:bottom w:type="dxa" w:w="80"/>
              <w:right w:type="dxa" w:w="100"/>
            </w:tcMar>
          </w:tcPr>
          <w:p>
            <w:r>
              <w:rPr>
                <w:sz w:val="19"/>
                <w:szCs w:val="19"/>
              </w:rPr>
              <w:t xml:space="preserve">Validation against literature; record fallback walkthrough video (Section 14.1); load-test the live link</w:t>
            </w:r>
          </w:p>
        </w:tc>
      </w:tr>
      <w:tr>
        <w:tc>
          <w:tcPr>
            <w:tcW w:type="dxa" w:w="700"/>
            <w:shd w:fill="FFFFFF" w:val="clear"/>
            <w:tcMar>
              <w:top w:type="dxa" w:w="80"/>
              <w:left w:type="dxa" w:w="100"/>
              <w:bottom w:type="dxa" w:w="80"/>
              <w:right w:type="dxa" w:w="100"/>
            </w:tcMar>
          </w:tcPr>
          <w:p>
            <w:r>
              <w:rPr>
                <w:sz w:val="19"/>
                <w:szCs w:val="19"/>
              </w:rPr>
              <w:t xml:space="preserve">5</w:t>
            </w:r>
          </w:p>
        </w:tc>
        <w:tc>
          <w:tcPr>
            <w:tcW w:type="dxa" w:w="2500"/>
            <w:shd w:fill="FFFFFF" w:val="clear"/>
            <w:tcMar>
              <w:top w:type="dxa" w:w="80"/>
              <w:left w:type="dxa" w:w="100"/>
              <w:bottom w:type="dxa" w:w="80"/>
              <w:right w:type="dxa" w:w="100"/>
            </w:tcMar>
          </w:tcPr>
          <w:p>
            <w:r>
              <w:rPr>
                <w:sz w:val="19"/>
                <w:szCs w:val="19"/>
              </w:rPr>
              <w:t xml:space="preserve">18–24 August 2026</w:t>
            </w:r>
          </w:p>
        </w:tc>
        <w:tc>
          <w:tcPr>
            <w:tcW w:type="dxa" w:w="6150"/>
            <w:shd w:fill="FFFFFF" w:val="clear"/>
            <w:tcMar>
              <w:top w:type="dxa" w:w="80"/>
              <w:left w:type="dxa" w:w="100"/>
              <w:bottom w:type="dxa" w:w="80"/>
              <w:right w:type="dxa" w:w="100"/>
            </w:tcMar>
          </w:tcPr>
          <w:p>
            <w:r>
              <w:rPr>
                <w:sz w:val="19"/>
                <w:szCs w:val="19"/>
              </w:rPr>
              <w:t xml:space="preserve">External review pass — have someone open the link cold with no context, exactly as a judge would</w:t>
            </w:r>
          </w:p>
        </w:tc>
      </w:tr>
      <w:tr>
        <w:tc>
          <w:tcPr>
            <w:tcW w:type="dxa" w:w="700"/>
            <w:shd w:fill="EFF5EF" w:val="clear"/>
            <w:tcMar>
              <w:top w:type="dxa" w:w="80"/>
              <w:left w:type="dxa" w:w="100"/>
              <w:bottom w:type="dxa" w:w="80"/>
              <w:right w:type="dxa" w:w="100"/>
            </w:tcMar>
          </w:tcPr>
          <w:p>
            <w:r>
              <w:rPr>
                <w:sz w:val="19"/>
                <w:szCs w:val="19"/>
              </w:rPr>
              <w:t xml:space="preserve">6</w:t>
            </w:r>
          </w:p>
        </w:tc>
        <w:tc>
          <w:tcPr>
            <w:tcW w:type="dxa" w:w="2500"/>
            <w:shd w:fill="EFF5EF" w:val="clear"/>
            <w:tcMar>
              <w:top w:type="dxa" w:w="80"/>
              <w:left w:type="dxa" w:w="100"/>
              <w:bottom w:type="dxa" w:w="80"/>
              <w:right w:type="dxa" w:w="100"/>
            </w:tcMar>
          </w:tcPr>
          <w:p>
            <w:r>
              <w:rPr>
                <w:sz w:val="19"/>
                <w:szCs w:val="19"/>
              </w:rPr>
              <w:t xml:space="preserve">By 28 August 2026</w:t>
            </w:r>
          </w:p>
        </w:tc>
        <w:tc>
          <w:tcPr>
            <w:tcW w:type="dxa" w:w="6150"/>
            <w:shd w:fill="EFF5EF" w:val="clear"/>
            <w:tcMar>
              <w:top w:type="dxa" w:w="80"/>
              <w:left w:type="dxa" w:w="100"/>
              <w:bottom w:type="dxa" w:w="80"/>
              <w:right w:type="dxa" w:w="100"/>
            </w:tcMar>
          </w:tcPr>
          <w:p>
            <w:r>
              <w:rPr>
                <w:sz w:val="19"/>
                <w:szCs w:val="19"/>
              </w:rPr>
              <w:t xml:space="preserve">Final polish, documentation, submission — 3 days of buffer before the 31 August deadline</w:t>
            </w:r>
          </w:p>
        </w:tc>
      </w:tr>
    </w:tbl>
    <w:p>
      <w:pPr>
        <w:pStyle w:val="Heading1"/>
        <w:pBdr>
          <w:bottom w:val="single" w:color="1B4332" w:sz="8" w:space="4"/>
        </w:pBdr>
        <w:spacing w:after="160" w:before="320"/>
      </w:pPr>
      <w:r>
        <w:rPr>
          <w:b/>
          <w:bCs/>
          <w:color w:val="1B4332"/>
          <w:sz w:val="28"/>
          <w:szCs w:val="28"/>
        </w:rPr>
        <w:t xml:space="preserve">20. Output Products</w:t>
      </w:r>
    </w:p>
    <w:p>
      <w:pPr>
        <w:pStyle w:val="ListParagraph"/>
        <w:numPr>
          <w:ilvl w:val="0"/>
          <w:numId w:val="2"/>
        </w:numPr>
        <w:spacing w:after="60"/>
      </w:pPr>
      <w:r>
        <w:rPr>
          <w:sz w:val="21"/>
          <w:szCs w:val="21"/>
        </w:rPr>
        <w:t xml:space="preserve">Biomass maps (GeoTIFF)</w:t>
      </w:r>
    </w:p>
    <w:p>
      <w:pPr>
        <w:pStyle w:val="ListParagraph"/>
        <w:numPr>
          <w:ilvl w:val="0"/>
          <w:numId w:val="2"/>
        </w:numPr>
        <w:spacing w:after="60"/>
      </w:pPr>
      <w:r>
        <w:rPr>
          <w:sz w:val="21"/>
          <w:szCs w:val="21"/>
        </w:rPr>
        <w:t xml:space="preserve">Carbon-stock summary reports (PDF)</w:t>
      </w:r>
    </w:p>
    <w:p>
      <w:pPr>
        <w:pStyle w:val="ListParagraph"/>
        <w:numPr>
          <w:ilvl w:val="0"/>
          <w:numId w:val="2"/>
        </w:numPr>
        <w:spacing w:after="60"/>
      </w:pPr>
      <w:r>
        <w:rPr>
          <w:sz w:val="21"/>
          <w:szCs w:val="21"/>
        </w:rPr>
        <w:t xml:space="preserve">Zonal-statistics and LCRI-score tables (CSV) — per reserve, per district, and per custom or community-submitted selection</w:t>
      </w:r>
    </w:p>
    <w:p>
      <w:pPr>
        <w:pStyle w:val="ListParagraph"/>
        <w:numPr>
          <w:ilvl w:val="0"/>
          <w:numId w:val="2"/>
        </w:numPr>
        <w:spacing w:after="60"/>
      </w:pPr>
      <w:r>
        <w:rPr>
          <w:sz w:val="21"/>
          <w:szCs w:val="21"/>
        </w:rPr>
        <w:t xml:space="preserve">Reforestation-priority shortlists, ranked by LCRI, per district</w:t>
      </w:r>
    </w:p>
    <w:p>
      <w:pPr>
        <w:pStyle w:val="ListParagraph"/>
        <w:numPr>
          <w:ilvl w:val="0"/>
          <w:numId w:val="2"/>
        </w:numPr>
        <w:spacing w:after="60"/>
      </w:pPr>
      <w:r>
        <w:rPr>
          <w:sz w:val="21"/>
          <w:szCs w:val="21"/>
        </w:rPr>
        <w:t xml:space="preserve">Carbon credit / offset estimation summaries</w:t>
      </w:r>
    </w:p>
    <w:p>
      <w:pPr>
        <w:pStyle w:val="ListParagraph"/>
        <w:numPr>
          <w:ilvl w:val="0"/>
          <w:numId w:val="2"/>
        </w:numPr>
        <w:spacing w:after="60"/>
      </w:pPr>
      <w:r>
        <w:rPr>
          <w:sz w:val="21"/>
          <w:szCs w:val="21"/>
        </w:rPr>
        <w:t xml:space="preserve">Umuganda community-planting ledger export</w:t>
      </w:r>
    </w:p>
    <w:p>
      <w:pPr>
        <w:spacing w:before="400"/>
      </w:pPr>
      <w:r>
        <w:rPr>
          <w:i/>
          <w:iCs/>
          <w:color w:val="666666"/>
          <w:sz w:val="19"/>
          <w:szCs w:val="19"/>
        </w:rPr>
        <w:t xml:space="preserve">Prepared for the RCMRD Arts &amp; Maps Competition 2026 — Professional Category, Data Dashboard, Forestry Sub-Category.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2026-07-01T20:30:07.549Z</dcterms:created>
  <dcterms:modified xsi:type="dcterms:W3CDTF">2026-07-01T20:30:07.561Z</dcterms:modified>
</cp:coreProperties>
</file>

<file path=docProps/custom.xml><?xml version="1.0" encoding="utf-8"?>
<Properties xmlns="http://schemas.openxmlformats.org/officeDocument/2006/custom-properties" xmlns:vt="http://schemas.openxmlformats.org/officeDocument/2006/docPropsVTypes"/>
</file>