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Geschosshöhe ist Vorgabe, nicht Wahrheit.</w:t>
      </w:r>
      <w:r>
        <w:t xml:space="preserve"> Ein Geschoss trägt eine </w:t>
      </w:r>
      <w:r>
        <w:rPr>
          <w:b/>
          <w:bCs/>
        </w:rPr>
        <w:t xml:space="preserve">Geschosshöhe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Erfüllt die Geschosshöhe das Lagenraster COURSE = 200 mm (</w:t>
      </w:r>
      <w:r>
        <w:rPr>
          <w:b/>
          <w:bCs/>
        </w:rPr>
        <w:t xml:space="preserve">[G-2]</w:t>
      </w:r>
      <w:r>
        <w:t xml:space="preserve">) nicht, wird sie </w:t>
      </w:r>
      <w:r>
        <w:rPr>
          <w:b/>
          <w:bCs/>
        </w:rPr>
        <w:t xml:space="preserve">nicht still gerundet</w:t>
      </w:r>
      <w:r>
        <w:t xml:space="preserve">: die Abweichung wird beim Anlegen benannt und die Wandhöhe ausdrücklich gewählt.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gehen in keine Auswahl, keine Kollisionsprüfung (</w:t>
      </w:r>
      <w:r>
        <w:rPr>
          <w:b/>
          <w:bCs/>
        </w:rPr>
        <w:t xml:space="preserve">[K-13]</w:t>
      </w:r>
      <w:r>
        <w:t xml:space="preserve">) und keine Bemaßung ein, ihre Sichtbarkeit wird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Offen ist allein die Etappe C5 (Mappen-ZIP), die ebenfalls keine Regel dieses Kapitels berührt.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2026-08-08T16:23:21.472Z</dcterms:created>
  <dcterms:modified xsi:type="dcterms:W3CDTF">2026-08-08T16:23:21.473Z</dcterms:modified>
</cp:coreProperties>
</file>

<file path=docProps/custom.xml><?xml version="1.0" encoding="utf-8"?>
<Properties xmlns="http://schemas.openxmlformats.org/officeDocument/2006/custom-properties" xmlns:vt="http://schemas.openxmlformats.org/officeDocument/2006/docPropsVTypes"/>
</file>