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der Geschosseditor führt es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wird ausschließlich in Modul 1 gewählt;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und </w:t>
      </w:r>
      <w:r>
        <w:rPr>
          <w:b/>
          <w:bCs/>
        </w:rPr>
        <w:t xml:space="preserve">nur</w:t>
      </w:r>
      <w:r>
        <w:t xml:space="preserve"> hier, der Geschosseditor führt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Auf den Gesamtebenen und in den Exportdateien des zentralen ZIP stehen weiterhin die berechneten Mengen – das Blatt sagt das ausdrücklich. Eine gespeicherte Übersteuerung, die zu keiner gerechneten Position mehr passt, wird namentlich gemeldet und weder gelöscht noch umgehängt.</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w:t>
      </w:r>
      <w:r>
        <w:rPr>
          <w:b/>
          <w:bCs/>
        </w:rPr>
        <w:t xml:space="preserve">ausschließlich in Modul 1</w:t>
      </w:r>
      <w:r>
        <w:t xml:space="preserve"> (ein Schreibweg, </w:t>
      </w:r>
      <w:r>
        <w:rPr>
          <w:b/>
          <w:bCs/>
        </w:rPr>
        <w:t xml:space="preserve">[P-1]</w:t>
      </w:r>
      <w:r>
        <w:t xml:space="preserve">); der Geschosseditor </w:t>
      </w:r>
      <w:r>
        <w:rPr>
          <w:b/>
          <w:bCs/>
        </w:rPr>
        <w:t xml:space="preserve">führt sie beim Neuaufbau unverändert mit</w:t>
      </w:r>
      <w:r>
        <w:t xml:space="preserve">, ohne sie zu wählen.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auf den Mengenebenen über der Wand und in den Stücklistendateien des zentralen Exports –, wird das am Blatt </w:t>
      </w:r>
      <w:r>
        <w:rPr>
          <w:b/>
          <w:bCs/>
        </w:rPr>
        <w:t xml:space="preserve">gesagt</w:t>
      </w:r>
      <w:r>
        <w:t xml:space="preserve">, statt es zu unterschlagen. Im öffentlichen Projektformat ist der Abschnitt </w:t>
      </w:r>
      <w:r>
        <w:rPr>
          <w:b/>
          <w:bCs/>
        </w:rPr>
        <w:t xml:space="preserve">optional</w:t>
      </w:r>
      <w:r>
        <w:t xml:space="preserve">: ein Projekt ohne ihn lädt unverändert und ohne Übersteuerungen,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dieser Fassung sind: übersteuerbare Bezeichnungen, Einheiten, Preise und Einbauteil-IDs, ein Kommentarfeld je Position, eine Auswahl zwischen berechneter und angepasster Stückliste im zentralen Export sowie die Behandlung übersteuerter Mengen in einer Geschoss- oder Projektaggregation.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2026-08-15T16:47:53.057Z</dcterms:created>
  <dcterms:modified xsi:type="dcterms:W3CDTF">2026-08-15T16:47:53.058Z</dcterms:modified>
</cp:coreProperties>
</file>

<file path=docProps/custom.xml><?xml version="1.0" encoding="utf-8"?>
<Properties xmlns="http://schemas.openxmlformats.org/officeDocument/2006/custom-properties" xmlns:vt="http://schemas.openxmlformats.org/officeDocument/2006/docPropsVTypes"/>
</file>