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5A6470"/>
          <w:sz w:val="22"/>
          <w:szCs w:val="22"/>
        </w:rPr>
        <w:t xml:space="preserve">SEMBLA Planungs-Suite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Open-Source-Bausteine – Bewertungsmatrix &amp; Roadmap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</w:rPr>
        <w:t xml:space="preserve">Bewertung aktiv gepflegter OSS-Projekte als Fundament für den weiteren Ausbau. Stand: Juli 2026.</w:t>
      </w:r>
    </w:p>
    <w:p>
      <w:pPr>
        <w:pBdr>
          <w:bottom w:val="single" w:color="1F4E79" w:sz="2" w:space="6"/>
        </w:pBdr>
        <w:shd w:fill="1F4E79" w:val="clear"/>
        <w:spacing w:after="120" w:before="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TEIL 1 — Bewertung der Open-Source-Bausteine</w:t>
      </w:r>
    </w:p>
    <w:p>
      <w:pPr>
        <w:pStyle w:val="Heading1"/>
      </w:pPr>
      <w:r>
        <w:rPr>
          <w:rFonts w:ascii="Arial" w:cs="Arial" w:eastAsia="Arial" w:hAnsi="Arial"/>
        </w:rPr>
        <w:t xml:space="preserve">1 · Bewertungsmethodik</w:t>
      </w:r>
    </w:p>
    <w:p>
      <w:pPr>
        <w:spacing w:after="120"/>
      </w:pPr>
      <w:r>
        <w:rPr>
          <w:rFonts w:ascii="Arial" w:cs="Arial" w:eastAsia="Arial" w:hAnsi="Arial"/>
        </w:rPr>
        <w:t xml:space="preserve">Jedes Projekt wird auf einer Skala von 1 (schwach) bis 5 (sehr gut) je Kriterium bewertet. Der gewichtete Gesamtscore (ebenfalls 1–5) ergibt sich aus den folgenden Kriterien und Gewichten:</w:t>
      </w:r>
    </w:p>
    <w:tbl>
      <w:tblPr>
        <w:tblW w:type="dxa" w:w="1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  <w:gridCol w:w="1500"/>
      </w:tblGrid>
      <w:tr>
        <w:trPr>
          <w:tblHeader/>
        </w:trPr>
        <w:tc>
          <w:tcPr>
            <w:tcW w:type="dxa" w:w="32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Kriterium</w:t>
            </w:r>
          </w:p>
        </w:tc>
        <w:tc>
          <w:tcPr>
            <w:tcW w:type="dxa" w:w="70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Gewicht</w:t>
            </w:r>
          </w:p>
        </w:tc>
      </w:tr>
      <w:tr>
        <w:tc>
          <w:tcPr>
            <w:tcW w:type="dxa" w:w="32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Nutzen</w:t>
            </w:r>
          </w:p>
        </w:tc>
        <w:tc>
          <w:tcPr>
            <w:tcW w:type="dxa" w:w="70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3202E"/>
                <w:sz w:val="18"/>
                <w:szCs w:val="18"/>
              </w:rPr>
              <w:t xml:space="preserve">Erwarteter Mehrwert für die SEMBLA-Suite (Interoperabilität, Funktionssprung).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30 %</w:t>
            </w:r>
          </w:p>
        </w:tc>
      </w:tr>
      <w:tr>
        <w:tc>
          <w:tcPr>
            <w:tcW w:type="dxa" w:w="32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Reife &amp; Aktivität</w:t>
            </w:r>
          </w:p>
        </w:tc>
        <w:tc>
          <w:tcPr>
            <w:tcW w:type="dxa" w:w="70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3202E"/>
                <w:sz w:val="18"/>
                <w:szCs w:val="18"/>
              </w:rPr>
              <w:t xml:space="preserve">Projektreife, Community, Pflegestand, Stabilität der API.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20 %</w:t>
            </w:r>
          </w:p>
        </w:tc>
      </w:tr>
      <w:tr>
        <w:tc>
          <w:tcPr>
            <w:tcW w:type="dxa" w:w="32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Stack-Passung</w:t>
            </w:r>
          </w:p>
        </w:tc>
        <w:tc>
          <w:tcPr>
            <w:tcW w:type="dxa" w:w="70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3202E"/>
                <w:sz w:val="18"/>
                <w:szCs w:val="18"/>
              </w:rPr>
              <w:t xml:space="preserve">Passt es zum bestehenden Stack (JS/WASM im Browser, Python in pyRevit/Core)?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20 %</w:t>
            </w:r>
          </w:p>
        </w:tc>
      </w:tr>
      <w:tr>
        <w:tc>
          <w:tcPr>
            <w:tcW w:type="dxa" w:w="32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Aufwand¹</w:t>
            </w:r>
          </w:p>
        </w:tc>
        <w:tc>
          <w:tcPr>
            <w:tcW w:type="dxa" w:w="70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3202E"/>
                <w:sz w:val="18"/>
                <w:szCs w:val="18"/>
              </w:rPr>
              <w:t xml:space="preserve">Integrationsaufwand – invers bewertet (5 = geringer Aufwand).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15 %</w:t>
            </w:r>
          </w:p>
        </w:tc>
      </w:tr>
      <w:tr>
        <w:tc>
          <w:tcPr>
            <w:tcW w:type="dxa" w:w="32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Lizenz-Eignung</w:t>
            </w:r>
          </w:p>
        </w:tc>
        <w:tc>
          <w:tcPr>
            <w:tcW w:type="dxa" w:w="70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3202E"/>
                <w:sz w:val="18"/>
                <w:szCs w:val="18"/>
              </w:rPr>
              <w:t xml:space="preserve">Eignung für interne Nutzung und spätere Produktisierung.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15 %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 · Bewertungsmatrix</w:t>
      </w:r>
    </w:p>
    <w:tbl>
      <w:tblPr>
        <w:tblW w:type="dxa" w:w="12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350"/>
        <w:gridCol w:w="900"/>
        <w:gridCol w:w="900"/>
        <w:gridCol w:w="950"/>
        <w:gridCol w:w="1050"/>
        <w:gridCol w:w="1150"/>
        <w:gridCol w:w="1150"/>
        <w:gridCol w:w="900"/>
      </w:tblGrid>
      <w:tr>
        <w:trPr>
          <w:tblHeader/>
        </w:trP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Projekt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Lizenz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Nutzen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Reife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Passung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Aufwand¹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Lizenz-Eignung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Gesamt²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</w:tr>
      <w:t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web-ifc (ThatOpen)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JS / WASM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MPL-2.0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4,70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IfcOpenShell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Python / C++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LGPL-3.0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4,20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ezdxf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Python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MIT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4,20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ThatOpen Components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JS / WebGL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MPL-2.0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4,05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Speckle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JS + Server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Apache-2.0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020"/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4,05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PyNite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Python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MIT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3,70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SVGnest / Deepnest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JS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MIT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3,70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planegcs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JS / WASM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LGPL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020"/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3,55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OpenCascade.js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JS / WASM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LGPL-2.1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020"/>
                <w:sz w:val="18"/>
                <w:szCs w:val="18"/>
              </w:rPr>
              <w:t xml:space="preserve">1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3,40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anaStruct</w:t>
            </w:r>
          </w:p>
        </w:tc>
        <w:tc>
          <w:tcPr>
            <w:tcW w:type="dxa" w:w="15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Python</w:t>
            </w:r>
          </w:p>
        </w:tc>
        <w:tc>
          <w:tcPr>
            <w:tcW w:type="dxa" w:w="13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GPL-3.0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6A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D"/>
                <w:sz w:val="18"/>
                <w:szCs w:val="18"/>
              </w:rPr>
              <w:t xml:space="preserve">4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020"/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3,40</w:t>
            </w:r>
          </w:p>
        </w:tc>
        <w:tc>
          <w:tcPr>
            <w:tcW w:type="dxa" w:w="9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10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color w:val="5A6470"/>
          <w:sz w:val="16"/>
          <w:szCs w:val="16"/>
        </w:rPr>
        <w:t xml:space="preserve">¹ Aufwand ist invers bewertet: 5 = geringer Integrationsaufwand.   ² Gewichteter Gesamtscore (1–5), sortiert absteigend.  Farbe: grün ≥ 4, gelb 3–3,9, rot &lt; 3.</w:t>
      </w:r>
    </w:p>
    <w:p>
      <w:pPr>
        <w:pStyle w:val="Heading1"/>
      </w:pPr>
      <w:r>
        <w:rPr>
          <w:rFonts w:ascii="Arial" w:cs="Arial" w:eastAsia="Arial" w:hAnsi="Arial"/>
        </w:rPr>
        <w:t xml:space="preserve">3 · Kurzprofile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1. web-ifc (ThatOpen)  </w:t>
      </w:r>
      <w:r>
        <w:rPr>
          <w:rFonts w:ascii="Arial" w:cs="Arial" w:eastAsia="Arial" w:hAnsi="Arial"/>
          <w:color w:val="5A6470"/>
        </w:rPr>
        <w:t xml:space="preserve">(JS / WASM, MPL-2.0, Score 4,70): </w:t>
      </w:r>
      <w:r>
        <w:rPr>
          <w:rFonts w:ascii="Arial" w:cs="Arial" w:eastAsia="Arial" w:hAnsi="Arial"/>
        </w:rPr>
        <w:t xml:space="preserve">IFC lesen/schreiben „at native speed“ im Browser &amp; Node – ersetzt den handgeschriebenen IFC-Export durch eine gepflegte, normkonforme Bibliothek.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2. IfcOpenShell  </w:t>
      </w:r>
      <w:r>
        <w:rPr>
          <w:rFonts w:ascii="Arial" w:cs="Arial" w:eastAsia="Arial" w:hAnsi="Arial"/>
          <w:color w:val="5A6470"/>
        </w:rPr>
        <w:t xml:space="preserve">(Python / C++, LGPL-3.0, Score 4,20): </w:t>
      </w:r>
      <w:r>
        <w:rPr>
          <w:rFonts w:ascii="Arial" w:cs="Arial" w:eastAsia="Arial" w:hAnsi="Arial"/>
        </w:rPr>
        <w:t xml:space="preserve">De-facto-Standard für IFC-Erzeugung &amp; -Geometrie auf der pyRevit/Python-Seite; inkl. IfcConvert und Blender-Authoring (Bonsai).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3. ezdxf  </w:t>
      </w:r>
      <w:r>
        <w:rPr>
          <w:rFonts w:ascii="Arial" w:cs="Arial" w:eastAsia="Arial" w:hAnsi="Arial"/>
          <w:color w:val="5A6470"/>
        </w:rPr>
        <w:t xml:space="preserve">(Python, MIT, Score 4,20): </w:t>
      </w:r>
      <w:r>
        <w:rPr>
          <w:rFonts w:ascii="Arial" w:cs="Arial" w:eastAsia="Arial" w:hAnsi="Arial"/>
        </w:rPr>
        <w:t xml:space="preserve">Robuste, normnahe DXF/DWG-Ausgabe – leichtgewichtig (pip), einfache API. Ideal, um den DXF-Export sauber und wartbar zu machen.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4. ThatOpen Components  </w:t>
      </w:r>
      <w:r>
        <w:rPr>
          <w:rFonts w:ascii="Arial" w:cs="Arial" w:eastAsia="Arial" w:hAnsi="Arial"/>
          <w:color w:val="5A6470"/>
        </w:rPr>
        <w:t xml:space="preserve">(JS / WebGL, MPL-2.0, Score 4,05): </w:t>
      </w:r>
      <w:r>
        <w:rPr>
          <w:rFonts w:ascii="Arial" w:cs="Arial" w:eastAsia="Arial" w:hAnsi="Arial"/>
        </w:rPr>
        <w:t xml:space="preserve">Modularer BIM-Viewer (Messen, Clash, Fragments-Format) – baut die Three.js-3D-Vorschau zu einem echten IFC-Viewer aus.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5. Speckle  </w:t>
      </w:r>
      <w:r>
        <w:rPr>
          <w:rFonts w:ascii="Arial" w:cs="Arial" w:eastAsia="Arial" w:hAnsi="Arial"/>
          <w:color w:val="5A6470"/>
        </w:rPr>
        <w:t xml:space="preserve">(JS + Server, Apache-2.0, Score 4,05): </w:t>
      </w:r>
      <w:r>
        <w:rPr>
          <w:rFonts w:ascii="Arial" w:cs="Arial" w:eastAsia="Arial" w:hAnsi="Arial"/>
        </w:rPr>
        <w:t xml:space="preserve">Versionierte AEC-Datenplattform (Git-artige Historie, Live-Sync mit Revit/Rhino) – strategischer Ersatz für den Bundle-Handoff.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6. PyNite  </w:t>
      </w:r>
      <w:r>
        <w:rPr>
          <w:rFonts w:ascii="Arial" w:cs="Arial" w:eastAsia="Arial" w:hAnsi="Arial"/>
          <w:color w:val="5A6470"/>
        </w:rPr>
        <w:t xml:space="preserve">(Python, MIT, Score 3,70): </w:t>
      </w:r>
      <w:r>
        <w:rPr>
          <w:rFonts w:ascii="Arial" w:cs="Arial" w:eastAsia="Arial" w:hAnsi="Arial"/>
        </w:rPr>
        <w:t xml:space="preserve">3D-FE-Bibliothek inkl. Plattenelementen &amp; P-Δ – ergänzt die analytischen Nachweise um ein echtes FE-Modell (Analyse-Hilfsmittel, Statiker-Freigabe bleibt).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7. SVGnest / Deepnest  </w:t>
      </w:r>
      <w:r>
        <w:rPr>
          <w:rFonts w:ascii="Arial" w:cs="Arial" w:eastAsia="Arial" w:hAnsi="Arial"/>
          <w:color w:val="5A6470"/>
        </w:rPr>
        <w:t xml:space="preserve">(JS, MIT, Score 3,70): </w:t>
      </w:r>
      <w:r>
        <w:rPr>
          <w:rFonts w:ascii="Arial" w:cs="Arial" w:eastAsia="Arial" w:hAnsi="Arial"/>
        </w:rPr>
        <w:t xml:space="preserve">Genetisches Nesting zur Materialausnutzung – optimiert das Verschachteln von Zuschnitten (z. B. Stahlplatten). Relevanz abhängig vom Zuschnittprozess.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8. planegcs  </w:t>
      </w:r>
      <w:r>
        <w:rPr>
          <w:rFonts w:ascii="Arial" w:cs="Arial" w:eastAsia="Arial" w:hAnsi="Arial"/>
          <w:color w:val="5A6470"/>
        </w:rPr>
        <w:t xml:space="preserve">(JS / WASM, LGPL, Score 3,55): </w:t>
      </w:r>
      <w:r>
        <w:rPr>
          <w:rFonts w:ascii="Arial" w:cs="Arial" w:eastAsia="Arial" w:hAnsi="Arial"/>
        </w:rPr>
        <w:t xml:space="preserve">FreeCADs 2D-Constraint-Solver als WASM – macht aus dem Raster-Editor einen echten parametrischen Sketcher (Bemaßungen treiben die Geometrie).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9. OpenCascade.js  </w:t>
      </w:r>
      <w:r>
        <w:rPr>
          <w:rFonts w:ascii="Arial" w:cs="Arial" w:eastAsia="Arial" w:hAnsi="Arial"/>
          <w:color w:val="5A6470"/>
        </w:rPr>
        <w:t xml:space="preserve">(JS / WASM, LGPL-2.1, Score 3,40): </w:t>
      </w:r>
      <w:r>
        <w:rPr>
          <w:rFonts w:ascii="Arial" w:cs="Arial" w:eastAsia="Arial" w:hAnsi="Arial"/>
        </w:rPr>
        <w:t xml:space="preserve">OCCT-CAD-Kernel im Browser: echte Solids, Boolesche Operationen, STEP-Ex/Import. Mächtig, aber schwergewichtig – nur bei echtem Volumenmodell-Bedarf.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10. anaStruct  </w:t>
      </w:r>
      <w:r>
        <w:rPr>
          <w:rFonts w:ascii="Arial" w:cs="Arial" w:eastAsia="Arial" w:hAnsi="Arial"/>
          <w:color w:val="5A6470"/>
        </w:rPr>
        <w:t xml:space="preserve">(Python, GPL-3.0, Score 3,40): </w:t>
      </w:r>
      <w:r>
        <w:rPr>
          <w:rFonts w:ascii="Arial" w:cs="Arial" w:eastAsia="Arial" w:hAnsi="Arial"/>
        </w:rPr>
        <w:t xml:space="preserve">2D-Rahmen-FEM, einfacher als PyNite. Achtung: GPL-3.0 (starkes Copyleft) – für interne Nutzung ok, für eine spätere Produktweitergabe kritisch.</w:t>
      </w:r>
    </w:p>
    <w:p>
      <w:pPr>
        <w:pStyle w:val="Heading1"/>
      </w:pPr>
      <w:r>
        <w:rPr>
          <w:rFonts w:ascii="Arial" w:cs="Arial" w:eastAsia="Arial" w:hAnsi="Arial"/>
        </w:rPr>
        <w:t xml:space="preserve">4 · Empfohlene Roadmap</w:t>
      </w:r>
    </w:p>
    <w:p>
      <w:pPr>
        <w:spacing w:after="60"/>
      </w:pPr>
      <w:r>
        <w:rPr>
          <w:rFonts w:ascii="Arial" w:cs="Arial" w:eastAsia="Arial" w:hAnsi="Arial"/>
        </w:rPr>
        <w:t xml:space="preserve">Priorisierung nach Hebelwirkung und Aufwand – von sofort umsetzbaren Interoperabilitäts-Gewinnen bis zu strategischen Umbauten.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7A3D"/>
          <w:sz w:val="24"/>
          <w:szCs w:val="24"/>
        </w:rPr>
        <w:t xml:space="preserve">Phase 1 – Quick Wins: Interoperabilität härten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web-ifc</w:t>
      </w:r>
      <w:r>
        <w:rPr>
          <w:rFonts w:ascii="Arial" w:cs="Arial" w:eastAsia="Arial" w:hAnsi="Arial"/>
        </w:rPr>
        <w:t xml:space="preserve"> – den eigenen IFC-Export in den Browser-Tools durch web-ifc ersetzen (größter, sofort spürbarer Sprung).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IfcOpenShell</w:t>
      </w:r>
      <w:r>
        <w:rPr>
          <w:rFonts w:ascii="Arial" w:cs="Arial" w:eastAsia="Arial" w:hAnsi="Arial"/>
        </w:rPr>
        <w:t xml:space="preserve"> – auf der pyRevit/Python-Seite für robuste IFC-Erzeugung anbinden.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ezdxf</w:t>
      </w:r>
      <w:r>
        <w:rPr>
          <w:rFonts w:ascii="Arial" w:cs="Arial" w:eastAsia="Arial" w:hAnsi="Arial"/>
        </w:rPr>
        <w:t xml:space="preserve"> – den DXF-Export auf eine gepflegte, normnahe Bibliothek umstellen.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B06A00"/>
          <w:sz w:val="24"/>
          <w:szCs w:val="24"/>
        </w:rPr>
        <w:t xml:space="preserve">Phase 2 – Viewer &amp; Zusammenarbeit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ThatOpen Components</w:t>
      </w:r>
      <w:r>
        <w:rPr>
          <w:rFonts w:ascii="Arial" w:cs="Arial" w:eastAsia="Arial" w:hAnsi="Arial"/>
        </w:rPr>
        <w:t xml:space="preserve"> – die 3D-Vorschau zu einem echten IFC-Viewer (Messen, Clash) ausbauen.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Speckle</w:t>
      </w:r>
      <w:r>
        <w:rPr>
          <w:rFonts w:ascii="Arial" w:cs="Arial" w:eastAsia="Arial" w:hAnsi="Arial"/>
        </w:rPr>
        <w:t xml:space="preserve"> – Pilot für Versionierung und Live-Handoff nach Revit/Rhino statt manuellem Bundle.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3 – Editor &amp; Statik der nächsten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planegcs</w:t>
      </w:r>
      <w:r>
        <w:rPr>
          <w:rFonts w:ascii="Arial" w:cs="Arial" w:eastAsia="Arial" w:hAnsi="Arial"/>
        </w:rPr>
        <w:t xml:space="preserve"> – den Wandeditor zum parametrischen Sketcher weiterentwickeln (Zwangsbedingungen).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PyNite</w:t>
      </w:r>
      <w:r>
        <w:rPr>
          <w:rFonts w:ascii="Arial" w:cs="Arial" w:eastAsia="Arial" w:hAnsi="Arial"/>
        </w:rPr>
        <w:t xml:space="preserve"> – FE-Nachweise als Ergänzung der analytischen Statik (mit Statiker-Freigabe).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6470"/>
          <w:sz w:val="24"/>
          <w:szCs w:val="24"/>
        </w:rPr>
        <w:t xml:space="preserve">Optional / bedingt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OpenCascade.js</w:t>
      </w:r>
      <w:r>
        <w:rPr>
          <w:rFonts w:ascii="Arial" w:cs="Arial" w:eastAsia="Arial" w:hAnsi="Arial"/>
        </w:rPr>
        <w:t xml:space="preserve"> – nur bei echtem Bedarf an Volumenmodellen/STEP – hoher Aufwand.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SVGnest / Deepnest</w:t>
      </w:r>
      <w:r>
        <w:rPr>
          <w:rFonts w:ascii="Arial" w:cs="Arial" w:eastAsia="Arial" w:hAnsi="Arial"/>
        </w:rPr>
        <w:t xml:space="preserve"> – wenn Zuschnitt-/Materialoptimierung Teil des Prozesses wird.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anaStruct</w:t>
      </w:r>
      <w:r>
        <w:rPr>
          <w:rFonts w:ascii="Arial" w:cs="Arial" w:eastAsia="Arial" w:hAnsi="Arial"/>
        </w:rPr>
        <w:t xml:space="preserve"> – nur, falls GPL-3.0 für den Einsatzzweck akzeptabel ist.</w:t>
      </w:r>
    </w:p>
    <w:p>
      <w:pPr>
        <w:pStyle w:val="Heading1"/>
      </w:pPr>
      <w:r>
        <w:rPr>
          <w:rFonts w:ascii="Arial" w:cs="Arial" w:eastAsia="Arial" w:hAnsi="Arial"/>
        </w:rPr>
        <w:t xml:space="preserve">5 · Lizenz-Hinweis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MIT / Apache-2.0 </w:t>
      </w:r>
      <w:r>
        <w:rPr>
          <w:rFonts w:ascii="Arial" w:cs="Arial" w:eastAsia="Arial" w:hAnsi="Arial"/>
        </w:rPr>
        <w:t xml:space="preserve">(ezdxf, PyNite, SVGnest/Deepnest, Speckle) sind permissiv und unkritisch. </w:t>
      </w:r>
      <w:r>
        <w:rPr>
          <w:rFonts w:ascii="Arial" w:cs="Arial" w:eastAsia="Arial" w:hAnsi="Arial"/>
          <w:b/>
          <w:bCs/>
        </w:rPr>
        <w:t xml:space="preserve">MPL-2.0 </w:t>
      </w:r>
      <w:r>
        <w:rPr>
          <w:rFonts w:ascii="Arial" w:cs="Arial" w:eastAsia="Arial" w:hAnsi="Arial"/>
        </w:rPr>
        <w:t xml:space="preserve">(web-ifc, ThatOpen) ist datei-basiertes Copyleft – nur geänderte Originaldateien müssen offengelegt werden, unproblematisch. </w:t>
      </w:r>
      <w:r>
        <w:rPr>
          <w:rFonts w:ascii="Arial" w:cs="Arial" w:eastAsia="Arial" w:hAnsi="Arial"/>
          <w:b/>
          <w:bCs/>
        </w:rPr>
        <w:t xml:space="preserve">LGPL </w:t>
      </w:r>
      <w:r>
        <w:rPr>
          <w:rFonts w:ascii="Arial" w:cs="Arial" w:eastAsia="Arial" w:hAnsi="Arial"/>
        </w:rPr>
        <w:t xml:space="preserve">(IfcOpenShell, planegcs, OpenCascade.js) erlaubt die Nutzung als Bibliothek auch in geschlossenen Anwendungen. </w:t>
      </w:r>
      <w:r>
        <w:rPr>
          <w:rFonts w:ascii="Arial" w:cs="Arial" w:eastAsia="Arial" w:hAnsi="Arial"/>
          <w:b/>
          <w:bCs/>
          <w:color w:val="A32020"/>
        </w:rPr>
        <w:t xml:space="preserve">GPL-3.0 </w:t>
      </w:r>
      <w:r>
        <w:rPr>
          <w:rFonts w:ascii="Arial" w:cs="Arial" w:eastAsia="Arial" w:hAnsi="Arial"/>
        </w:rPr>
        <w:t xml:space="preserve">(anaStruct) ist starkes Copyleft: für interne Nutzung ok, für eine Weitergabe/Produktisierung kritisch. Vor Produktisierung sollte die Gesamtkombination einmal juristisch geprüft werden.</w:t>
      </w:r>
    </w:p>
    <w:p>
      <w:pPr>
        <w:pStyle w:val="Heading2"/>
      </w:pPr>
      <w:r>
        <w:rPr>
          <w:rFonts w:ascii="Arial" w:cs="Arial" w:eastAsia="Arial" w:hAnsi="Arial"/>
        </w:rPr>
        <w:t xml:space="preserve">Quellen</w:t>
      </w:r>
    </w:p>
    <w:p>
      <w:r>
        <w:rPr>
          <w:rFonts w:ascii="Arial" w:cs="Arial" w:eastAsia="Arial" w:hAnsi="Arial"/>
          <w:color w:val="5A6470"/>
          <w:sz w:val="18"/>
          <w:szCs w:val="18"/>
        </w:rPr>
        <w:t xml:space="preserve">web-ifc: </w:t>
      </w:r>
      <w:hyperlink w:history="1" r:id="rId30erw86fjowbq-_fyf-sh">
        <w:r>
          <w:rPr>
            <w:rStyle w:val="Hyperlink"/>
            <w:sz w:val="18"/>
            <w:szCs w:val="18"/>
          </w:rPr>
          <w:t xml:space="preserve">https://github.com/ThatOpen/engine_web-ifc</w:t>
        </w:r>
      </w:hyperlink>
    </w:p>
    <w:p>
      <w:r>
        <w:rPr>
          <w:rFonts w:ascii="Arial" w:cs="Arial" w:eastAsia="Arial" w:hAnsi="Arial"/>
          <w:color w:val="5A6470"/>
          <w:sz w:val="18"/>
          <w:szCs w:val="18"/>
        </w:rPr>
        <w:t xml:space="preserve">IfcOpenShell: </w:t>
      </w:r>
      <w:hyperlink w:history="1" r:id="rIdfgrgoaeeavj_7ephmg1gf">
        <w:r>
          <w:rPr>
            <w:rStyle w:val="Hyperlink"/>
            <w:sz w:val="18"/>
            <w:szCs w:val="18"/>
          </w:rPr>
          <w:t xml:space="preserve">https://github.com/ifcopenshell/ifcopenshell</w:t>
        </w:r>
      </w:hyperlink>
    </w:p>
    <w:p>
      <w:r>
        <w:rPr>
          <w:rFonts w:ascii="Arial" w:cs="Arial" w:eastAsia="Arial" w:hAnsi="Arial"/>
          <w:color w:val="5A6470"/>
          <w:sz w:val="18"/>
          <w:szCs w:val="18"/>
        </w:rPr>
        <w:t xml:space="preserve">ezdxf: </w:t>
      </w:r>
      <w:hyperlink w:history="1" r:id="rId98cz4pxvobrqzwcnnzyai">
        <w:r>
          <w:rPr>
            <w:rStyle w:val="Hyperlink"/>
            <w:sz w:val="18"/>
            <w:szCs w:val="18"/>
          </w:rPr>
          <w:t xml:space="preserve">https://github.com/mozman/ezdxf</w:t>
        </w:r>
      </w:hyperlink>
    </w:p>
    <w:p>
      <w:r>
        <w:rPr>
          <w:rFonts w:ascii="Arial" w:cs="Arial" w:eastAsia="Arial" w:hAnsi="Arial"/>
          <w:color w:val="5A6470"/>
          <w:sz w:val="18"/>
          <w:szCs w:val="18"/>
        </w:rPr>
        <w:t xml:space="preserve">ThatOpen: </w:t>
      </w:r>
      <w:hyperlink w:history="1" r:id="rIdtf0ewlo0w1ayqwzn9o20k">
        <w:r>
          <w:rPr>
            <w:rStyle w:val="Hyperlink"/>
            <w:sz w:val="18"/>
            <w:szCs w:val="18"/>
          </w:rPr>
          <w:t xml:space="preserve">https://github.com/ThatOpen</w:t>
        </w:r>
      </w:hyperlink>
    </w:p>
    <w:p>
      <w:r>
        <w:rPr>
          <w:rFonts w:ascii="Arial" w:cs="Arial" w:eastAsia="Arial" w:hAnsi="Arial"/>
          <w:color w:val="5A6470"/>
          <w:sz w:val="18"/>
          <w:szCs w:val="18"/>
        </w:rPr>
        <w:t xml:space="preserve">Speckle: </w:t>
      </w:r>
      <w:hyperlink w:history="1" r:id="rIdxo2rhr8fzgb4qnvnvxcsq">
        <w:r>
          <w:rPr>
            <w:rStyle w:val="Hyperlink"/>
            <w:sz w:val="18"/>
            <w:szCs w:val="18"/>
          </w:rPr>
          <w:t xml:space="preserve">https://github.com/specklesystems</w:t>
        </w:r>
      </w:hyperlink>
    </w:p>
    <w:p>
      <w:r>
        <w:rPr>
          <w:rFonts w:ascii="Arial" w:cs="Arial" w:eastAsia="Arial" w:hAnsi="Arial"/>
          <w:color w:val="5A6470"/>
          <w:sz w:val="18"/>
          <w:szCs w:val="18"/>
        </w:rPr>
        <w:t xml:space="preserve">PyNite: </w:t>
      </w:r>
      <w:hyperlink w:history="1" r:id="rIdffgnt-d1-r2rss_onekrg">
        <w:r>
          <w:rPr>
            <w:rStyle w:val="Hyperlink"/>
            <w:sz w:val="18"/>
            <w:szCs w:val="18"/>
          </w:rPr>
          <w:t xml:space="preserve">https://github.com/JWock82/PyNite</w:t>
        </w:r>
      </w:hyperlink>
    </w:p>
    <w:p>
      <w:r>
        <w:rPr>
          <w:rFonts w:ascii="Arial" w:cs="Arial" w:eastAsia="Arial" w:hAnsi="Arial"/>
          <w:color w:val="5A6470"/>
          <w:sz w:val="18"/>
          <w:szCs w:val="18"/>
        </w:rPr>
        <w:t xml:space="preserve">SVGnest: </w:t>
      </w:r>
      <w:hyperlink w:history="1" r:id="rId9qovvh8ym0-l2cgnvtxih">
        <w:r>
          <w:rPr>
            <w:rStyle w:val="Hyperlink"/>
            <w:sz w:val="18"/>
            <w:szCs w:val="18"/>
          </w:rPr>
          <w:t xml:space="preserve">https://github.com/Jack000/SVGnest</w:t>
        </w:r>
      </w:hyperlink>
    </w:p>
    <w:p>
      <w:r>
        <w:rPr>
          <w:rFonts w:ascii="Arial" w:cs="Arial" w:eastAsia="Arial" w:hAnsi="Arial"/>
          <w:color w:val="5A6470"/>
          <w:sz w:val="18"/>
          <w:szCs w:val="18"/>
        </w:rPr>
        <w:t xml:space="preserve">planegcs: </w:t>
      </w:r>
      <w:hyperlink w:history="1" r:id="rId3f2brhml7kzyrybgt1aej">
        <w:r>
          <w:rPr>
            <w:rStyle w:val="Hyperlink"/>
            <w:sz w:val="18"/>
            <w:szCs w:val="18"/>
          </w:rPr>
          <w:t xml:space="preserve">https://github.com/Salusoft89/planegcs</w:t>
        </w:r>
      </w:hyperlink>
    </w:p>
    <w:p>
      <w:r>
        <w:rPr>
          <w:rFonts w:ascii="Arial" w:cs="Arial" w:eastAsia="Arial" w:hAnsi="Arial"/>
          <w:color w:val="5A6470"/>
          <w:sz w:val="18"/>
          <w:szCs w:val="18"/>
        </w:rPr>
        <w:t xml:space="preserve">OpenCascade.js: </w:t>
      </w:r>
      <w:hyperlink w:history="1" r:id="rIdxty874h113dr2txwktqe_">
        <w:r>
          <w:rPr>
            <w:rStyle w:val="Hyperlink"/>
            <w:sz w:val="18"/>
            <w:szCs w:val="18"/>
          </w:rPr>
          <w:t xml:space="preserve">https://github.com/donalffons/opencascade.js</w:t>
        </w:r>
      </w:hyperlink>
    </w:p>
    <w:p>
      <w:r>
        <w:rPr>
          <w:rFonts w:ascii="Arial" w:cs="Arial" w:eastAsia="Arial" w:hAnsi="Arial"/>
          <w:color w:val="5A6470"/>
          <w:sz w:val="18"/>
          <w:szCs w:val="18"/>
        </w:rPr>
        <w:t xml:space="preserve">anaStruct: </w:t>
      </w:r>
      <w:hyperlink w:history="1" r:id="rIdzf4zejsjxljqmirycjl87">
        <w:r>
          <w:rPr>
            <w:rStyle w:val="Hyperlink"/>
            <w:sz w:val="18"/>
            <w:szCs w:val="18"/>
          </w:rPr>
          <w:t xml:space="preserve">https://github.com/ritchie46/anaStruct</w:t>
        </w:r>
      </w:hyperlink>
    </w:p>
    <w:p>
      <w:r>
        <w:br w:type="page"/>
      </w:r>
    </w:p>
    <w:p>
      <w:pPr>
        <w:pBdr>
          <w:bottom w:val="single" w:color="1F7A3D" w:sz="2" w:space="6"/>
        </w:pBdr>
        <w:shd w:fill="1F7A3D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TEIL 2 — Die Suite als durchgängiges Online-Tool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470"/>
        </w:rPr>
        <w:t xml:space="preserve">Annahme: Die Phasen 1–3 der Roadmap sind umgesetzt – d. h. web-ifc, IfcOpenShell und ezdxf (Interoperabilität), der ThatOpen-Viewer, Speckle als Datenlayer sowie der parametrische Editor (planegcs) und die FE-Zweitprüfung (PyNite) stehen als Bausteine bereit.</w:t>
      </w:r>
    </w:p>
    <w:p>
      <w:pPr>
        <w:pStyle w:val="Heading1"/>
      </w:pPr>
      <w:r>
        <w:rPr>
          <w:rFonts w:ascii="Arial" w:cs="Arial" w:eastAsia="Arial" w:hAnsi="Arial"/>
        </w:rPr>
        <w:t xml:space="preserve">6 · Vision: ein Tool statt vieler Werkzeuge</w:t>
      </w:r>
    </w:p>
    <w:p>
      <w:pPr>
        <w:spacing w:after="140"/>
      </w:pPr>
      <w:r>
        <w:rPr>
          <w:rFonts w:ascii="Arial" w:cs="Arial" w:eastAsia="Arial" w:hAnsi="Arial"/>
        </w:rPr>
        <w:t xml:space="preserve">Heute besteht die Suite aus einzelnen HTML-Werkzeugen, zwischen denen Daten per Projekt-Bundle weitergereicht werden. Ziel ist eine zusammenhängende Web-App: Man legt ein Projekt an, erfasst die Wände einmal und lässt sie in einem durchgehenden Fluss planen, prüfen und exportieren – ohne manuelles Hin- und Herkopieren von Dateien. Die in Teil 1 bewerteten Bausteine liefern dafür genau die fehlenden Schichten: verlässliche Interoperabilität, einen echten BIM-Viewer, eine versionierte Datenhaltung und einen parametrischen Editor.</w:t>
      </w:r>
    </w:p>
    <w:p>
      <w:pPr>
        <w:jc w:val="center"/>
      </w:pPr>
      <w:r>
        <w:drawing>
          <wp:inline distT="0" distB="0" distL="0" distR="0">
            <wp:extent cx="8953500" cy="5553075"/>
            <wp:effectExtent t="0" r="0" b="0" l="0"/>
            <wp:docPr id="1" name="arch" descr="Schichtenarchitektur der SEMBLA Online-Suite" title="Zielarchitek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A6470"/>
          <w:sz w:val="16"/>
          <w:szCs w:val="16"/>
        </w:rPr>
        <w:t xml:space="preserve">Abb. 1: Zielarchitektur der Online-Suite – vom Browser über die geteilte Core-Engine und die Backend-Dienste bis zum versionierten Datenlayer.</w:t>
      </w:r>
    </w:p>
    <w:p>
      <w:pPr>
        <w:pStyle w:val="Heading1"/>
      </w:pPr>
      <w:r>
        <w:rPr>
          <w:rFonts w:ascii="Arial" w:cs="Arial" w:eastAsia="Arial" w:hAnsi="Arial"/>
        </w:rPr>
        <w:t xml:space="preserve">7 · Nutzer-Workflow (der „glückliche Pfad“)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1. Projekt anlegen – </w:t>
      </w:r>
      <w:r>
        <w:rPr>
          <w:rFonts w:ascii="Arial" w:cs="Arial" w:eastAsia="Arial" w:hAnsi="Arial"/>
        </w:rPr>
        <w:t xml:space="preserve">Kopfdaten (Bauherr, Phase, Plan-Nr.) und Team/Rollen erfassen. Optional ein Gebäudemodell per IFC oder aus Revit importieren (web-ifc bzw. Speckle-Konnektor).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2. Wände erfassen – </w:t>
      </w:r>
      <w:r>
        <w:rPr>
          <w:rFonts w:ascii="Arial" w:cs="Arial" w:eastAsia="Arial" w:hAnsi="Arial"/>
        </w:rPr>
        <w:t xml:space="preserve">Wandachsen automatisch aus dem importierten Modell ableiten – oder im parametrischen Editor zeichnen. Höhen, Öffnungen und Staffelung werden parametrisch und zwangsgeführt (planegcs) gesetzt.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3. Auto-Planung starten – </w:t>
      </w:r>
      <w:r>
        <w:rPr>
          <w:rFonts w:ascii="Arial" w:cs="Arial" w:eastAsia="Arial" w:hAnsi="Arial"/>
        </w:rPr>
        <w:t xml:space="preserve">Ein Klick „Alle Wände durchplanen“: Die Pipeline führt je Wand Tiling → Auto-Auslegung der Vorspannung → Nachweise → Stückliste → Fertigungszeichnung aus – als Batch über das gesamte Projekt.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4. Review &amp; Ausnahmen – </w:t>
      </w:r>
      <w:r>
        <w:rPr>
          <w:rFonts w:ascii="Arial" w:cs="Arial" w:eastAsia="Arial" w:hAnsi="Arial"/>
        </w:rPr>
        <w:t xml:space="preserve">Das Dashboard zeigt einen Ampelstatus je Wand (geplant / Warnung / Nachweis offen). Nur Wände mit Konflikten – etwa regelwidriger Versatz oder nicht erfüllter Nachweis – brauchen einen manuellen Eingriff im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5. Statiker-Freigabe – </w:t>
      </w:r>
      <w:r>
        <w:rPr>
          <w:rFonts w:ascii="Arial" w:cs="Arial" w:eastAsia="Arial" w:hAnsi="Arial"/>
        </w:rPr>
        <w:t xml:space="preserve">FE-Zweitprüfung (PyNite) und Freigabe-Workflow: die Prüfer-Rolle gibt frei. Der Mensch bleibt in der Schleife – eine Freigabe ohne Statiker gibt es nicht.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6. Export &amp; Übergabe – </w:t>
      </w:r>
      <w:r>
        <w:rPr>
          <w:rFonts w:ascii="Arial" w:cs="Arial" w:eastAsia="Arial" w:hAnsi="Arial"/>
        </w:rPr>
        <w:t xml:space="preserve">IFC, DXF, A3/A4-PDF-Pläne, Stücklisten und die Roboter-Montagesequenz – je Wand oder gesammelt, versioniert in Speckle und per Link teilbar.</w:t>
      </w:r>
    </w:p>
    <w:p>
      <w:pPr>
        <w:pStyle w:val="Heading1"/>
      </w:pPr>
      <w:r>
        <w:rPr>
          <w:rFonts w:ascii="Arial" w:cs="Arial" w:eastAsia="Arial" w:hAnsi="Arial"/>
        </w:rPr>
        <w:t xml:space="preserve">8 · Systemarchitektur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Frontend: </w:t>
      </w:r>
      <w:r>
        <w:rPr>
          <w:rFonts w:ascii="Arial" w:cs="Arial" w:eastAsia="Arial" w:hAnsi="Arial"/>
        </w:rPr>
        <w:t xml:space="preserve">Single-Page-App (React/TypeScript) mit dem parametrischen Editor (planegcs) und dem IFC-Viewer (ThatOpen); alle Ansichten binden an den Speckle-Datenlayer.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Geteilte Core-Engine: </w:t>
      </w:r>
      <w:r>
        <w:rPr>
          <w:rFonts w:ascii="Arial" w:cs="Arial" w:eastAsia="Arial" w:hAnsi="Arial"/>
        </w:rPr>
        <w:t xml:space="preserve">Dieselbe Fachlogik läuft in JavaScript (im Browser, für Live-Feedback) und in Python (im Backend, für Batch-Läufe). Die bereits vorhandene Bit-Parität über Golden-Fixtures sichert ab, dass beide Seiten identisch rechnen.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Backend-Dienste: </w:t>
      </w:r>
      <w:r>
        <w:rPr>
          <w:rFonts w:ascii="Arial" w:cs="Arial" w:eastAsia="Arial" w:hAnsi="Arial"/>
        </w:rPr>
        <w:t xml:space="preserve">Auto-Planungs-Pipeline (Job-Queue), FE-Nachweis (PyNite) und Export-Dienste (web-ifc/IfcOpenShell, ezdxf, PDF, Roboter). Rechenintensives läuft server-seitig, damit auch große Projekte flüssig bleiben.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Daten &amp; Zugriff: </w:t>
      </w:r>
      <w:r>
        <w:rPr>
          <w:rFonts w:ascii="Arial" w:cs="Arial" w:eastAsia="Arial" w:hAnsi="Arial"/>
        </w:rPr>
        <w:t xml:space="preserve">Speckle als versioniertes Projekt-Repository, dazu Authentifizierung/Rollen und Konnektoren zu Revit und Rhino/Grasshopper.</w:t>
      </w:r>
    </w:p>
    <w:p>
      <w:pPr>
        <w:pStyle w:val="Heading1"/>
      </w:pPr>
      <w:r>
        <w:rPr>
          <w:rFonts w:ascii="Arial" w:cs="Arial" w:eastAsia="Arial" w:hAnsi="Arial"/>
        </w:rPr>
        <w:t xml:space="preserve">9 · Automatisierungsgrad: „Auto-Pilot“ mit Mensch in der Schleife</w:t>
      </w:r>
    </w:p>
    <w:tbl>
      <w:tblPr>
        <w:tblW w:type="dxa" w:w="1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400"/>
        <w:gridCol w:w="4300"/>
      </w:tblGrid>
      <w:tr>
        <w:trPr>
          <w:tblHeader/>
        </w:trPr>
        <w:tc>
          <w:tcPr>
            <w:tcW w:type="dxa" w:w="3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Planungsschritt</w:t>
            </w:r>
          </w:p>
        </w:tc>
        <w:tc>
          <w:tcPr>
            <w:tcW w:type="dxa" w:w="4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Automatisch</w:t>
            </w:r>
          </w:p>
        </w:tc>
        <w:tc>
          <w:tcPr>
            <w:tcW w:type="dxa" w:w="43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Mensch</w:t>
            </w:r>
          </w:p>
        </w:tc>
      </w:tr>
      <w:tr>
        <w:tc>
          <w:tcPr>
            <w:tcW w:type="dxa" w:w="3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Wanderkennung aus Modell</w:t>
            </w:r>
          </w:p>
        </w:tc>
        <w:tc>
          <w:tcPr>
            <w:tcW w:type="dxa" w:w="4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D"/>
                <w:sz w:val="18"/>
                <w:szCs w:val="18"/>
              </w:rPr>
              <w:t xml:space="preserve">Vorschlag der Wandachsen aus IFC/Revit</w:t>
            </w:r>
          </w:p>
        </w:tc>
        <w:tc>
          <w:tcPr>
            <w:tcW w:type="dxa" w:w="43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3202E"/>
                <w:sz w:val="18"/>
                <w:szCs w:val="18"/>
              </w:rPr>
              <w:t xml:space="preserve">Bestätigen / korrigieren</w:t>
            </w:r>
          </w:p>
        </w:tc>
      </w:tr>
      <w:tr>
        <w:tc>
          <w:tcPr>
            <w:tcW w:type="dxa" w:w="3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Tiling (Steinbelegung)</w:t>
            </w:r>
          </w:p>
        </w:tc>
        <w:tc>
          <w:tcPr>
            <w:tcW w:type="dxa" w:w="4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D"/>
                <w:sz w:val="18"/>
                <w:szCs w:val="18"/>
              </w:rPr>
              <w:t xml:space="preserve">Vollautomatisch (i3-Maximierung, Versatz)</w:t>
            </w:r>
          </w:p>
        </w:tc>
        <w:tc>
          <w:tcPr>
            <w:tcW w:type="dxa" w:w="43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Vorspann-Auslegung</w:t>
            </w:r>
          </w:p>
        </w:tc>
        <w:tc>
          <w:tcPr>
            <w:tcW w:type="dxa" w:w="4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D"/>
                <w:sz w:val="18"/>
                <w:szCs w:val="18"/>
              </w:rPr>
              <w:t xml:space="preserve">Vollautomatisch (Iteration, N-Optimierung)</w:t>
            </w:r>
          </w:p>
        </w:tc>
        <w:tc>
          <w:tcPr>
            <w:tcW w:type="dxa" w:w="43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3202E"/>
                <w:sz w:val="18"/>
                <w:szCs w:val="18"/>
              </w:rPr>
              <w:t xml:space="preserve">Parameter überschreibbar (Kraft, Raster)</w:t>
            </w:r>
          </w:p>
        </w:tc>
      </w:tr>
      <w:tr>
        <w:tc>
          <w:tcPr>
            <w:tcW w:type="dxa" w:w="3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Nachweise</w:t>
            </w:r>
          </w:p>
        </w:tc>
        <w:tc>
          <w:tcPr>
            <w:tcW w:type="dxa" w:w="4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D"/>
                <w:sz w:val="18"/>
                <w:szCs w:val="18"/>
              </w:rPr>
              <w:t xml:space="preserve">Vollautomatisch (Biegung, Randdruck, Schub, Anker)</w:t>
            </w:r>
          </w:p>
        </w:tc>
        <w:tc>
          <w:tcPr>
            <w:tcW w:type="dxa" w:w="43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Konfliktfälle</w:t>
            </w:r>
          </w:p>
        </w:tc>
        <w:tc>
          <w:tcPr>
            <w:tcW w:type="dxa" w:w="4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D"/>
                <w:sz w:val="18"/>
                <w:szCs w:val="18"/>
              </w:rPr>
              <w:t xml:space="preserve">Markierung im Ampel-Dashboard</w:t>
            </w:r>
          </w:p>
        </w:tc>
        <w:tc>
          <w:tcPr>
            <w:tcW w:type="dxa" w:w="43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3202E"/>
                <w:sz w:val="18"/>
                <w:szCs w:val="18"/>
              </w:rPr>
              <w:t xml:space="preserve">Manuelle Korrektur im Editor</w:t>
            </w:r>
          </w:p>
        </w:tc>
      </w:tr>
      <w:tr>
        <w:tc>
          <w:tcPr>
            <w:tcW w:type="dxa" w:w="3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Statik-Freigabe</w:t>
            </w:r>
          </w:p>
        </w:tc>
        <w:tc>
          <w:tcPr>
            <w:tcW w:type="dxa" w:w="4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D"/>
                <w:sz w:val="18"/>
                <w:szCs w:val="18"/>
              </w:rPr>
              <w:t xml:space="preserve">FE-Vorprüfung (PyNite)</w:t>
            </w:r>
          </w:p>
        </w:tc>
        <w:tc>
          <w:tcPr>
            <w:tcW w:type="dxa" w:w="43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3202E"/>
                <w:sz w:val="18"/>
                <w:szCs w:val="18"/>
              </w:rPr>
              <w:t xml:space="preserve">Freigabe durch Statiker (verpflichtend)</w:t>
            </w:r>
          </w:p>
        </w:tc>
      </w:tr>
      <w:tr>
        <w:tc>
          <w:tcPr>
            <w:tcW w:type="dxa" w:w="3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3202E"/>
                <w:sz w:val="18"/>
                <w:szCs w:val="18"/>
              </w:rPr>
              <w:t xml:space="preserve">Fertigungsdaten &amp; Export</w:t>
            </w:r>
          </w:p>
        </w:tc>
        <w:tc>
          <w:tcPr>
            <w:tcW w:type="dxa" w:w="44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3D"/>
                <w:sz w:val="18"/>
                <w:szCs w:val="18"/>
              </w:rPr>
              <w:t xml:space="preserve">Vollautomatisch (IFC, DXF, PDF, Roboter)</w:t>
            </w:r>
          </w:p>
        </w:tc>
        <w:tc>
          <w:tcPr>
            <w:tcW w:type="dxa" w:w="4300"/>
            <w:tcBorders>
              <w:top w:val="single" w:color="C4CCD4" w:sz="1"/>
              <w:left w:val="single" w:color="C4CCD4" w:sz="1"/>
              <w:bottom w:val="single" w:color="C4CCD4" w:sz="1"/>
              <w:right w:val="single" w:color="C4CC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647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A6470"/>
          <w:sz w:val="16"/>
          <w:szCs w:val="16"/>
        </w:rPr>
        <w:t xml:space="preserve">Grundsatz: So viel wie möglich läuft automatisch; Menschen bestätigen Vorschläge und entscheiden bei Ausnahmen. Die statische Freigabe bleibt bewusst verpflichtend.</w:t>
      </w:r>
    </w:p>
    <w:p>
      <w:pPr>
        <w:pStyle w:val="Heading1"/>
      </w:pPr>
      <w:r>
        <w:rPr>
          <w:rFonts w:ascii="Arial" w:cs="Arial" w:eastAsia="Arial" w:hAnsi="Arial"/>
        </w:rPr>
        <w:t xml:space="preserve">10 · Datenmodell &amp; Mehrbenutzer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Hierarchie: </w:t>
      </w:r>
      <w:r>
        <w:rPr>
          <w:rFonts w:ascii="Arial" w:cs="Arial" w:eastAsia="Arial" w:hAnsi="Arial"/>
        </w:rPr>
        <w:t xml:space="preserve">Organisation → Projekt → Gebäude → Wand. Das bestehende Wandelement-JSON bleibt die atomare Einheit und wird lediglich in diese Struktur eingebettet.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Versionierung: </w:t>
      </w:r>
      <w:r>
        <w:rPr>
          <w:rFonts w:ascii="Arial" w:cs="Arial" w:eastAsia="Arial" w:hAnsi="Arial"/>
        </w:rPr>
        <w:t xml:space="preserve">Jede Planung erzeugt eine neue Version mit Historie und Vergleich (Speckle); Index und Plan-Nr. werden automatisch fortgeschrieben. Freigegebene Versionen sind unveränderlich.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Rollen: </w:t>
      </w:r>
      <w:r>
        <w:rPr>
          <w:rFonts w:ascii="Arial" w:cs="Arial" w:eastAsia="Arial" w:hAnsi="Arial"/>
        </w:rPr>
        <w:t xml:space="preserve">Planer (bearbeiten), Prüfer/Statiker (freigeben) und Gast (lesen). Freigaben und Sperren sind nachvollziehbar protokolliert.</w:t>
      </w:r>
    </w:p>
    <w:p>
      <w:pPr>
        <w:pStyle w:val="Heading1"/>
      </w:pPr>
      <w:r>
        <w:rPr>
          <w:rFonts w:ascii="Arial" w:cs="Arial" w:eastAsia="Arial" w:hAnsi="Arial"/>
        </w:rPr>
        <w:t xml:space="preserve">11 · Umsetzungs-Etappen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Etappe A – Projektschale &amp; Persistenz – </w:t>
      </w:r>
      <w:r>
        <w:rPr>
          <w:rFonts w:ascii="Arial" w:cs="Arial" w:eastAsia="Arial" w:hAnsi="Arial"/>
        </w:rPr>
        <w:t xml:space="preserve">Auth, Projekt-/Wandliste und Speckle-Anbindung; die bestehenden Editoren als Module einhängen. MVP: ein Projekt mit mehreren Wänden anlegen, speichern und laden.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Etappe B – Auto-Pilot – </w:t>
      </w:r>
      <w:r>
        <w:rPr>
          <w:rFonts w:ascii="Arial" w:cs="Arial" w:eastAsia="Arial" w:hAnsi="Arial"/>
        </w:rPr>
        <w:t xml:space="preserve">Batch-Pipeline „alle Wände durchplanen“, Ampel-Dashboard und Ausnahmen-Workflow für Konfliktwände.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Etappe C – Freigabe &amp; Team – </w:t>
      </w:r>
      <w:r>
        <w:rPr>
          <w:rFonts w:ascii="Arial" w:cs="Arial" w:eastAsia="Arial" w:hAnsi="Arial"/>
        </w:rPr>
        <w:t xml:space="preserve">Rollen, Statiker-Freigabe mit FE-Zweitprüfung und Versions-Historie.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Etappe D – Skalierung – </w:t>
      </w:r>
      <w:r>
        <w:rPr>
          <w:rFonts w:ascii="Arial" w:cs="Arial" w:eastAsia="Arial" w:hAnsi="Arial"/>
        </w:rPr>
        <w:t xml:space="preserve">Job-Queue/Worker, Mandantenfähigkeit, Audit-Log und Performance-Härtung.</w:t>
      </w:r>
    </w:p>
    <w:p>
      <w:pPr>
        <w:pStyle w:val="Heading1"/>
      </w:pPr>
      <w:r>
        <w:rPr>
          <w:rFonts w:ascii="Arial" w:cs="Arial" w:eastAsia="Arial" w:hAnsi="Arial"/>
        </w:rPr>
        <w:t xml:space="preserve">12 · Chancen &amp; Risiken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7A3D"/>
        </w:rPr>
        <w:t xml:space="preserve">Chancen: </w:t>
      </w:r>
      <w:r>
        <w:rPr>
          <w:rFonts w:ascii="Arial" w:cs="Arial" w:eastAsia="Arial" w:hAnsi="Arial"/>
        </w:rPr>
        <w:t xml:space="preserve">drastisch weniger manuelle Schritte, eine einzige konsistente Datenquelle, lückenlose Nachvollziehbarkeit und deutlich schnellere Angebots- und Ausführungsplanung.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B06A00"/>
        </w:rPr>
        <w:t xml:space="preserve">Risiken &amp; Hinweise: </w:t>
      </w:r>
      <w:r>
        <w:rPr>
          <w:rFonts w:ascii="Arial" w:cs="Arial" w:eastAsia="Arial" w:hAnsi="Arial"/>
        </w:rPr>
        <w:t xml:space="preserve">die Core-Parität JS↔Python muss weiter abgesichert bleiben; die Statiker-Freigabe bleibt Pflicht (keine Vollautomatik ohne Prüfung); Hosting und Datenschutz sind zu klären (DSGVO, ggf. EU-/On-Prem-Hosting); vor einer Produktisierung sollte die Lizenz-Gesamtkombination einmal juristisch geprüft werden.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0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32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ntTable" Target="fontTable.xml"/><Relationship Id="rId3" Type="http://schemas.openxmlformats.org/officeDocument/2006/relationships/footnotes" Target="footnotes.xml"/><Relationship Id="rId21" Type="http://schemas.openxmlformats.org/officeDocument/2006/relationships/customXml" Target="../customXml/item3.xml"/><Relationship Id="rIdxo2rhr8fzgb4qnvnvxcsq" Type="http://schemas.openxmlformats.org/officeDocument/2006/relationships/hyperlink" Target="https://github.com/specklesystems" TargetMode="External"/><Relationship Id="rIdffgnt-d1-r2rss_onekrg" Type="http://schemas.openxmlformats.org/officeDocument/2006/relationships/hyperlink" Target="https://github.com/JWock82/PyNite" TargetMode="External"/><Relationship Id="rId3f2brhml7kzyrybgt1aej" Type="http://schemas.openxmlformats.org/officeDocument/2006/relationships/hyperlink" Target="https://github.com/Salusoft89/planegcs" TargetMode="External"/><Relationship Id="rId7" Type="http://schemas.openxmlformats.org/officeDocument/2006/relationships/image" Target="media/6a603d87186dbe6c41b3f9bf4544c7a8ba205e15.png"/><Relationship Id="rId2" Type="http://schemas.openxmlformats.org/officeDocument/2006/relationships/numbering" Target="numbering.xml"/><Relationship Id="rIdtf0ewlo0w1ayqwzn9o20k" Type="http://schemas.openxmlformats.org/officeDocument/2006/relationships/hyperlink" Target="https://github.com/ThatOpen" TargetMode="External"/><Relationship Id="rId9qovvh8ym0-l2cgnvtxih" Type="http://schemas.openxmlformats.org/officeDocument/2006/relationships/hyperlink" Target="https://github.com/Jack000/SVGnest" TargetMode="Externa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xty874h113dr2txwktqe_" Type="http://schemas.openxmlformats.org/officeDocument/2006/relationships/hyperlink" Target="https://github.com/donalffons/opencascade.js" TargetMode="External"/><Relationship Id="rId5" Type="http://schemas.openxmlformats.org/officeDocument/2006/relationships/settings" Target="settings.xml"/><Relationship Id="rIdzf4zejsjxljqmirycjl87" Type="http://schemas.openxmlformats.org/officeDocument/2006/relationships/hyperlink" Target="https://github.com/ritchie46/anaStruct" TargetMode="External"/><Relationship Id="rId30erw86fjowbq-_fyf-sh" Type="http://schemas.openxmlformats.org/officeDocument/2006/relationships/hyperlink" Target="https://github.com/ThatOpen/engine_web-ifc" TargetMode="External"/><Relationship Id="rIdfgrgoaeeavj_7ephmg1gf" Type="http://schemas.openxmlformats.org/officeDocument/2006/relationships/hyperlink" Target="https://github.com/ifcopenshell/ifcopenshell" TargetMode="External"/><Relationship Id="rId4" Type="http://schemas.openxmlformats.org/officeDocument/2006/relationships/endnotes" Target="endnotes.xml"/><Relationship Id="rId98cz4pxvobrqzwcnnzyai" Type="http://schemas.openxmlformats.org/officeDocument/2006/relationships/hyperlink" Target="https://github.com/mozman/ezdxf" TargetMode="External"/><Relationship Id="rId22" Type="http://schemas.openxmlformats.org/officeDocument/2006/relationships/customXml" Target="../customXml/item4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BBF5671200DE04A8D9AC008392E66E0" ma:contentTypeVersion="15" ma:contentTypeDescription="Ein neues Dokument erstellen." ma:contentTypeScope="" ma:versionID="5141cba6b07383b21054cfce2cb68d10">
  <xsd:schema xmlns:xsd="http://www.w3.org/2001/XMLSchema" xmlns:xs="http://www.w3.org/2001/XMLSchema" xmlns:p="http://schemas.microsoft.com/office/2006/metadata/properties" xmlns:ns2="cecd656e-60e3-409b-836f-2f7eb045e4af" xmlns:ns3="5a629a35-89f9-420e-b53b-f9fec7365bb0" targetNamespace="http://schemas.microsoft.com/office/2006/metadata/properties" ma:root="true" ma:fieldsID="86cd4fe0b25234196e685043019f68a2" ns2:_="" ns3:_="">
    <xsd:import namespace="cecd656e-60e3-409b-836f-2f7eb045e4af"/>
    <xsd:import namespace="5a629a35-89f9-420e-b53b-f9fec7365b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cd656e-60e3-409b-836f-2f7eb045e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ee7d935-9634-42cd-a452-4fb9f1577f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9a35-89f9-420e-b53b-f9fec7365b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7101b-bf5a-498a-b684-b5788ffc490a}" ma:internalName="TaxCatchAll" ma:showField="CatchAllData" ma:web="5a629a35-89f9-420e-b53b-f9fec7365b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3" nillable="true" ma:displayName="Wert der Dokument-ID" ma:description="Der Wert der diesem Element zugewiesenen Dokument-ID." ma:indexed="true" ma:internalName="_dlc_DocId" ma:readOnly="true">
      <xsd:simpleType>
        <xsd:restriction base="dms:Text"/>
      </xsd:simpleType>
    </xsd:element>
    <xsd:element name="_dlc_DocIdUrl" ma:index="24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C497DA2003D4495EDD5A9177F3768" ma:contentTypeVersion="12" ma:contentTypeDescription="Create a new document." ma:contentTypeScope="" ma:versionID="497f250517c69486945fafca78806892">
  <xsd:schema xmlns:xsd="http://www.w3.org/2001/XMLSchema" xmlns:xs="http://www.w3.org/2001/XMLSchema" xmlns:p="http://schemas.microsoft.com/office/2006/metadata/properties" xmlns:ns2="e69fb04b-774e-4181-b426-2affd763a325" xmlns:ns3="319d099e-5aa7-4c50-ac38-73be6ed636ca" targetNamespace="http://schemas.microsoft.com/office/2006/metadata/properties" ma:root="true" ma:fieldsID="cc9b2e21c548eaee90293835a7df9367" ns2:_="" ns3:_="">
    <xsd:import namespace="e69fb04b-774e-4181-b426-2affd763a325"/>
    <xsd:import namespace="319d099e-5aa7-4c50-ac38-73be6ed636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fb04b-774e-4181-b426-2affd763a3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ee7d935-9634-42cd-a452-4fb9f1577f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d099e-5aa7-4c50-ac38-73be6ed636c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116f2b2-955b-478d-b18b-8b7b642f45e0}" ma:internalName="TaxCatchAll" ma:showField="CatchAllData" ma:web="319d099e-5aa7-4c50-ac38-73be6ed636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9fb04b-774e-4181-b426-2affd763a325">
      <Terms xmlns="http://schemas.microsoft.com/office/infopath/2007/PartnerControls"/>
    </lcf76f155ced4ddcb4097134ff3c332f>
    <TaxCatchAll xmlns="319d099e-5aa7-4c50-ac38-73be6ed636ca" xsi:nil="true"/>
  </documentManagement>
</p:properties>
</file>

<file path=customXml/itemProps1.xml><?xml version="1.0" encoding="utf-8"?>
<ds:datastoreItem xmlns:ds="http://schemas.openxmlformats.org/officeDocument/2006/customXml" ds:itemID="{63B56097-30A1-4EFC-B1E1-53E9B20FEEBC}"/>
</file>

<file path=customXml/itemProps2.xml><?xml version="1.0" encoding="utf-8"?>
<ds:datastoreItem xmlns:ds="http://schemas.openxmlformats.org/officeDocument/2006/customXml" ds:itemID="{72C05288-B7C8-4030-8C6D-9121657C9DC5}"/>
</file>

<file path=customXml/itemProps3.xml><?xml version="1.0" encoding="utf-8"?>
<ds:datastoreItem xmlns:ds="http://schemas.openxmlformats.org/officeDocument/2006/customXml" ds:itemID="{EBF99E0D-45DD-4991-B3F7-C82A865056D6}"/>
</file>

<file path=customXml/itemProps4.xml><?xml version="1.0" encoding="utf-8"?>
<ds:datastoreItem xmlns:ds="http://schemas.openxmlformats.org/officeDocument/2006/customXml" ds:itemID="{FB82F3E3-80DC-4D7F-836E-5A84C95B1C4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2026-07-07T12:31:42Z</dcterms:created>
  <dcterms:modified xsi:type="dcterms:W3CDTF">2026-07-07T12:31:42Z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0x0101000E5C497DA2003D4495EDD5A9177F3768</vt:lpwstr>
  </property>
  <property fmtid="{D5CDD505-2E9C-101B-9397-08002B2CF9AE}" pid="3" name="_dlc_DocIdItemGuid">
    <vt:lpwstr>f21ae78a-69b7-4a80-85ca-fe000f9388a1</vt:lpwstr>
  </property>
</Properties>
</file>