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Sieben Module (0–6)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+ 13). Kapitel 15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besitzt eine wählbare Startachse (1. oder 2. Rasterachse), verteilt danach balanciert und hält den maximalen Achsabstand ein. Für Sonderkonstruktionen können die Achsen in Modul 1 manuell gesetzt werden (prestress.columns_grid) – dann gilt exakt dieser Achsen-Satz.</w:t>
      </w:r>
    </w:p>
    <w:p>
      <w:pPr>
        <w:pBdr>
          <w:left w:val="single" w:color="E0B400" w:sz="18" w:space="6"/>
        </w:pBdr>
        <w:shd w:fill="FFF8E6" w:val="clear"/>
        <w:spacing w:after="120" w:before="80"/>
      </w:pPr>
      <w:r>
        <w:t xml:space="preserve">Neu bestätigte Zielregeln: Jeder Stein muss von mindestens einer Spannachse gehalten werden; in der untersten Steinreihe sollen automatisch gesetzte Achsen möglichst mittig in i3-Steinen liegen. Diese Muss-/Optimierungsregeln gehen der bloßen Abstandsverteilung vor. Die vollständige Implementierung und Regressionstests sind noch als offener Entwicklungsstand gekennzeichnet (Kap. 15.2).</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15 mm, so lang/breit wie die Wand, in Modulen der Blechlänge). Je Strang von unten eine </w:t>
      </w:r>
      <w:r>
        <w:rPr>
          <w:b/>
          <w:bCs/>
        </w:rPr>
        <w:t xml:space="preserve">Senkkopfschraube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(Blechmodule wie unten, Standard) oder </w:t>
      </w:r>
      <w:r>
        <w:rPr>
          <w:b/>
          <w:bCs/>
        </w:rPr>
        <w:t xml:space="preserve">Spannplatte</w:t>
      </w:r>
      <w:r>
        <w:t xml:space="preserve"> je Strang auf der oberen Steinkante (prestress.top_connection = blech | spannplatte).</w:t>
      </w:r>
    </w:p>
    <w:p>
      <w:pPr>
        <w:pStyle w:val="ListParagraph"/>
        <w:numPr>
          <w:ilvl w:val="0"/>
          <w:numId w:val="2"/>
        </w:numPr>
        <w:spacing w:after="60"/>
      </w:pPr>
      <w:r>
        <w:rPr>
          <w:b/>
          <w:bCs/>
        </w:rPr>
        <w:t xml:space="preserve">Zwischenanker</w:t>
      </w:r>
      <w:r>
        <w:t xml:space="preserve"> (Segmentenden an Öffnungen) sind Spannplatten auf der Steinkante.</w:t>
      </w:r>
    </w:p>
    <w:p>
      <w:pPr>
        <w:pStyle w:val="ListParagraph"/>
        <w:numPr>
          <w:ilvl w:val="0"/>
          <w:numId w:val="2"/>
        </w:numPr>
        <w:spacing w:after="60"/>
      </w:pPr>
      <w:r>
        <w:t xml:space="preserve">BOM je Wand: senkkopfschrauben, kopplungsmuttern_basis, spannplatten, spannmuttern, stahlblech_module (+ stahlblech_mm, dicke),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beides aus: die Einbauposition je Fuge in Stück und – nachrichtlich, nicht bepreist – die Gesamtlänge (bom.dichtstreifen_mm),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und BOM-Drift-Schutz (test-shared.mjs).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Startachse der Vorspannung (1./2. Rasterachse) sowie Auslegungsparameter.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w:t>
      </w:r>
      <w:r>
        <w:t xml:space="preserve"> Aus dem vollständigen aktiven Bauteilkatalog werden die Produkte je Verwendungsrolle gewählt – gruppiert nach Steinen, Vorspannung, Anschluss (einschließlich getrennter Boden- und Kopfbleche nach [A-1]) und Fugen. Mehrere Produkte je Rolle sind erlaubt; der Auswahlstatus (zugeordnet, mehrdeutig, ohne Auswahl) steht direkt an der Rolle. Gespeichert werden nur Produkt-IDs und die Herkunftsnotiz des Katalogs unter eingaben.planung.produkte – das Wandelement bleibt frei von Produktdaten.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w:t>
      </w:r>
      <w:r>
        <w:t xml:space="preserve"> Aus dem vollständigen aktiven Bauteilkatalog werden Lattenstangen, Beplankungsplatten und das ausführende Verbinderprodukt gewählt (mehrere Standardformate je Punkt erlaubt) und als Produkt-IDs unter eingaben.aufbau.produkte gespeichert.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Stückliste &amp; Kosten</w:t>
      </w:r>
    </w:p>
    <w:p>
      <w:pPr>
        <w:spacing w:after="120"/>
      </w:pPr>
      <w:r>
        <w:t xml:space="preserve">Zweck: Material-Auszug und Kosten für genau das aktive Wandelement. Kanonische Mengen stammen aus dem Wandelement/BOM und dem unter eingaben.aufbau gespeicherten Aufbau. Eine Mehrfachwand-Mengenlogik gibt es im MVP nicht.</w:t>
      </w:r>
    </w:p>
    <w:p>
      <w:pPr>
        <w:spacing w:after="120"/>
      </w:pPr>
      <w:r>
        <w:t xml:space="preserve">Preise sind hier </w:t>
      </w:r>
      <w:r>
        <w:rPr>
          <w:b/>
          <w:bCs/>
        </w:rPr>
        <w:t xml:space="preserve">nicht editierbar</w:t>
      </w:r>
      <w:r>
        <w:t xml:space="preserve">. Sie werden zu jeder Position frisch aus dem aktiven Bauteilkatalog aufgelöst – über die in Modul 1 bzw. Modul 2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Export:</w:t>
      </w:r>
      <w:r>
        <w:t xml:space="preserve"> Stücklisten-/Zuschnittdateien werden ausschließlich über den zentralen ZIP-Export in Modul 0 erzeugt – mit derselben Preisauflösung wie die Anzeige, damit CSV und Bildschirm nie auseinanderlaufen.</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Weiterentwicklung (für Nicht-Programmierer)</w:t>
      </w:r>
    </w:p>
    <w:p>
      <w:pPr>
        <w:spacing w:after="120"/>
      </w:pPr>
      <w:r>
        <w:t xml:space="preserve">Die häufigsten Anpassungen lassen sich an klar benannten Stellen vornehmen. Fachliche Änderungen beginnen jedoch immer im Regelwerk (Kap. 15):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14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15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(2) fachliche Abdeckungs- und Anschlussregeln, (3) ausdrücklich gewählte Projektparameter, (4) Optimierung/gleichmäßige Verteilung, (5) Darstellung/Komfort. Nicht gemeinsam erfüllbare Muss-Regeln erzeugen einen sichtbaren Konflikt statt eines stillen Fallbacks.</w:t>
      </w:r>
    </w:p>
    <w:p>
      <w:pPr>
        <w:pStyle w:val="Heading2"/>
      </w:pPr>
      <w:r>
        <w:t xml:space="preserve">15.1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Heading2"/>
      </w:pPr>
      <w:r>
        <w:t xml:space="preserve">15.2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ZIEL – OFFEN]</w:t>
      </w:r>
      <w:r>
        <w:t xml:space="preserve"> Jeder einzelne Stein muss in seinem belegten Höhenabschnitt von mindestens einer Spannachse gehalten werden. Ein eingehaltenes Maximalraster allein beweist diese Steinabdeckung nicht.</w:t>
      </w:r>
    </w:p>
    <w:p>
      <w:pPr>
        <w:pStyle w:val="ListParagraph"/>
        <w:numPr>
          <w:ilvl w:val="0"/>
          <w:numId w:val="2"/>
        </w:numPr>
        <w:spacing w:after="60"/>
      </w:pPr>
      <w:r>
        <w:rPr>
          <w:b/>
          <w:bCs/>
        </w:rPr>
        <w:t xml:space="preserve">[V-3 · ZIEL – OFFEN]</w:t>
      </w:r>
      <w:r>
        <w:t xml:space="preserve"> In der untersten Steinreihe sollen automatisch gesetzte Spannachsen – nach Erfüllung aller Muss-Regeln – möglichst mittig in den i3-Steinen liegen.</w:t>
      </w:r>
    </w:p>
    <w:p>
      <w:pPr>
        <w:pStyle w:val="ListParagraph"/>
        <w:numPr>
          <w:ilvl w:val="0"/>
          <w:numId w:val="2"/>
        </w:numPr>
        <w:spacing w:after="60"/>
      </w:pPr>
      <w:r>
        <w:rPr>
          <w:b/>
          <w:bCs/>
        </w:rPr>
        <w:t xml:space="preserve">[V-4]</w:t>
      </w:r>
      <w:r>
        <w:t xml:space="preserve"> Vorspannung höchstens alle 3 Raster (MAX_SPAN_GRID = 3 = 375 mm); diese Obergrenze ist zusätzlich zur Steinabdeckung einzuhalten und nicht alleinige Verteilungsregel.</w:t>
      </w:r>
    </w:p>
    <w:p>
      <w:pPr>
        <w:pStyle w:val="ListParagraph"/>
        <w:numPr>
          <w:ilvl w:val="0"/>
          <w:numId w:val="2"/>
        </w:numPr>
        <w:spacing w:after="60"/>
      </w:pPr>
      <w:r>
        <w:rPr>
          <w:b/>
          <w:bCs/>
        </w:rPr>
        <w:t xml:space="preserve">[V-5]</w:t>
      </w:r>
      <w:r>
        <w:t xml:space="preserve"> Die Auto-Verteilung startet wahlweise auf der 1. oder 2. Rasterachse (prestress.start_axis_grid) und verteilt danach innerhalb der Muss-Regeln balanciert bis zur letzten Achse.</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müssen aber als Sonderkonstruktion gegen die Muss-Regeln validiert werden.</w:t>
      </w:r>
    </w:p>
    <w:p>
      <w:pPr>
        <w:pStyle w:val="ListParagraph"/>
        <w:numPr>
          <w:ilvl w:val="0"/>
          <w:numId w:val="2"/>
        </w:numPr>
        <w:spacing w:after="60"/>
      </w:pPr>
      <w:r>
        <w:rPr>
          <w:b/>
          <w:bCs/>
        </w:rPr>
        <w:t xml:space="preserve">[V-10]</w:t>
      </w:r>
      <w:r>
        <w:t xml:space="preserve"> Gewindestangen = ceil(h / rod), Verbindungsmuttern = Stangen − 1; ROD-Standard 1100 mm (überschreibbar).</w:t>
      </w:r>
    </w:p>
    <w:p>
      <w:pPr>
        <w:pStyle w:val="Heading2"/>
      </w:pPr>
      <w:r>
        <w:t xml:space="preserve">15.3 Anschlüsse &amp; Vorspann-Regime  [A]</w:t>
      </w:r>
    </w:p>
    <w:p>
      <w:pPr>
        <w:pStyle w:val="ListParagraph"/>
        <w:numPr>
          <w:ilvl w:val="0"/>
          <w:numId w:val="2"/>
        </w:numPr>
        <w:spacing w:after="60"/>
      </w:pPr>
      <w:r>
        <w:rPr>
          <w:b/>
          <w:bCs/>
        </w:rPr>
        <w:t xml:space="preserve">[A-1]</w:t>
      </w:r>
      <w:r>
        <w:t xml:space="preserve"> Fuß immer Bodenblech (Stahl 15 mm, wandlang, in Blechmodulen); je Strang unten Senkkopfschraube, oben Kopplungsmutter. Bodenblech und Kopfblech sind </w:t>
      </w:r>
      <w:r>
        <w:rPr>
          <w:b/>
          <w:bCs/>
        </w:rPr>
        <w:t xml:space="preserve">physisch getrennte Bauteile mit eigener Modulzahl</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die Summe beider Positionen bleibt gleich der Gesamtmodulzahl des Rechenkerns (keine Doppelzählung, kein Core-Eingriff).</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Heading2"/>
      </w:pPr>
      <w:r>
        <w:t xml:space="preserve">15.4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1D-Zuschnitt mit Reststück-Nutzung.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15.5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15.6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2026-08-05T13:46:12.134Z</dcterms:created>
  <dcterms:modified xsi:type="dcterms:W3CDTF">2026-08-05T13:46:12.135Z</dcterms:modified>
</cp:coreProperties>
</file>

<file path=docProps/custom.xml><?xml version="1.0" encoding="utf-8"?>
<Properties xmlns="http://schemas.openxmlformats.org/officeDocument/2006/custom-properties" xmlns:vt="http://schemas.openxmlformats.org/officeDocument/2006/docPropsVTypes"/>
</file>