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lang/breit wie die Wand, in Modulen der Blechlänge).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(Blechmodule wie unten, Standard)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 stahlblech_mm, dicke),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wandlang, in Blechmodulen); je Strang unten Senkkopfschraube, oben Kopplungsmutter. Bodenblech und Kopfblech sind </w:t>
      </w:r>
      <w:r>
        <w:rPr>
          <w:b/>
          <w:bCs/>
        </w:rPr>
        <w:t xml:space="preserve">physisch getrennte Bauteile mit eigener Modulzahl</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die Summe beider Positionen bleibt gleich der Gesamtmodulzahl des Rechenkerns (keine Doppelzählung, kein Core-Eingriff).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2026-08-16T10:33:42.373Z</dcterms:created>
  <dcterms:modified xsi:type="dcterms:W3CDTF">2026-08-16T10:33:42.373Z</dcterms:modified>
</cp:coreProperties>
</file>

<file path=docProps/custom.xml><?xml version="1.0" encoding="utf-8"?>
<Properties xmlns="http://schemas.openxmlformats.org/officeDocument/2006/custom-properties" xmlns:vt="http://schemas.openxmlformats.org/officeDocument/2006/docPropsVTypes"/>
</file>