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w:t>
      </w:r>
      <w:r>
        <w:rPr>
          <w:b/>
          <w:bCs/>
        </w:rPr>
        <w:t xml:space="preserve">ein</w:t>
      </w:r>
      <w:r>
        <w:t xml:space="preserve"> Anschlusspunkt je </w:t>
      </w:r>
      <w:r>
        <w:rPr>
          <w:b/>
          <w:bCs/>
        </w:rPr>
        <w:t xml:space="preserve">angefangenem Meter Wandlänge</w:t>
      </w:r>
      <w:r>
        <w:t xml:space="preserve">, </w:t>
      </w:r>
      <w:r>
        <w:rPr>
          <w:b/>
          <w:bCs/>
        </w:rPr>
        <w:t xml:space="preserve">mindestens einer</w:t>
      </w:r>
      <w:r>
        <w:t xml:space="preserve"> – auch eine Wand unter einem Meter trägt einen Punkt. Maßgebend ist die </w:t>
      </w:r>
      <w:r>
        <w:rPr>
          <w:b/>
          <w:bCs/>
        </w:rPr>
        <w:t xml:space="preserve">volle Wandlänge</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w:t>
      </w:r>
      <w:r>
        <w:t xml:space="preserve"> gibt es </w:t>
      </w:r>
      <w:r>
        <w:rPr>
          <w:b/>
          <w:bCs/>
        </w:rPr>
        <w:t xml:space="preserve">höchstens so viele</w:t>
      </w:r>
      <w:r>
        <w:t xml:space="preserve"> Spannachsen wie Zielpunkte, werden </w:t>
      </w:r>
      <w:r>
        <w:rPr>
          <w:b/>
          <w:bCs/>
        </w:rPr>
        <w:t xml:space="preserve">alle</w:t>
      </w:r>
      <w:r>
        <w:t xml:space="preserve"> genommen und </w:t>
      </w:r>
      <w:r>
        <w:rPr>
          <w:b/>
          <w:bCs/>
        </w:rPr>
        <w:t xml:space="preserve">nichts</w:t>
      </w:r>
      <w:r>
        <w:t xml:space="preserve"> aufgefüllt. Sonst werden </w:t>
      </w:r>
      <w:r>
        <w:rPr>
          <w:b/>
          <w:bCs/>
        </w:rPr>
        <w:t xml:space="preserve">erste und letzte</w:t>
      </w:r>
      <w:r>
        <w:t xml:space="preserve"> Achse gesetzt und die übrigen Punkte </w:t>
      </w:r>
      <w:r>
        <w:rPr>
          <w:b/>
          <w:bCs/>
        </w:rPr>
        <w:t xml:space="preserve">gleichmäßig über die Achsenliste</w:t>
      </w:r>
      <w:r>
        <w:t xml:space="preserve"> verteilt – gezählt wird in </w:t>
      </w:r>
      <w:r>
        <w:rPr>
          <w:b/>
          <w:bCs/>
        </w:rPr>
        <w:t xml:space="preserve">Achsen</w:t>
      </w:r>
      <w:r>
        <w:t xml:space="preserve">, nicht in Millimetern, gerundet kaufmännisch </w:t>
      </w:r>
      <w:r>
        <w:rPr>
          <w:b/>
          <w:bCs/>
        </w:rPr>
        <w:t xml:space="preserve">zur geraden Zahl</w:t>
      </w:r>
      <w:r>
        <w:t xml:space="preserve"> wie im ganzen Rechenkern. Bei genau </w:t>
      </w:r>
      <w:r>
        <w:rPr>
          <w:b/>
          <w:bCs/>
        </w:rPr>
        <w:t xml:space="preserve">einem</w:t>
      </w:r>
      <w:r>
        <w:t xml:space="preserve"> Punkt gilt ausgesprochen die </w:t>
      </w:r>
      <w:r>
        <w:rPr>
          <w:b/>
          <w:bCs/>
        </w:rPr>
        <w:t xml:space="preserve">erste</w:t>
      </w:r>
      <w:r>
        <w:t xml:space="preserve"> Achse, statt eine Mitte zu erfinden.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ist damit </w:t>
      </w:r>
      <w:r>
        <w:rPr>
          <w:b/>
          <w:bCs/>
        </w:rPr>
        <w:t xml:space="preserve">noch nicht</w:t>
      </w:r>
      <w:r>
        <w:t xml:space="preserve"> ausgewiesen: sie folgt aus </w:t>
      </w:r>
      <w:r>
        <w:rPr>
          <w:b/>
          <w:bCs/>
        </w:rPr>
        <w:t xml:space="preserve">[P-24]</w:t>
      </w:r>
      <w:r>
        <w:t xml:space="preserve"> und entsteht erst mit dem </w:t>
      </w:r>
      <w:r>
        <w:rPr>
          <w:b/>
          <w:bCs/>
        </w:rPr>
        <w:t xml:space="preserve">dritten Arbeitspaket</w:t>
      </w:r>
      <w:r>
        <w:t xml:space="preserve"> zu #95 in der gemeinsamen Ausgabeschicht aus der </w:t>
      </w:r>
      <w:r>
        <w:rPr>
          <w:b/>
          <w:bCs/>
        </w:rPr>
        <w:t xml:space="preserve">Länge</w:t>
      </w:r>
      <w:r>
        <w:t xml:space="preserve"> dieser Liste. Bis dahin bleibt die Baugruppe </w:t>
      </w:r>
      <w:r>
        <w:rPr>
          <w:b/>
          <w:bCs/>
        </w:rPr>
        <w:t xml:space="preserve">unaufgelöst und benannt gemeldet</w:t>
      </w:r>
      <w:r>
        <w:t xml:space="preserve">, und </w:t>
      </w:r>
      <w:r>
        <w:rPr>
          <w:b/>
          <w:bCs/>
        </w:rPr>
        <w:t xml:space="preserve">keine</w:t>
      </w:r>
      <w:r>
        <w:t xml:space="preserve"> ausgewiesene Menge bewegt sich.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ein Deckenanschluss je Meter Wandlänge, End-/Randachsen zählen mit, bewusst ohne Statik – und der Festlegung desselben Tages, dass jede Spannachse Kandidat ist und die Staffelung keine eigene Anschlussebene bekommt. Mit [P-24] war bis dahin nur die Baugruppe angelegt: der Rechenkern kannte die Einbaustelle nicht, die Baugruppe blieb darum ausdrücklich unaufgelöst, und eine Anzahl ließ sich nirgends gewinnen. Bewusst nicht Gegenstand: die Darstellung des Symbols in Wandansicht und Zeichnung ([D-4], #97) – die Griffe des Editiermodus sind eine Bedienhilfe und nur bei aktivem Modus vorhanden – und die Stücklistenmenge samt der nach [P-24] nötigen Verrechnung mit der Baugruppe „Wandabschluss“ (drittes Arbeitspaket zu #95).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M10 am Winkelstoß und die Scheibe 6,4 mm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M10, </w:t>
      </w:r>
      <w:r>
        <w:rPr>
          <w:b/>
          <w:bCs/>
        </w:rPr>
        <w:t xml:space="preserve">zwei</w:t>
      </w:r>
      <w:r>
        <w:t xml:space="preserve"> Unterlegscheiben M10,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ist </w:t>
      </w:r>
      <w:r>
        <w:rPr>
          <w:b/>
          <w:bCs/>
        </w:rPr>
        <w:t xml:space="preserve">nicht</w:t>
      </w:r>
      <w:r>
        <w:t xml:space="preserve"> die Sechskantschraube am Fuß.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der Katalog sagt ausschließlich, </w:t>
      </w:r>
      <w:r>
        <w:rPr>
          <w:b/>
          <w:bCs/>
        </w:rPr>
        <w:t xml:space="preserve">woraus</w:t>
      </w:r>
      <w:r>
        <w:t xml:space="preserve"> die Baugruppe besteht. Solange der Rechenkern diese Einbaustelle </w:t>
      </w:r>
      <w:r>
        <w:rPr>
          <w:b/>
          <w:bCs/>
        </w:rPr>
        <w:t xml:space="preserve">nicht</w:t>
      </w:r>
      <w:r>
        <w:t xml:space="preserve"> führt, bleibt die Baugruppe </w:t>
      </w:r>
      <w:r>
        <w:rPr>
          <w:b/>
          <w:bCs/>
        </w:rPr>
        <w:t xml:space="preserve">unaufgelöst</w:t>
      </w:r>
      <w:r>
        <w:t xml:space="preserve"> und wird </w:t>
      </w:r>
      <w:r>
        <w:rPr>
          <w:b/>
          <w:bCs/>
        </w:rPr>
        <w:t xml:space="preserve">benannt gemeldet</w:t>
      </w:r>
      <w:r>
        <w:t xml:space="preserve"> – eine Anzahl wird </w:t>
      </w:r>
      <w:r>
        <w:rPr>
          <w:b/>
          <w:bCs/>
        </w:rPr>
        <w:t xml:space="preserve">nicht geraten</w:t>
      </w:r>
      <w:r>
        <w:t xml:space="preserve">, und die ausgewiesenen Mengen bleiben unverändert die gerechneten.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Zwei Regeln dieses Kapitels reichen bewusst über Modul 7 hinaus: der Darstellungsschlüssel des Zuschnitts **[D-4]** gilt gemeinsam für die Wandansicht in Modul 1, die Baugruppenbilder in Modul 5 und das Zeichnungsblatt in Modul 7, und die Symbolmaße nach **[D-9]** gelten für jede Ausgabe, die ein Bauteil als Symbol zeigt.</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2026-09-08T12:59:22.857Z</dcterms:created>
  <dcterms:modified xsi:type="dcterms:W3CDTF">2026-09-08T12:59:22.858Z</dcterms:modified>
</cp:coreProperties>
</file>

<file path=docProps/custom.xml><?xml version="1.0" encoding="utf-8"?>
<Properties xmlns="http://schemas.openxmlformats.org/officeDocument/2006/custom-properties" xmlns:vt="http://schemas.openxmlformats.org/officeDocument/2006/docPropsVTypes"/>
</file>