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obersten Steinreihe ab (Mitte jedes i3-Steins; bei einem i2 am Wandanfang die 2. Rasterachse, bei einem i2 am Wandende die 2. Rasterachse von rechts; im i2-Stapel beide Kammern), ergänzt sie um die Achsen an Öffnungs- und Stufenkanten, ergänzt sie dann so, dass jeder Stein jeder Lage von einer Achse durchgangen wird, füllt verbleibende Lücken bis zum maximalen Achsabstand auf und spannt zuletzt jeden i3 der obersten Reihe symmetrisch – mittig oder in Feld 1 und Feld 3 ([V-12]). Eine wählbare Startachse und eine unbedingt gesetzte Endachse gibt es nicht mehr; das äußere Randfeld bleibt frei, außer ein i3 am Wandende wird nach [V-12] in Feld 1 und Feld 3 gespannt.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Fassung 29.10.2026): [V-1] Kammerraster, [V-9] manuelle Achsen, [V-3]/[V-11] Grundachsen aus der </w:t>
      </w:r>
      <w:r>
        <w:rPr>
          <w:b/>
          <w:bCs/>
        </w:rPr>
        <w:t xml:space="preserve">obersten</w:t>
      </w:r>
      <w:r>
        <w:t xml:space="preserve"> Lage (Kopfsteine), [V-2] Steinabdeckung (MUSS, additiv), [V-7]/[V-8] Zusatzachsen an Stufen- und Öffnungskanten, [V-4] maximaler Achsabstand als Obergrenze, zuletzt [V-12] Symmetrie der i3 der obersten Lage (MUSS). Die Grundachsen legen die Achslage fest — mittig im i3, an einem i2-Wandrand auf der zweiten Rasterachse, im i2-Stapel in beiden Kammern; die Steinabdeckung bleibt die zwingende Vollständigkeitsregel und ergänzt rein additiv, der Maximalabstand bleibt zusätzlich zwingend, weil er ein Statik-Parameter ist und aus der Steinabdeckung nicht folgt; [V-12] schließt ab und verletzt keine der vorigen Regeln.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Abdichtung</w:t>
      </w:r>
    </w:p>
    <w:p>
      <w:pPr>
        <w:spacing w:after="120"/>
      </w:pPr>
      <w:r>
        <w:t xml:space="preserve">Die vertikalen Stoßfugen zwischen Steinen werden gezählt (bom.stossfugen). Für erhöhte Anforderungen (z. B. Schallschutz) wird in jede innere Stoßfuge ein Abdichtungsstreifen eingelegt – je nach gewähltem Produkt ein Dichtstreifen oder ein Gipsfaserstreifen,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die Stoßfugen-Abdichtung führt, siehe [A-6]. WAS in die Fugen kommt, ist keine eigene Zeile und kein eigenes Merkmal, sondern allein die Produktwahl der Verwendungsstelle „Stoßfugen-Abdichtung – Einbauposition“ (Rolle dicht_stk, gewählt in Modul 1 bzw. im Sammel-Editor): der Standardkatalog führt dafür seit Fassung v6 neben dem vorbelegten Dichtstreifen den Gipsfaserstreifen 200 × 20 × 10 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obersten Lage ([V-3]/[V-11]/[V-12]).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zusätzliche Achse für einen noch nicht gehaltenen Stein liegt in der </w:t>
      </w:r>
      <w:r>
        <w:rPr>
          <w:b/>
          <w:bCs/>
        </w:rPr>
        <w:t xml:space="preserve">rechtesten Zelle des Steins, die in keinem i3 der obersten Lage liegt</w:t>
      </w:r>
      <w:r>
        <w:t xml:space="preserve"> – so bleibt jeder i3 der obersten Lage mittig gespannt ([V-12], „bevorzugt in der Mitte“). Liegen </w:t>
      </w:r>
      <w:r>
        <w:rPr>
          <w:b/>
          <w:bCs/>
        </w:rPr>
        <w:t xml:space="preserve">alle</w:t>
      </w:r>
      <w:r>
        <w:t xml:space="preserve"> Zellen des Steins in i3 der obersten Lage, wird statt einer unsymmetrischen Zusatzachse der i3 der obersten Lage, der dem </w:t>
      </w:r>
      <w:r>
        <w:rPr>
          <w:b/>
          <w:bCs/>
        </w:rPr>
        <w:t xml:space="preserve">Wandende am nächsten</w:t>
      </w:r>
      <w:r>
        <w:t xml:space="preserve"> liegt (Gleichstand: der linke), in </w:t>
      </w:r>
      <w:r>
        <w:rPr>
          <w:b/>
          <w:bCs/>
        </w:rPr>
        <w:t xml:space="preserve">Feld 1 und Feld 3</w:t>
      </w:r>
      <w:r>
        <w:t xml:space="preserve"> gespannt ([V-12], KKI 2).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 in der obersten Lage.</w:t>
      </w:r>
      <w:r>
        <w:t xml:space="preserve"> Jeder i3-Stein der </w:t>
      </w:r>
      <w:r>
        <w:rPr>
          <w:b/>
          <w:bCs/>
        </w:rPr>
        <w:t xml:space="preserve">obersten</w:t>
      </w:r>
      <w:r>
        <w:t xml:space="preserve"> Steinreihe trägt eine automatisch gesetzte Spannachse auf seiner </w:t>
      </w:r>
      <w:r>
        <w:rPr>
          <w:b/>
          <w:bCs/>
        </w:rPr>
        <w:t xml:space="preserve">Rastermitte</w:t>
      </w:r>
      <w:r>
        <w:t xml:space="preserve"> (Feld 2; Stein [a, a+3) → Achse a+1) – an jeder Stelle der Lage, unabhängig davon, ob der Stein ohnehin schon von einer Nachbarachse durchgangen wäre. Wird der Stein nach [V-12] in Feld 1 und Feld 3 gespannt, entfällt die Mitte. </w:t>
      </w:r>
      <w:r>
        <w:rPr>
          <w:b/>
          <w:bCs/>
        </w:rPr>
        <w:t xml:space="preserve">Oberste Lage</w:t>
      </w:r>
      <w:r>
        <w:t xml:space="preserve"> heißt: die Steine, über denen </w:t>
      </w:r>
      <w:r>
        <w:rPr>
          <w:b/>
          <w:bCs/>
        </w:rPr>
        <w:t xml:space="preserve">kein</w:t>
      </w:r>
      <w:r>
        <w:t xml:space="preserve"> weiterer Stein liegt (Kopfsteine) – ohne Staffelung genau die oberste Lage, mit Staffelung die lokale Oberkante; ein an einer Stufe teilweise überbauter Stein zählt nicht dazu. </w:t>
      </w:r>
      <w:r>
        <w:rPr>
          <w:b/>
          <w:bCs/>
        </w:rPr>
        <w:t xml:space="preserve">Ist eine Ausgleichslage gebaut ([G-13]), ist sie die oberste Lage</w:t>
      </w:r>
      <w:r>
        <w:t xml:space="preserve"> (Entscheid 29.10.2026): sie ist die oberste gebaute Lage unmittelbar unter dem oberen Anschluss ([A-2]) und dem Deckenanschluss ([A-26]), ihre Steine sind i2/i3 mit denselben Kammern ([G-16]/[G-17]), und eine zweite Bezugslage neben ihr wäre eine konkurrierende Regel. Der </w:t>
      </w:r>
      <w:r>
        <w:rPr>
          <w:b/>
          <w:bCs/>
        </w:rPr>
        <w:t xml:space="preserve">i3-Stapel</w:t>
      </w:r>
      <w:r>
        <w:t xml:space="preserve"> (Wand nur aus i3, direkt und ohne Versatz übereinander) erhält damit </w:t>
      </w:r>
      <w:r>
        <w:rPr>
          <w:b/>
          <w:bCs/>
        </w:rPr>
        <w:t xml:space="preserve">genau eine</w:t>
      </w:r>
      <w:r>
        <w:t xml:space="preserve"> Achse mittig in Feld 2 (Miro R01 SA 3b; eine zweite Achse nach KKI 5 „nach aktuellem Stand nicht“). Bis 29.10.2026 war die Bezugslage die </w:t>
      </w:r>
      <w:r>
        <w:rPr>
          <w:b/>
          <w:bCs/>
        </w:rPr>
        <w:t xml:space="preserve">unterste</w:t>
      </w:r>
      <w:r>
        <w:t xml:space="preserve"> Steinreihe (Issue #104); bis Issue #104 war die Regel eine bloße Wunschposition innerhalb von [V-2].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(seit 29.10.2026 dem der obersten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 </w:t>
      </w:r>
      <w:r>
        <w:rPr>
          <w:b/>
          <w:bCs/>
        </w:rPr>
        <w:t xml:space="preserve">Bedienung und Hinweis (Felix Bauroth, 29.10.2026):</w:t>
      </w:r>
      <w:r>
        <w:t xml:space="preserve"> Beim ersten Bearbeiten in Modul 1 werden die automatisch verteilten Achsen als Startliste übernommen; ab dann gelten nur noch die gesetzten Achsen, und das Tool ändert sie nicht mehr, bis „Zurück zu Auto“ den Override zurücknimmt. Eine solche Wand zeigt das im </w:t>
      </w:r>
      <w:r>
        <w:rPr>
          <w:b/>
          <w:bCs/>
        </w:rPr>
        <w:t xml:space="preserve">Planungstool gut sichtbar</w:t>
      </w:r>
      <w:r>
        <w:t xml:space="preserve"> an – in Modul 1 als Kennzeichnung „Spannachsen manuell“ mit der Zahl der Achsen samt Hinweis auf die abgeschaltete Verteilung und die [V-2]-Befunde, in der Wandliste des Geschosseditors als Kennzeichnung je Wand. Der Hinweis ist reine Anzeige aus prestress.columns_grid und steht </w:t>
      </w:r>
      <w:r>
        <w:rPr>
          <w:b/>
          <w:bCs/>
        </w:rPr>
        <w:t xml:space="preserve">nicht</w:t>
      </w:r>
      <w:r>
        <w:t xml:space="preserve"> auf dem Zeichnungsblatt (Planexport: noch zu klären).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 und im i2-Stapel.</w:t>
      </w:r>
      <w:r>
        <w:t xml:space="preserve"> Beginnt die </w:t>
      </w:r>
      <w:r>
        <w:rPr>
          <w:b/>
          <w:bCs/>
        </w:rPr>
        <w:t xml:space="preserve">oberste</w:t>
      </w:r>
      <w:r>
        <w:t xml:space="preserve"> Steinreihe (Bezugslage wie [V-3])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Ein </w:t>
      </w:r>
      <w:r>
        <w:rPr>
          <w:b/>
          <w:bCs/>
        </w:rPr>
        <w:t xml:space="preserve">i2-Stapel</w:t>
      </w:r>
      <w:r>
        <w:t xml:space="preserve"> – eine Wand </w:t>
      </w:r>
      <w:r>
        <w:rPr>
          <w:b/>
          <w:bCs/>
        </w:rPr>
        <w:t xml:space="preserve">nur aus i2</w:t>
      </w:r>
      <w:r>
        <w:t xml:space="preserve">, die </w:t>
      </w:r>
      <w:r>
        <w:rPr>
          <w:b/>
          <w:bCs/>
        </w:rPr>
        <w:t xml:space="preserve">direkt und ohne Versatz</w:t>
      </w:r>
      <w:r>
        <w:t xml:space="preserve"> übereinander stehen (Definition Felix Bauroth, 29.10.2026) – wird in </w:t>
      </w:r>
      <w:r>
        <w:rPr>
          <w:b/>
          <w:bCs/>
        </w:rPr>
        <w:t xml:space="preserve">beiden Kammern</w:t>
      </w:r>
      <w:r>
        <w:t xml:space="preserve"> gespannt: </w:t>
      </w:r>
      <w:r>
        <w:rPr>
          <w:b/>
          <w:bCs/>
        </w:rPr>
        <w:t xml:space="preserve">zwei</w:t>
      </w:r>
      <w:r>
        <w:t xml:space="preserve"> Achsen je i2 (Miro R01 SA 3a, Issue #122; bis 29.10.2026 genau eine Achse nach der Anfangsregel). Die </w:t>
      </w:r>
      <w:r>
        <w:rPr>
          <w:b/>
          <w:bCs/>
        </w:rPr>
        <w:t xml:space="preserve">Anfangsregel</w:t>
      </w:r>
      <w:r>
        <w:t xml:space="preserve"> (genau </w:t>
      </w:r>
      <w:r>
        <w:rPr>
          <w:b/>
          <w:bCs/>
        </w:rPr>
        <w:t xml:space="preserve">eine</w:t>
      </w:r>
      <w:r>
        <w:t xml:space="preserve"> Grundachse auf der 2. Rasterachse, wenn ein einzelner i2 zugleich erster und letzter Stein ist) gilt nur noch, wenn die Wand </w:t>
      </w:r>
      <w:r>
        <w:rPr>
          <w:b/>
          <w:bCs/>
        </w:rPr>
        <w:t xml:space="preserve">kein</w:t>
      </w:r>
      <w:r>
        <w:t xml:space="preserve"> i2-Stapel ist.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ListParagraph"/>
        <w:numPr>
          <w:ilvl w:val="0"/>
          <w:numId w:val="2"/>
        </w:numPr>
        <w:spacing w:after="60"/>
      </w:pPr>
      <w:r>
        <w:rPr>
          <w:b/>
          <w:bCs/>
        </w:rPr>
        <w:t xml:space="preserve">[V-12 · MUSS]</w:t>
      </w:r>
      <w:r>
        <w:t xml:space="preserve"> </w:t>
      </w:r>
      <w:r>
        <w:rPr>
          <w:b/>
          <w:bCs/>
        </w:rPr>
        <w:t xml:space="preserve">i3 der obersten Lage symmetrisch spannen.</w:t>
      </w:r>
      <w:r>
        <w:t xml:space="preserve"> Jeder i3-Stein der obersten Lage (Bezugslage wie [V-3]) trägt seine Spannachsen </w:t>
      </w:r>
      <w:r>
        <w:rPr>
          <w:b/>
          <w:bCs/>
        </w:rPr>
        <w:t xml:space="preserve">symmetrisch</w:t>
      </w:r>
      <w:r>
        <w:t xml:space="preserve">: </w:t>
      </w:r>
      <w:r>
        <w:rPr>
          <w:b/>
          <w:bCs/>
        </w:rPr>
        <w:t xml:space="preserve">bevorzugt nur mittig</w:t>
      </w:r>
      <w:r>
        <w:t xml:space="preserve"> (Feld 2), </w:t>
      </w:r>
      <w:r>
        <w:rPr>
          <w:b/>
          <w:bCs/>
        </w:rPr>
        <w:t xml:space="preserve">wenn nötig in Feld 1 und Feld 3</w:t>
      </w:r>
      <w:r>
        <w:t xml:space="preserve"> (Miro R01 SA 2). Nötig ist es, sobald eine Achse in Feld 1 oder Feld 3 des Steins liegt – aus der Steinabdeckung [V-2], einer Zusatzachse [V-7]/[V-8] oder dem Höchstabstand [V-4]: dann wird die </w:t>
      </w:r>
      <w:r>
        <w:rPr>
          <w:b/>
          <w:bCs/>
        </w:rPr>
        <w:t xml:space="preserve">Gegenseite ergänzt</w:t>
      </w:r>
      <w:r>
        <w:t xml:space="preserve"> und die </w:t>
      </w:r>
      <w:r>
        <w:rPr>
          <w:b/>
          <w:bCs/>
        </w:rPr>
        <w:t xml:space="preserve">Mitte entfernt</w:t>
      </w:r>
      <w:r>
        <w:t xml:space="preserve">. Die Mitte bleibt nur, wenn sie selbst eine Zusatzachse [V-7]/[V-8] ist oder [V-4] weniger als 2 Raster erlaubt – dann sind alle drei Felder belegt, auch das ist symmetrisch. </w:t>
      </w:r>
      <w:r>
        <w:rPr>
          <w:b/>
          <w:bCs/>
        </w:rPr>
        <w:t xml:space="preserve">Am Wandende</w:t>
      </w:r>
      <w:r>
        <w:t xml:space="preserve"> ist das der Fall aus </w:t>
      </w:r>
      <w:r>
        <w:rPr>
          <w:b/>
          <w:bCs/>
        </w:rPr>
        <w:t xml:space="preserve">KKI 2</w:t>
      </w:r>
      <w:r>
        <w:t xml:space="preserve">: hält die Mitte des ersten (bzw. letzten) i3 der obersten Lage einen Stein einer anderen Lage nicht – im Läuferverband typischerweise den zweiten i2 vom Wandrand –, wird </w:t>
      </w:r>
      <w:r>
        <w:rPr>
          <w:b/>
          <w:bCs/>
        </w:rPr>
        <w:t xml:space="preserve">im ersten i3 doppelt in Feld 1 und Feld 3</w:t>
      </w:r>
      <w:r>
        <w:t xml:space="preserve"> gespannt statt einer unsymmetrischen Zusatzachse im Nachbarstein; der Deckenanschluss liegt dann in Feld 3 ([A-26], DA 2). Damit liegt in diesem Fall eine Achse im äußeren Randfeld – das ist gewollt und hebt für diesen Fall die Randaussage aus Issue #104 auf. </w:t>
      </w:r>
      <w:r>
        <w:rPr>
          <w:b/>
          <w:bCs/>
        </w:rPr>
        <w:t xml:space="preserve">Vorläufige Annahme (bis Bestätigung durch Felix Bauroth):</w:t>
      </w:r>
      <w:r>
        <w:t xml:space="preserve"> „bei Bedarf“ aus KKI 2 ist genau dieser [V-2]-Bedarf, und wo zwei i3 in Frage kommen, wird der </w:t>
      </w:r>
      <w:r>
        <w:rPr>
          <w:b/>
          <w:bCs/>
        </w:rPr>
        <w:t xml:space="preserve">dem Wandende nächste</w:t>
      </w:r>
      <w:r>
        <w:t xml:space="preserve"> gespannt (Gleichstand: der linke); im Inneren der Wand gilt dieselbe Regel. Die Regel verletzt </w:t>
      </w:r>
      <w:r>
        <w:rPr>
          <w:b/>
          <w:bCs/>
        </w:rPr>
        <w:t xml:space="preserve">keine</w:t>
      </w:r>
      <w:r>
        <w:t xml:space="preserve"> vorige: jeder Stein, der die Mitte enthält, enthält auch Feld 1 oder Feld 3 (kein Stein ist schmaler als 2 Raster) – [V-2] bleibt erfüllt; der Abstand Feld 1 → Feld 3 ist 2 Raster, die Abstände nach außen werden nur kleiner – [V-4] bleibt erfüllt; Zusatzachsen [V-7]/[V-8] werden nie entfernt. Manuelle Achsen ([V-9]) werden auch hiernach </w:t>
      </w:r>
      <w:r>
        <w:rPr>
          <w:b/>
          <w:bCs/>
        </w:rPr>
        <w:t xml:space="preserve">nicht</w:t>
      </w:r>
      <w:r>
        <w:t xml:space="preserve"> ergänzt. Priorität: Muss-Regel der Achslage, sie schließt die Verteilung ab.</w:t>
      </w:r>
    </w:p>
    <w:p>
      <w:pPr>
        <w:pBdr>
          <w:left w:val="single" w:color="E0B400" w:sz="18" w:space="6"/>
        </w:pBdr>
        <w:shd w:fill="FFF8E6" w:val="clear"/>
        <w:spacing w:after="120" w:before="80"/>
      </w:pPr>
      <w:r>
        <w:t xml:space="preserve">Herkunft [V-3]/[V-11]/[V-12] (Fassung 29.10.2026): Miro-Board „SEMBLA-Suite“, Tabelle „Gegenüberstellung R01“, Zeilen mit Status „Übernehmen“ – Felix Bauroth, 28.10.2026, ergänzt im Teams-Chat am 29.10.2026: SA 2 (i3 in der obersten Lage symmetrisch, bevorzugt mittig, wenn nötig nach Regel 1 = [V-2] in Feld 1 und 3), KKI 2 (bei Bedarf im ersten i3 doppelt in Feld 1 und Feld 3, Deckenanschluss dann in Feld 3; Skizze auf dem Board), SA 3a (i2-Stapel mit 2 Spannachsen, deckt Issue #122 ab), SA 3b (i3-Stapel mittig in Feld 2) und KKI 5 (i3-Stapel nach aktuellem Stand nicht mit zwei Achsen). Unverändert gelten SA 0 (375 mm ist Höchstabstand [V-4], kein festes Raster) und SA 1 (= [V-2]). Rechenkern und Python-Orakel rechnen bitgleich; der Steinverband ist durch die neue Fassung nicht berührt. Offen und als vorläufige Annahme gekennzeichnet: die Auslegung von „bei Bedarf“ und die Wahl zwischen zwei in Frage kommenden i3 ([V-12]).</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Positionen der Stoßfugen-Abdichtung; sonst entfallen sie vollständig. </w:t>
      </w:r>
      <w:r>
        <w:rPr>
          <w:b/>
          <w:bCs/>
        </w:rPr>
        <w:t xml:space="preserve">Das Material ist eine Produktwahl, keine eigene Zeile:</w:t>
      </w:r>
      <w:r>
        <w:t xml:space="preserve"> welches Produkt in die inneren Stoßfugen kommt (z. B. Dichtstreifen oder Gipsfaserstreifen), entscheidet allein die gewählte Produktzuordnung der Verwendungsstelle „Stoßfugen-Abdichtung – Einbauposition“ (dicht_stk, </w:t>
      </w:r>
      <w:r>
        <w:rPr>
          <w:b/>
          <w:bCs/>
        </w:rPr>
        <w:t xml:space="preserve">[P-13]</w:t>
      </w:r>
      <w:r>
        <w:t xml:space="preserve">); die Einbauposition heißt dann „Stoßfugen: ‹Produktbezeichnung›“ bei unveränderter Menge (Zahl der inneren Stoßfugen) und unveränderter Stelle in der Liste. Ohne eindeutig aufgelöstes Produkt (kein Katalog, keine oder mehrdeutige Wahl, </w:t>
      </w:r>
      <w:r>
        <w:rPr>
          <w:b/>
          <w:bCs/>
        </w:rPr>
        <w:t xml:space="preserve">[P-14]</w:t>
      </w:r>
      <w:r>
        <w:t xml:space="preserve">) steht die neutrale Bezeichnung „Stoßfugen-Abdichtung 20 cm“ – es wird kein Material geraten. Die Gesamtlänge heißt neutral „Stoßfugen-Abdichtung – Gesamtlänge“.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2026-10-29</w:t>
      </w:r>
      <w:r>
        <w:t xml:space="preserve">, Miro R01 DA 1–DA 3): </w:t>
      </w:r>
      <w:r>
        <w:rPr>
          <w:b/>
          <w:bCs/>
        </w:rPr>
        <w:t xml:space="preserve">Feld</w:t>
      </w:r>
      <w:r>
        <w:t xml:space="preserve"> heißt hier das </w:t>
      </w:r>
      <w:r>
        <w:rPr>
          <w:b/>
          <w:bCs/>
        </w:rPr>
        <w:t xml:space="preserve">125-mm-Rasterfeld, gezählt vom jeweiligen Wandende</w:t>
      </w:r>
      <w:r>
        <w:t xml:space="preserve"> – Feld 1 ist das äußerste; die Spannachse auf Rasterindex k liegt vom linken Ende aus in Feld k+1, vom rechten in Feld N−k (N = Rasterbreite der Wand). </w:t>
      </w:r>
      <w:r>
        <w:rPr>
          <w:b/>
          <w:bCs/>
        </w:rPr>
        <w:t xml:space="preserve">An beiden Wandenden</w:t>
      </w:r>
      <w:r>
        <w:t xml:space="preserve"> steht </w:t>
      </w:r>
      <w:r>
        <w:rPr>
          <w:b/>
          <w:bCs/>
        </w:rPr>
        <w:t xml:space="preserve">spätestens im 3. Feld</w:t>
      </w:r>
      <w:r>
        <w:t xml:space="preserve"> ein Deckenanschluss (</w:t>
      </w:r>
      <w:r>
        <w:rPr>
          <w:b/>
          <w:bCs/>
        </w:rPr>
        <w:t xml:space="preserve">DA 2</w:t>
      </w:r>
      <w:r>
        <w:t xml:space="preserve">), und </w:t>
      </w:r>
      <w:r>
        <w:rPr>
          <w:b/>
          <w:bCs/>
        </w:rPr>
        <w:t xml:space="preserve">im 1. Feld steht nie einer</w:t>
      </w:r>
      <w:r>
        <w:t xml:space="preserve"> (</w:t>
      </w:r>
      <w:r>
        <w:rPr>
          <w:b/>
          <w:bCs/>
        </w:rPr>
        <w:t xml:space="preserve">DA 3</w:t>
      </w:r>
      <w:r>
        <w:t xml:space="preserve">) – je Ende also ein Anschluss auf einer Spannachse in </w:t>
      </w:r>
      <w:r>
        <w:rPr>
          <w:b/>
          <w:bCs/>
        </w:rPr>
        <w:t xml:space="preserve">Feld 2 oder 3</w:t>
      </w:r>
      <w:r>
        <w:t xml:space="preserve">.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DA 1</w:t>
      </w:r>
      <w:r>
        <w:t xml:space="preserve">).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 außerhalb von Feld 1</w:t>
      </w:r>
      <w:r>
        <w:t xml:space="preserve">, auch eine, die unter einer Staffelstufe endet – dieselbe Festlegung. – </w:t>
      </w:r>
      <w:r>
        <w:rPr>
          <w:b/>
          <w:bCs/>
        </w:rPr>
        <w:t xml:space="preserve">Gewählt wird deterministisch, in dieser Rangfolge:</w:t>
      </w:r>
      <w:r>
        <w:t xml:space="preserve"> (1) je Wandende eine Achse in Feld 2–3, (2) die </w:t>
      </w:r>
      <w:r>
        <w:rPr>
          <w:b/>
          <w:bCs/>
        </w:rPr>
        <w:t xml:space="preserve">kleinstmögliche Punktzahl</w:t>
      </w:r>
      <w:r>
        <w:t xml:space="preserve">, (3) bei Gleichstand je Ende die </w:t>
      </w:r>
      <w:r>
        <w:rPr>
          <w:b/>
          <w:bCs/>
        </w:rPr>
        <w:t xml:space="preserve">äußere</w:t>
      </w:r>
      <w:r>
        <w:t xml:space="preserve"> Achse (Feld 2 vor Feld 3, links vor rechts). Zwischen den beiden Randpunkten wird von links nach rechts jeweils die </w:t>
      </w:r>
      <w:r>
        <w:rPr>
          <w:b/>
          <w:bCs/>
        </w:rPr>
        <w:t xml:space="preserve">entfernteste</w:t>
      </w:r>
      <w:r>
        <w:t xml:space="preserve"> Spannachse gesetzt, die von der zuletzt gesetzten aus noch innerhalb von 1125 mm liegt. Die Regel arbeitet auf </w:t>
      </w:r>
      <w:r>
        <w:rPr>
          <w:b/>
          <w:bCs/>
        </w:rPr>
        <w:t xml:space="preserve">beliebigen Achslagen</w:t>
      </w:r>
      <w:r>
        <w:t xml:space="preserve"> und greift </w:t>
      </w:r>
      <w:r>
        <w:rPr>
          <w:b/>
          <w:bCs/>
        </w:rPr>
        <w:t xml:space="preserve">nicht</w:t>
      </w:r>
      <w:r>
        <w:t xml:space="preserve"> in die Spannachsenverteilung ein: steht etwa am Wandende eine Achse in Feld 1 </w:t>
      </w:r>
      <w:r>
        <w:rPr>
          <w:b/>
          <w:bCs/>
        </w:rPr>
        <w:t xml:space="preserve">und</w:t>
      </w:r>
      <w:r>
        <w:t xml:space="preserve"> eine in Feld 3, sitzt der Anschluss in Feld 3. – </w:t>
      </w:r>
      <w:r>
        <w:rPr>
          <w:b/>
          <w:bCs/>
        </w:rPr>
        <w:t xml:space="preserve">Steht an einem Ende in Feld 2–3 keine Spannachse, wird keine erfunden:</w:t>
      </w:r>
      <w:r>
        <w:t xml:space="preserve"> genommen wird die </w:t>
      </w:r>
      <w:r>
        <w:rPr>
          <w:b/>
          <w:bCs/>
        </w:rPr>
        <w:t xml:space="preserve">nächste zulässige</w:t>
      </w:r>
      <w:r>
        <w:t xml:space="preserve"> Achse (die dem Ende nächste außerhalb von Feld 1), und das Ende wird </w:t>
      </w:r>
      <w:r>
        <w:rPr>
          <w:b/>
          <w:bCs/>
        </w:rPr>
        <w:t xml:space="preserve">sichtbar benannt</w:t>
      </w:r>
      <w:r>
        <w:t xml:space="preserve"> (validation.deckenanschluss_rand, Grund „kein Anschluss in Feld 2–3“ mit dem tatsächlichen Feld; Modul 1 zeigt es als Warnung). – </w:t>
      </w:r>
      <w:r>
        <w:rPr>
          <w:b/>
          <w:bCs/>
        </w:rPr>
        <w:t xml:space="preserve">Kurze Wände:</w:t>
      </w:r>
      <w:r>
        <w:t xml:space="preserve"> Bei </w:t>
      </w:r>
      <w:r>
        <w:rPr>
          <w:b/>
          <w:bCs/>
        </w:rPr>
        <w:t xml:space="preserve">weniger als sechs</w:t>
      </w:r>
      <w:r>
        <w:t xml:space="preserve"> Feldern überlappen die Felder 2–3 der beiden Enden; </w:t>
      </w:r>
      <w:r>
        <w:rPr>
          <w:b/>
          <w:bCs/>
        </w:rPr>
        <w:t xml:space="preserve">eine</w:t>
      </w:r>
      <w:r>
        <w:t xml:space="preserve"> Achse im Überlapp erfüllt dann beide Enden, und es entsteht </w:t>
      </w:r>
      <w:r>
        <w:rPr>
          <w:b/>
          <w:bCs/>
        </w:rPr>
        <w:t xml:space="preserve">genau ein</w:t>
      </w:r>
      <w:r>
        <w:t xml:space="preserve"> Punkt (z. B. drei Felder: die mittlere Achse ist von beiden Enden Feld 2). Eine Wand mit </w:t>
      </w:r>
      <w:r>
        <w:rPr>
          <w:b/>
          <w:bCs/>
        </w:rPr>
        <w:t xml:space="preserve">nur einer</w:t>
      </w:r>
      <w:r>
        <w:t xml:space="preserve"> Spannachse trägt genau diesen einen Punkt, sofern die Achse nicht in Feld 1 liegt. Bei </w:t>
      </w:r>
      <w:r>
        <w:rPr>
          <w:b/>
          <w:bCs/>
        </w:rPr>
        <w:t xml:space="preserve">weniger als drei</w:t>
      </w:r>
      <w:r>
        <w:t xml:space="preserve"> Feldern (einzelner i2, 250 mm) ist </w:t>
      </w:r>
      <w:r>
        <w:rPr>
          <w:b/>
          <w:bCs/>
        </w:rPr>
        <w:t xml:space="preserve">jedes</w:t>
      </w:r>
      <w:r>
        <w:t xml:space="preserve"> Feld von einem der Enden aus Feld 1 – die Regel ist dort </w:t>
      </w:r>
      <w:r>
        <w:rPr>
          <w:b/>
          <w:bCs/>
        </w:rPr>
        <w:t xml:space="preserve">unerfüllbar</w:t>
      </w:r>
      <w:r>
        <w:t xml:space="preserve">: es entsteht </w:t>
      </w:r>
      <w:r>
        <w:rPr>
          <w:b/>
          <w:bCs/>
        </w:rPr>
        <w:t xml:space="preserve">kein</w:t>
      </w:r>
      <w:r>
        <w:t xml:space="preserve"> Punkt, und </w:t>
      </w:r>
      <w:r>
        <w:rPr>
          <w:b/>
          <w:bCs/>
        </w:rPr>
        <w:t xml:space="preserve">beide</w:t>
      </w:r>
      <w:r>
        <w:t xml:space="preserve"> Enden werden benannt; ein Anschluss in Feld 1 wird </w:t>
      </w:r>
      <w:r>
        <w:rPr>
          <w:b/>
          <w:bCs/>
        </w:rPr>
        <w:t xml:space="preserve">nicht</w:t>
      </w:r>
      <w:r>
        <w:t xml:space="preserve"> ersatzweise gesetzt (</w:t>
      </w:r>
      <w:r>
        <w:rPr>
          <w:b/>
          <w:bCs/>
        </w:rPr>
        <w:t xml:space="preserve">[P-9]</w:t>
      </w:r>
      <w:r>
        <w:t xml:space="preserve">).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w:t>
      </w:r>
      <w:r>
        <w:rPr>
          <w:b/>
          <w:bCs/>
        </w:rPr>
        <w:t xml:space="preserve">Die Randfelder nach [A-26] (DA 2/DA 3) werden auch am Override geprüft, aber nicht erzwungen</w:t>
      </w:r>
      <w:r>
        <w:t xml:space="preserve"> (Fassung vom </w:t>
      </w:r>
      <w:r>
        <w:rPr>
          <w:b/>
          <w:bCs/>
        </w:rPr>
        <w:t xml:space="preserve">2026-10-29</w:t>
      </w:r>
      <w:r>
        <w:t xml:space="preserve">): ein gesetzter Punkt in </w:t>
      </w:r>
      <w:r>
        <w:rPr>
          <w:b/>
          <w:bCs/>
        </w:rPr>
        <w:t xml:space="preserve">Feld 1</w:t>
      </w:r>
      <w:r>
        <w:t xml:space="preserve"> und ein Wandende </w:t>
      </w:r>
      <w:r>
        <w:rPr>
          <w:b/>
          <w:bCs/>
        </w:rPr>
        <w:t xml:space="preserve">ohne</w:t>
      </w:r>
      <w:r>
        <w:t xml:space="preserve"> Anschluss bis </w:t>
      </w:r>
      <w:r>
        <w:rPr>
          <w:b/>
          <w:bCs/>
        </w:rPr>
        <w:t xml:space="preserve">Feld 3</w:t>
      </w:r>
      <w:r>
        <w:t xml:space="preserve"> werden je Ende </w:t>
      </w:r>
      <w:r>
        <w:rPr>
          <w:b/>
          <w:bCs/>
        </w:rPr>
        <w:t xml:space="preserve">benannt</w:t>
      </w:r>
      <w:r>
        <w:t xml:space="preserve"> (validation.deckenanschluss_rand, in Modul 1 als Warnung) – der Punkt bleibt, wo er gesetzt ist, und es wird </w:t>
      </w:r>
      <w:r>
        <w:rPr>
          <w:b/>
          <w:bCs/>
        </w:rPr>
        <w:t xml:space="preserve">nichts</w:t>
      </w:r>
      <w:r>
        <w:t xml:space="preserve"> verschoben oder nachgeschoben (</w:t>
      </w:r>
      <w:r>
        <w:rPr>
          <w:b/>
          <w:bCs/>
        </w:rPr>
        <w:t xml:space="preserve">[P-9]</w:t>
      </w:r>
      <w:r>
        <w:t xml:space="preserve">). Die ausdrücklich </w:t>
      </w:r>
      <w:r>
        <w:rPr>
          <w:b/>
          <w:bCs/>
        </w:rPr>
        <w:t xml:space="preserve">leere</w:t>
      </w:r>
      <w:r>
        <w:t xml:space="preserve"> Liste („kein Deckenanschluss“) ist davon ausgenommen; die </w:t>
      </w:r>
      <w:r>
        <w:rPr>
          <w:b/>
          <w:bCs/>
        </w:rPr>
        <w:t xml:space="preserve">1125-mm-Meldung</w:t>
      </w:r>
      <w:r>
        <w:t xml:space="preserve"> gilt weiterhin nur dem Auto-Pfad.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 </w:t>
      </w:r>
      <w:r>
        <w:rPr>
          <w:b/>
          <w:bCs/>
        </w:rPr>
        <w:t xml:space="preserve">Fassung vom 2026-10-29</w:t>
      </w:r>
      <w:r>
        <w:t xml:space="preserve"> (Herkunft: Miro R01 / Felix Bauroth, 28.10.2026, Zeilen DA 2 und DA 3, Status „Übernehmen“; KKI 3 ist darin aufgegangen, KKI 1 ist obsolet und DA 1 – höchstens 1125 mm – bleibt): die frühere Vorgabe „erste und letzte Spannachse immer“ ist ersetzt durch „je Wandende ein Anschluss in Feld 2 oder 3, nie in Feld 1“. Der Override nach [A-27] wird seitdem gegen dieselben Randfelder geprüft und benannt, aber nicht korrigiert. Festgelegt wurden dabei die Rangfolge bei zwei Kandidaten je Ende (zuerst weniger Punkte, dann die äußere Achse), die Behandlung kurzer Wände und der Fall ohne Achse in Feld 2–3 (nächste zulässige Achse, benannt).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w:t>
      </w:r>
      <w:r>
        <w:rPr>
          <w:b/>
          <w:bCs/>
        </w:rPr>
        <w:t xml:space="preserve">vorrangig die feste Stangenfolge nach [Z-9]</w:t>
      </w:r>
      <w:r>
        <w:t xml:space="preserve">; nur wo sie nicht passt, gilt als Rückfall die Hierarchie aus </w:t>
      </w:r>
      <w:r>
        <w:rPr>
          <w:b/>
          <w:bCs/>
        </w:rPr>
        <w:t xml:space="preserve">[Z-2]</w:t>
      </w:r>
      <w:r>
        <w:t xml:space="preserve">: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Style w:val="ListParagraph"/>
        <w:numPr>
          <w:ilvl w:val="0"/>
          <w:numId w:val="2"/>
        </w:numPr>
        <w:spacing w:after="60"/>
      </w:pPr>
      <w:r>
        <w:rPr>
          <w:b/>
          <w:bCs/>
        </w:rPr>
        <w:t xml:space="preserve">[Z-9 · MUSS]</w:t>
      </w:r>
      <w:r>
        <w:t xml:space="preserve"> </w:t>
      </w:r>
      <w:r>
        <w:rPr>
          <w:b/>
          <w:bCs/>
        </w:rPr>
        <w:t xml:space="preserve">Feste Stangenfolge am Strang mit oberem Wandabschluss.</w:t>
      </w:r>
      <w:r>
        <w:t xml:space="preserve"> Für ein Vorspannsegment, das an der </w:t>
      </w:r>
      <w:r>
        <w:rPr>
          <w:b/>
          <w:bCs/>
        </w:rPr>
        <w:t xml:space="preserve">Wandoberkante</w:t>
      </w:r>
      <w:r>
        <w:t xml:space="preserve"> endet und ein Reststück nach </w:t>
      </w:r>
      <w:r>
        <w:rPr>
          <w:b/>
          <w:bCs/>
        </w:rPr>
        <w:t xml:space="preserve">[Z-6]</w:t>
      </w:r>
      <w:r>
        <w:t xml:space="preserve"> trägt (das </w:t>
      </w:r>
      <w:r>
        <w:rPr>
          <w:b/>
          <w:bCs/>
        </w:rPr>
        <w:t xml:space="preserve">Spannstück</w:t>
      </w:r>
      <w:r>
        <w:t xml:space="preserve">), ist die Stückfolge von unten </w:t>
      </w:r>
      <w:r>
        <w:rPr>
          <w:b/>
          <w:bCs/>
        </w:rPr>
        <w:t xml:space="preserve">fest</w:t>
      </w:r>
      <w:r>
        <w:t xml:space="preserve">: die </w:t>
      </w:r>
      <w:r>
        <w:rPr>
          <w:b/>
          <w:bCs/>
        </w:rPr>
        <w:t xml:space="preserve">größte gewählte Standardlänge</w:t>
      </w:r>
      <w:r>
        <w:t xml:space="preserve"> – unten und in der Mitte, </w:t>
      </w:r>
      <w:r>
        <w:rPr>
          <w:b/>
          <w:bCs/>
        </w:rPr>
        <w:t xml:space="preserve">so oft wie nötig</w:t>
      </w:r>
      <w:r>
        <w:t xml:space="preserve"> –, darüber </w:t>
      </w:r>
      <w:r>
        <w:rPr>
          <w:b/>
          <w:bCs/>
        </w:rPr>
        <w:t xml:space="preserve">genau ein variables Stück</w:t>
      </w:r>
      <w:r>
        <w:t xml:space="preserve"> und ganz oben das Spannstück. Die Zahl der großen Stücke ist die </w:t>
      </w:r>
      <w:r>
        <w:rPr>
          <w:b/>
          <w:bCs/>
        </w:rPr>
        <w:t xml:space="preserve">größte</w:t>
      </w:r>
      <w:r>
        <w:t xml:space="preserve">, bei der für das variable Stück noch ein Rest </w:t>
      </w:r>
      <w:r>
        <w:rPr>
          <w:b/>
          <w:bCs/>
        </w:rPr>
        <w:t xml:space="preserve">größer null</w:t>
      </w:r>
      <w:r>
        <w:t xml:space="preserve"> bleibt; das variable Stück ist damit </w:t>
      </w:r>
      <w:r>
        <w:rPr>
          <w:b/>
          <w:bCs/>
        </w:rPr>
        <w:t xml:space="preserve">nie länger</w:t>
      </w:r>
      <w:r>
        <w:t xml:space="preserve"> als die größte Standardlänge. Entspricht es </w:t>
      </w:r>
      <w:r>
        <w:rPr>
          <w:b/>
          <w:bCs/>
        </w:rPr>
        <w:t xml:space="preserve">exakt</w:t>
      </w:r>
      <w:r>
        <w:t xml:space="preserve"> einer gewählten Standardlänge, ist es dieses Standardteil, sonst ein </w:t>
      </w:r>
      <w:r>
        <w:rPr>
          <w:b/>
          <w:bCs/>
        </w:rPr>
        <w:t xml:space="preserve">Sonderzuschnitt</w:t>
      </w:r>
      <w:r>
        <w:t xml:space="preserve"> passend zur Wandhöhe aus dem </w:t>
      </w:r>
      <w:r>
        <w:rPr>
          <w:b/>
          <w:bCs/>
        </w:rPr>
        <w:t xml:space="preserve">kleinsten geeigneten</w:t>
      </w:r>
      <w:r>
        <w:t xml:space="preserve"> Ausgangsprodukt (</w:t>
      </w:r>
      <w:r>
        <w:rPr>
          <w:b/>
          <w:bCs/>
        </w:rPr>
        <w:t xml:space="preserve">[Z-2]</w:t>
      </w:r>
      <w:r>
        <w:t xml:space="preserve">). Mit dem Standardkatalog (v4 bis v6) heißt das: </w:t>
      </w:r>
      <w:r>
        <w:rPr>
          <w:b/>
          <w:bCs/>
        </w:rPr>
        <w:t xml:space="preserve">1050 mm unten, 1050 mm in der Mitte, oben ein variables Stück (bei üblichen Wandhöhen um 820 mm), Spannstück 100 mm</w:t>
      </w:r>
      <w:r>
        <w:t xml:space="preserve">. Die Längen kommen </w:t>
      </w:r>
      <w:r>
        <w:rPr>
          <w:b/>
          <w:bCs/>
        </w:rPr>
        <w:t xml:space="preserve">ausschließlich</w:t>
      </w:r>
      <w:r>
        <w:t xml:space="preserve"> aus dem Katalog (</w:t>
      </w:r>
      <w:r>
        <w:rPr>
          <w:b/>
          <w:bCs/>
        </w:rPr>
        <w:t xml:space="preserve">[Z-1]</w:t>
      </w:r>
      <w:r>
        <w:t xml:space="preserve">); im Code steht keine davon. </w:t>
      </w:r>
      <w:r>
        <w:rPr>
          <w:b/>
          <w:bCs/>
        </w:rPr>
        <w:t xml:space="preserve">Rangfolge:</w:t>
      </w:r>
      <w:r>
        <w:t xml:space="preserve"> [Z-9] steht </w:t>
      </w:r>
      <w:r>
        <w:rPr>
          <w:b/>
          <w:bCs/>
        </w:rPr>
        <w:t xml:space="preserve">über</w:t>
      </w:r>
      <w:r>
        <w:t xml:space="preserve"> der Größenpräferenz aus </w:t>
      </w:r>
      <w:r>
        <w:rPr>
          <w:b/>
          <w:bCs/>
        </w:rPr>
        <w:t xml:space="preserve">[Z-2]</w:t>
      </w:r>
      <w:r>
        <w:t xml:space="preserve">, aber </w:t>
      </w:r>
      <w:r>
        <w:rPr>
          <w:b/>
          <w:bCs/>
        </w:rPr>
        <w:t xml:space="preserve">unter</w:t>
      </w:r>
      <w:r>
        <w:t xml:space="preserve"> den Baubarkeitsregeln </w:t>
      </w:r>
      <w:r>
        <w:rPr>
          <w:b/>
          <w:bCs/>
        </w:rPr>
        <w:t xml:space="preserve">[Z-5]</w:t>
      </w:r>
      <w:r>
        <w:t xml:space="preserve"> (Mindest-Fertigmaß) und </w:t>
      </w:r>
      <w:r>
        <w:rPr>
          <w:b/>
          <w:bCs/>
        </w:rPr>
        <w:t xml:space="preserve">[Z-7]</w:t>
      </w:r>
      <w:r>
        <w:t xml:space="preserve"> (kein Stoß auf einem Zwischenspannpunkt; auch die Kopplung zum Spannstück ist ein Stoß). Verletzt die feste Folge eine davon, wird sie </w:t>
      </w:r>
      <w:r>
        <w:rPr>
          <w:b/>
          <w:bCs/>
        </w:rPr>
        <w:t xml:space="preserve">nicht verbogen</w:t>
      </w:r>
      <w:r>
        <w:t xml:space="preserve">: es gilt unverändert </w:t>
      </w:r>
      <w:r>
        <w:rPr>
          <w:b/>
          <w:bCs/>
        </w:rPr>
        <w:t xml:space="preserve">[Z-2]</w:t>
      </w:r>
      <w:r>
        <w:t xml:space="preserve"> als </w:t>
      </w:r>
      <w:r>
        <w:rPr>
          <w:b/>
          <w:bCs/>
        </w:rPr>
        <w:t xml:space="preserve">Rückfall</w:t>
      </w:r>
      <w:r>
        <w:t xml:space="preserve">, und das Segment wird </w:t>
      </w:r>
      <w:r>
        <w:rPr>
          <w:b/>
          <w:bCs/>
        </w:rPr>
        <w:t xml:space="preserve">sichtbar benannt</w:t>
      </w:r>
      <w:r>
        <w:t xml:space="preserve"> (Segmentfeld stangenschema = rueckfall mit Grund, validation.stangenschema_rueckfall; Modul 1 als Warnung, Modul 7 in der Übersicht), damit es von Hand geprüft werden kann (</w:t>
      </w:r>
      <w:r>
        <w:rPr>
          <w:b/>
          <w:bCs/>
        </w:rPr>
        <w:t xml:space="preserve">[P-9]</w:t>
      </w:r>
      <w:r>
        <w:t xml:space="preserve">). Der Rückfall ist </w:t>
      </w:r>
      <w:r>
        <w:rPr>
          <w:b/>
          <w:bCs/>
        </w:rPr>
        <w:t xml:space="preserve">kein</w:t>
      </w:r>
      <w:r>
        <w:t xml:space="preserve"> Baubarkeitsausschluss und </w:t>
      </w:r>
      <w:r>
        <w:rPr>
          <w:b/>
          <w:bCs/>
        </w:rPr>
        <w:t xml:space="preserve">kein</w:t>
      </w:r>
      <w:r>
        <w:t xml:space="preserve"> Zuschnittkonflikt. Segmente </w:t>
      </w:r>
      <w:r>
        <w:rPr>
          <w:b/>
          <w:bCs/>
        </w:rPr>
        <w:t xml:space="preserve">ohne</w:t>
      </w:r>
      <w:r>
        <w:t xml:space="preserve"> Oberkantenbezug (Brüstung, Sturz) und Segmente </w:t>
      </w:r>
      <w:r>
        <w:rPr>
          <w:b/>
          <w:bCs/>
        </w:rPr>
        <w:t xml:space="preserve">ohne</w:t>
      </w:r>
      <w:r>
        <w:t xml:space="preserve"> gewähltes Spannstück sind </w:t>
      </w:r>
      <w:r>
        <w:rPr>
          <w:b/>
          <w:bCs/>
        </w:rPr>
        <w:t xml:space="preserve">nicht</w:t>
      </w:r>
      <w:r>
        <w:t xml:space="preserve"> betroffen; dort bleibt die Zerlegung bit-genau die von [Z-2] bzw. [Z-6]. Stückliste, Kopplungsmuttern (</w:t>
      </w:r>
      <w:r>
        <w:rPr>
          <w:b/>
          <w:bCs/>
        </w:rPr>
        <w:t xml:space="preserve">[P-18]</w:t>
      </w:r>
      <w:r>
        <w:t xml:space="preserve">) und Darstellungsschlüssel (</w:t>
      </w:r>
      <w:r>
        <w:rPr>
          <w:b/>
          <w:bCs/>
        </w:rPr>
        <w:t xml:space="preserve">[D-4]</w:t>
      </w:r>
      <w:r>
        <w:t xml:space="preserve">) lesen weiterhin ausschließlich die Stückfolge des Segments (</w:t>
      </w:r>
      <w:r>
        <w:rPr>
          <w:b/>
          <w:bCs/>
        </w:rPr>
        <w:t xml:space="preserve">[Z-3]</w:t>
      </w:r>
      <w:r>
        <w:t xml:space="preserve">) und bleiben damit konsistent.</w:t>
      </w:r>
    </w:p>
    <w:p>
      <w:pPr>
        <w:pBdr>
          <w:left w:val="single" w:color="E0B400" w:sz="18" w:space="6"/>
        </w:pBdr>
        <w:shd w:fill="FFF8E6" w:val="clear"/>
        <w:spacing w:after="120" w:before="80"/>
      </w:pPr>
      <w:r>
        <w:t xml:space="preserve">Herkunft [Z-9]: Miro-Board „SEMBLA-Suite“, Tabelle „Gegenüberstellung R01“, Zeile GS / To-do R02, Status „Übernehmen“ – Felix Bauroth, 28.10.2026: „Gewindestangenlängen fix definieren: unten 1050 fix, Mitte 1050 fix, oben ca. 820 variabel (abhängig von der gesamten Wandhöhe), Spannstück 100 fix.“ Zuvor füllte [Z-2] auch unterhalb des Spannstücks gierig mit der größten, dann der nächstkleineren Länge auf; dabei entstand z. B. bei 1,0 m Wandhöhe ein Kurzstück unter 200 mm. Annahmen dieser Fassung (offen zur Bestätigung): bei höheren Wänden </w:t>
      </w:r>
      <w:r>
        <w:rPr>
          <w:b/>
          <w:bCs/>
        </w:rPr>
        <w:t xml:space="preserve">so viele 1050-mm-Stücke wie nötig</w:t>
      </w:r>
      <w:r>
        <w:t xml:space="preserve">; bei niedrigen Wänden kann die Zahl der festen Stücke </w:t>
      </w:r>
      <w:r>
        <w:rPr>
          <w:b/>
          <w:bCs/>
        </w:rPr>
        <w:t xml:space="preserve">null oder eins</w:t>
      </w:r>
      <w:r>
        <w:t xml:space="preserve"> sein; das variable Stück darf </w:t>
      </w:r>
      <w:r>
        <w:rPr>
          <w:b/>
          <w:bCs/>
        </w:rPr>
        <w:t xml:space="preserve">länger als 820 mm</w:t>
      </w:r>
      <w:r>
        <w:t xml:space="preserve"> sein (bis zur größten Standardlänge). Bekannter Rückfall: Wände mit </w:t>
      </w:r>
      <w:r>
        <w:rPr>
          <w:b/>
          <w:bCs/>
        </w:rPr>
        <w:t xml:space="preserve">2,2 m</w:t>
      </w:r>
      <w:r>
        <w:t xml:space="preserve"> Höhe (RWA) – dort bliebe für das variable Stück nur ein Rest unter 200 mm; sie werden nach [Z-2] kombiniert und benannt, Felix passt sie von Hand an. Die Grundsatzfrage dazu ist an das Refactoring verwiesen.</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w:t>
      </w:r>
      <w:r>
        <w:rPr>
          <w:b/>
          <w:bCs/>
        </w:rPr>
        <w:t xml:space="preserve">[V-3]</w:t>
      </w:r>
      <w:r>
        <w:t xml:space="preserve"> (automatische Achsen mittig im i3-Stein der obersten Reihe) und </w:t>
      </w:r>
      <w:r>
        <w:rPr>
          <w:b/>
          <w:bCs/>
        </w:rPr>
        <w:t xml:space="preserve">[V-12]</w:t>
      </w:r>
      <w:r>
        <w:t xml:space="preserve"> (i3 der obersten Reihe symmetrisch gespannt, sonst in Feld 1 und 3);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w:t>
      </w:r>
      <w:r>
        <w:rPr>
          <w:b/>
          <w:bCs/>
        </w:rPr>
        <w:t xml:space="preserve">Maßstäblich</w:t>
      </w:r>
      <w:r>
        <w:t xml:space="preserve"> ist seit dem 2026-10-07 auch die </w:t>
      </w:r>
      <w:r>
        <w:rPr>
          <w:b/>
          <w:bCs/>
        </w:rPr>
        <w:t xml:space="preserve">Sechskantschraube am Fuß</w:t>
      </w:r>
      <w:r>
        <w:t xml:space="preserve">, sobald ihre Maße vorliegen: der </w:t>
      </w:r>
      <w:r>
        <w:rPr>
          <w:b/>
          <w:bCs/>
        </w:rPr>
        <w:t xml:space="preserve">Schaft</w:t>
      </w:r>
      <w:r>
        <w:t xml:space="preserve"> ist so breit wie der </w:t>
      </w:r>
      <w:r>
        <w:rPr>
          <w:b/>
          <w:bCs/>
        </w:rPr>
        <w:t xml:space="preserve">Gewinde-Nenndurchmesser</w:t>
      </w:r>
      <w:r>
        <w:t xml:space="preserve"> des gewählten Katalogprodukts (M10 → 10 mm), der </w:t>
      </w:r>
      <w:r>
        <w:rPr>
          <w:b/>
          <w:bCs/>
        </w:rPr>
        <w:t xml:space="preserve">Kopf</w:t>
      </w:r>
      <w:r>
        <w:t xml:space="preserve"> so breit wie die </w:t>
      </w:r>
      <w:r>
        <w:rPr>
          <w:b/>
          <w:bCs/>
        </w:rPr>
        <w:t xml:space="preserve">Schlüsselweite</w:t>
      </w:r>
      <w:r>
        <w:t xml:space="preserve"> (17 mm) und so hoch wie das </w:t>
      </w:r>
      <w:r>
        <w:rPr>
          <w:b/>
          <w:bCs/>
        </w:rPr>
        <w:t xml:space="preserve">Normmaß DIN 933 M10</w:t>
      </w:r>
      <w:r>
        <w:t xml:space="preserve"> (7 mm) – der Kopf ist also breiter als der Schaft. Fehlt ein Katalogmaß, bleibt das betroffene Teil Symbol, der Kopf dabei immer </w:t>
      </w:r>
      <w:r>
        <w:rPr>
          <w:b/>
          <w:bCs/>
        </w:rPr>
        <w:t xml:space="preserve">ganz</w:t>
      </w:r>
      <w:r>
        <w:t xml:space="preserve"> (Breite und Höhe). Schraube und Kopplungsmutter tragen </w:t>
      </w:r>
      <w:r>
        <w:rPr>
          <w:b/>
          <w:bCs/>
        </w:rPr>
        <w:t xml:space="preserve">eigene Kennfarben</w:t>
      </w:r>
      <w:r>
        <w:t xml:space="preserve">: die Kopplungsmutter ein </w:t>
      </w:r>
      <w:r>
        <w:rPr>
          <w:b/>
          <w:bCs/>
        </w:rPr>
        <w:t xml:space="preserve">kräftiges Pink</w:t>
      </w:r>
      <w:r>
        <w:t xml:space="preserve">, damit sie sich klar von den Gewindestangen abhebt – unterscheidbar vom Pink des Reststücks und vom Magenta des Ausgleichspunkts –, die Schraube ein dunkles Braun.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war in keinem dieser Issues umgestellt worden; </w:t>
      </w:r>
      <w:r>
        <w:rPr>
          <w:b/>
          <w:bCs/>
        </w:rPr>
        <w:t xml:space="preserve">seit dem 2026-10-07</w:t>
      </w:r>
      <w:r>
        <w:t xml:space="preserve"> zeichnet es Sechskantschraube, Kopplungsmutter, Spannplatte samt Spannmutter, die Spannmutter unter dem Kopfblech und das Einlegeblech samt Mutter mit </w:t>
      </w:r>
      <w:r>
        <w:rPr>
          <w:b/>
          <w:bCs/>
        </w:rPr>
        <w:t xml:space="preserve">denselben</w:t>
      </w:r>
      <w:r>
        <w:t xml:space="preserve"> Bausteinen und </w:t>
      </w:r>
      <w:r>
        <w:rPr>
          <w:b/>
          <w:bCs/>
        </w:rPr>
        <w:t xml:space="preserve">denselben</w:t>
      </w:r>
      <w:r>
        <w:t xml:space="preserve"> Bauteilmaßen wie Modul 1 und Modul 7, die Gewindestange maßstäblich; ein Vergleichstest prüft die drei Ausgaben gegeneinander. Deckenanschluss und Ausgleichspunkt fehlen dort weiterhin, und der Maßstab des Baugruppenbilds hängt weiter an der Bildfläche – beides bleibt benannter Nachziehpunkt (</w:t>
      </w:r>
      <w:r>
        <w:rPr>
          <w:b/>
          <w:bCs/>
        </w:rPr>
        <w:t xml:space="preserve">[P-6]</w:t>
      </w:r>
      <w:r>
        <w:t xml:space="preserve">). Ebenfalls am 2026-10-07 festgehalten und </w:t>
      </w:r>
      <w:r>
        <w:rPr>
          <w:b/>
          <w:bCs/>
        </w:rPr>
        <w:t xml:space="preserve">offen</w:t>
      </w:r>
      <w:r>
        <w:t xml:space="preserve">: Teile </w:t>
      </w:r>
      <w:r>
        <w:rPr>
          <w:b/>
          <w:bCs/>
        </w:rPr>
        <w:t xml:space="preserve">ohne</w:t>
      </w:r>
      <w:r>
        <w:t xml:space="preserve"> Katalogmaß (sowie Schenkel und Strich des Einlegeblechs) sind nach dieser Regel in Papier-mm fest und deshalb – relativ zur Wand – in Modul 1 und Modul 7 verschieden groß, sobald der Blattmaßstab vom Ansichtsmaßstab abweicht; eine gleiche Größe relativ zur Wand verlangte, diese Regel zu ändern.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2026-10-29T11:41:16.776Z</dcterms:created>
  <dcterms:modified xsi:type="dcterms:W3CDTF">2026-10-29T11:41:16.776Z</dcterms:modified>
</cp:coreProperties>
</file>

<file path=docProps/custom.xml><?xml version="1.0" encoding="utf-8"?>
<Properties xmlns="http://schemas.openxmlformats.org/officeDocument/2006/custom-properties" xmlns:vt="http://schemas.openxmlformats.org/officeDocument/2006/docPropsVTypes"/>
</file>