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C2430"/>
          <w:sz w:val="52"/>
          <w:szCs w:val="52"/>
        </w:rPr>
        <w:t xml:space="preserve">SEMBLA Planungs-Suite</w:t>
      </w:r>
    </w:p>
    <w:p>
      <w:pPr>
        <w:spacing w:after="60"/>
      </w:pPr>
      <w:r>
        <w:rPr>
          <w:b/>
          <w:bCs/>
          <w:color w:val="1F6FEB"/>
          <w:sz w:val="36"/>
          <w:szCs w:val="36"/>
        </w:rPr>
        <w:t xml:space="preserve">Handbuch</w:t>
      </w:r>
    </w:p>
    <w:p>
      <w:pPr>
        <w:spacing w:after="140"/>
      </w:pPr>
      <w:r>
        <w:rPr>
          <w:color w:val="33414F"/>
          <w:sz w:val="24"/>
          <w:szCs w:val="24"/>
        </w:rPr>
        <w:t xml:space="preserve">Verbindliche, hierarchische Grundlage für den vollständig regelbasierten Planungsprozess sowie Funktionsbeschreibung aller Module und nachvollziehbare Aufbereitung der Berechnungen (Statik, Verbinder-Bemessung, Mengen). Für die interne Produktentwicklung und zur Prüfung durch Statiker.</w:t>
      </w:r>
    </w:p>
    <w:p>
      <w:pPr>
        <w:pBdr>
          <w:left w:val="single" w:color="C9461C" w:sz="18" w:space="6"/>
        </w:pBdr>
        <w:shd w:fill="FBE9E2" w:val="clear"/>
        <w:spacing w:after="120" w:before="80"/>
      </w:pPr>
      <w:r>
        <w:t xml:space="preserve">Zur Einordnung: Die Suite ist eine Planungshilfe, kein prüffähiger Standsicherheitsnachweis. Material-, Prüf- und Sicherheitswerte stammen aus dem Gutachten Prof. Schermer bzw. der Bibliothek der Arbeitsmappe (Kap. 5.12) und sind projektbezogen vom Tragwerksplaner / von Polycare zu bestätigen. Der Statik-Nachweis (Kap. 5) folgt dem Gutachten Prof. Schermer, Az. 2025_7001 Rev 01 vom 18.05.2026 (nicht öffentlich), i. V. m. Z-3.15-2157, DIN EN 1996-1-1, DIN 4103-1 und DIN EN 1991-1-4.</w:t>
      </w:r>
    </w:p>
    <w:p>
      <w:pPr>
        <w:spacing w:after="60" w:before="120"/>
      </w:pPr>
      <w:r>
        <w:rPr>
          <w:b/>
          <w:bCs/>
          <w:sz w:val="24"/>
          <w:szCs w:val="24"/>
        </w:rP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Überblick &amp; Zielgruppe</w:t>
      </w:r>
    </w:p>
    <w:p>
      <w:pPr>
        <w:spacing w:after="140"/>
      </w:pPr>
      <w:r>
        <w:rPr>
          <w:color w:val="33414F"/>
          <w:sz w:val="24"/>
          <w:szCs w:val="24"/>
        </w:rPr>
        <w:t xml:space="preserve">Die SEMBLA Planungs-Suite plant vorgespannte Trockenmauerwerks-Wände aus den Systemsteinen i2 und i3 – vom ersten Entwurf über Statik, Wandaufbau und Stückliste bis zu Montage, 3D und BIM.</w:t>
      </w:r>
    </w:p>
    <w:p>
      <w:pPr>
        <w:spacing w:after="120"/>
      </w:pPr>
      <w:r>
        <w:t xml:space="preserve">Sieben Module (0–6) greifen auf ein gemeinsames Datenmodell zu (das „Wandelement”). Modul 0 legt ein Element mit Wandtyp an; Modul 1 erzeugt daraus die geprüfte Wandgeometrie. Alle weiteren Module lesen das Wandelement. So bleibt die Planung über alle Gewerke konsistent.</w:t>
      </w:r>
    </w:p>
    <w:p>
      <w:pPr>
        <w:spacing w:after="120"/>
      </w:pPr>
      <w:r>
        <w:t xml:space="preserve">Die Suite ist eine gehostete Web-App (GitHub Pages): live unter p0lycare.github.io/SEMBLA-planning-suite. Einstieg ist Modul 0 (index.html). Jedes Modul ist eine eigenständige HTML-Seite und läuft ohne Installation im Browser; das aktive Wandelement liegt im localStorage und ist für alle Module sichtbar.</w:t>
      </w:r>
    </w:p>
    <w:p>
      <w:pPr>
        <w:spacing w:after="120"/>
      </w:pPr>
      <w:r>
        <w:t xml:space="preserve">Dieses Handbuch richtet sich an (a) Statiker, die die Berechnungsansätze prüfen wollen (Kap. 5 + 9), und (b) das interne Entwicklungsteam, das die Suite ohne Programmier-Hintergrund weiterentwickelt (Kap. 4 + 13). Kapitel 15 ist die verbindliche fachliche Grundlage: Planung, Fehlerkorrekturen und Weiterentwicklung müssen auf ausdrücklich benannten Regeln beruhen.</w:t>
      </w:r>
    </w:p>
    <w:p>
      <w:pPr>
        <w:pStyle w:val="Heading1"/>
      </w:pPr>
      <w:r>
        <w:t xml:space="preserve">2 · Grundlagen, Raster &amp; Bausteine</w:t>
      </w:r>
    </w:p>
    <w:p>
      <w:pPr>
        <w:pStyle w:val="Heading2"/>
      </w:pPr>
      <w:r>
        <w:t xml:space="preserve">2.1 Systemraster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1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52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Längsraster (Steine, Nuten, Verbinderachsen)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Lagenhöhe (eine Steinreihe)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THICK</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Wandstärke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CHAMBER_OFFSET</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62,5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Kammer-/Strangmitte ab Steinanfang → Achsen bei x = 62,5 + 125·k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ROD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Standard-Gewindestange (in Modul 1 überschreibbar)</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MAX_SPAN_GRID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Vorspannung höchstens alle 3 Raster (375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FORBIDDEN_N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 4}</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baubare / nicht versetzbare Segmentbreiten (Raster)</w:t>
            </w:r>
          </w:p>
        </w:tc>
      </w:tr>
    </w:tbl>
    <w:p>
      <w:pPr>
        <w:pStyle w:val="Heading2"/>
      </w:pPr>
      <w:r>
        <w:t xml:space="preserve">2.2 Steine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900"/>
        <w:gridCol w:w="1200"/>
        <w:gridCol w:w="1100"/>
        <w:gridCol w:w="4160"/>
      </w:tblGrid>
      <w:tr>
        <w:trPr>
          <w:tblHeader/>
        </w:trPr>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Stein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Länge</w:t>
            </w:r>
          </w:p>
        </w:tc>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Raster</w:t>
            </w:r>
          </w:p>
        </w:tc>
        <w:tc>
          <w:tcPr>
            <w:tcW w:type="dxa" w:w="12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Kammern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Nuten</w:t>
            </w:r>
          </w:p>
        </w:tc>
        <w:tc>
          <w:tcPr>
            <w:tcW w:type="dxa" w:w="4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Rolle</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375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Regelstein – wird maximiert</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250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nur zum Auffüllen der Wandenden</w:t>
            </w:r>
          </w:p>
        </w:tc>
      </w:tr>
    </w:tbl>
    <w:p>
      <w:pPr>
        <w:spacing w:after="120"/>
      </w:pPr>
      <w:r>
        <w:t xml:space="preserve">Nuten sind die innenliegenden Stege im 12,5-cm-Raster, in denen Verbinder befestigt werden – nie auf einer Steinkante/Stoßfuge. Kammern sind die durchgehenden Hohlräume (vertikal) für Gewindestangen/Lattice.</w:t>
      </w:r>
    </w:p>
    <w:p>
      <w:pPr>
        <w:pStyle w:val="Heading2"/>
      </w:pPr>
      <w:r>
        <w:t xml:space="preserve">2.3 Aufbau-Regeln (Verband)</w:t>
      </w:r>
    </w:p>
    <w:p>
      <w:pPr>
        <w:pStyle w:val="ListParagraph"/>
        <w:numPr>
          <w:ilvl w:val="0"/>
          <w:numId w:val="2"/>
        </w:numPr>
        <w:spacing w:after="60"/>
      </w:pPr>
      <w:r>
        <w:rPr>
          <w:b/>
          <w:bCs/>
        </w:rPr>
        <w:t xml:space="preserve">i3-Maximierung:</w:t>
      </w:r>
      <w:r>
        <w:t xml:space="preserve"> jede Lage wird mit möglichst vielen i3 belegt; i2 nur als Endsteine.</w:t>
      </w:r>
    </w:p>
    <w:p>
      <w:pPr>
        <w:pStyle w:val="ListParagraph"/>
        <w:numPr>
          <w:ilvl w:val="0"/>
          <w:numId w:val="2"/>
        </w:numPr>
        <w:spacing w:after="60"/>
      </w:pPr>
      <w:r>
        <w:rPr>
          <w:b/>
          <w:bCs/>
        </w:rPr>
        <w:t xml:space="preserve">Versatz:</w:t>
      </w:r>
      <w:r>
        <w:t xml:space="preserve"> Stoßfugen benachbarter Lagen müssen mindestens 1 Raster versetzt sein (gemeldet in validation.versatz_ok, in Modul 1 als Warnung).</w:t>
      </w:r>
    </w:p>
    <w:p>
      <w:pPr>
        <w:pStyle w:val="ListParagraph"/>
        <w:numPr>
          <w:ilvl w:val="0"/>
          <w:numId w:val="2"/>
        </w:numPr>
        <w:spacing w:after="60"/>
      </w:pPr>
      <w:r>
        <w:rPr>
          <w:b/>
          <w:bCs/>
        </w:rPr>
        <w:t xml:space="preserve">Öffnungen</w:t>
      </w:r>
      <w:r>
        <w:t xml:space="preserve"> (Tür, Fenster, Durchbruch) lassen die Steine aus; der Sturz darüber wird wieder aufgefüllt.</w:t>
      </w:r>
    </w:p>
    <w:p>
      <w:pPr>
        <w:pStyle w:val="ListParagraph"/>
        <w:numPr>
          <w:ilvl w:val="0"/>
          <w:numId w:val="2"/>
        </w:numPr>
        <w:spacing w:after="60"/>
      </w:pPr>
      <w:r>
        <w:rPr>
          <w:b/>
          <w:bCs/>
        </w:rPr>
        <w:t xml:space="preserve">Maße:</w:t>
      </w:r>
      <w:r>
        <w:t xml:space="preserve"> Länge = Vielfaches von 125 mm, Höhe = Vielfaches von 200 mm; FORBIDDEN_N-Breiten unzulässig.</w:t>
      </w:r>
    </w:p>
    <w:p>
      <w:pPr>
        <w:pStyle w:val="Heading2"/>
      </w:pPr>
      <w:r>
        <w:t xml:space="preserve">2.4 Vorspannstränge &amp; Anschlüsse (Bauteil-Logik)</w:t>
      </w:r>
    </w:p>
    <w:p>
      <w:pPr>
        <w:spacing w:after="120"/>
      </w:pPr>
      <w:r>
        <w:t xml:space="preserve">Vorspannstränge sitzen auf den Kammerachsen (x = 62,5 + 125·k). Pro durchgehend gefülltem vertikalen Abschnitt entsteht ein Strang-Segment. Über/unter Öffnungen wird der Strang unterbrochen (mehrere Segmente). Nur durchgehende Stränge (volle Wandhöhe) zählen statisch. Die Auto-Verteilung besitzt eine wählbare Startachse (1. oder 2. Rasterachse), verteilt danach balanciert und hält den maximalen Achsabstand ein. Für Sonderkonstruktionen können die Achsen in Modul 1 manuell gesetzt werden (prestress.columns_grid) – dann gilt exakt dieser Achsen-Satz.</w:t>
      </w:r>
    </w:p>
    <w:p>
      <w:pPr>
        <w:pBdr>
          <w:left w:val="single" w:color="E0B400" w:sz="18" w:space="6"/>
        </w:pBdr>
        <w:shd w:fill="FFF8E6" w:val="clear"/>
        <w:spacing w:after="120" w:before="80"/>
      </w:pPr>
      <w:r>
        <w:t xml:space="preserve">Neu bestätigte Zielregeln: Jeder Stein muss von mindestens einer Spannachse gehalten werden; in der untersten Steinreihe sollen automatisch gesetzte Achsen möglichst mittig in i3-Steinen liegen. Diese Muss-/Optimierungsregeln gehen der bloßen Abstandsverteilung vor. Die vollständige Implementierung und Regressionstests sind noch als offener Entwicklungsstand gekennzeichnet (Kap. 15.2).</w:t>
      </w:r>
    </w:p>
    <w:p>
      <w:pPr>
        <w:pBdr>
          <w:left w:val="single" w:color="1F6FEB" w:sz="18" w:space="6"/>
        </w:pBdr>
        <w:shd w:fill="F4F7FB" w:val="clear"/>
        <w:spacing w:after="120" w:before="80"/>
      </w:pPr>
      <w:r>
        <w:rPr>
          <w:rFonts w:ascii="Consolas" w:cs="Consolas" w:eastAsia="Consolas" w:hAnsi="Consolas"/>
          <w:color w:val="0B3A73"/>
          <w:sz w:val="20"/>
          <w:szCs w:val="20"/>
        </w:rPr>
        <w:t xml:space="preserve">gewindestangen = ceil( h / rod )      verbindungsmuttern = gewindestangen - 1</w:t>
      </w:r>
      <w:r>
        <w:br/>
      </w:r>
      <w:r>
        <w:rPr>
          <w:rFonts w:ascii="Consolas" w:cs="Consolas" w:eastAsia="Consolas" w:hAnsi="Consolas"/>
          <w:color w:val="0B3A73"/>
          <w:sz w:val="20"/>
          <w:szCs w:val="20"/>
        </w:rPr>
        <w:t xml:space="preserve">letzte_stange  = h - (gewindestangen-1)*rod</w:t>
      </w:r>
      <w:r>
        <w:br/>
      </w:r>
      <w:r>
        <w:rPr>
          <w:rFonts w:ascii="Consolas" w:cs="Consolas" w:eastAsia="Consolas" w:hAnsi="Consolas"/>
          <w:color w:val="0B3A73"/>
          <w:sz w:val="20"/>
          <w:szCs w:val="20"/>
        </w:rPr>
        <w:t xml:space="preserve">verschnitt     = gewindestangen*rod - h</w:t>
      </w:r>
    </w:p>
    <w:p>
      <w:pPr>
        <w:pStyle w:val="Heading2"/>
      </w:pPr>
      <w:r>
        <w:t xml:space="preserve">2.5 Anschlüsse (Bodenblech / Kopfblech / Spannplatte)</w:t>
      </w:r>
    </w:p>
    <w:p>
      <w:pPr>
        <w:pStyle w:val="ListParagraph"/>
        <w:numPr>
          <w:ilvl w:val="0"/>
          <w:numId w:val="2"/>
        </w:numPr>
        <w:spacing w:after="60"/>
      </w:pPr>
      <w:r>
        <w:rPr>
          <w:b/>
          <w:bCs/>
        </w:rPr>
        <w:t xml:space="preserve">Fuß immer Bodenblech</w:t>
      </w:r>
      <w:r>
        <w:t xml:space="preserve"> (Stahlblech 15 mm, so lang/breit wie die Wand, in Modulen der Blechlänge). Je Strang von unten eine </w:t>
      </w:r>
      <w:r>
        <w:rPr>
          <w:b/>
          <w:bCs/>
        </w:rPr>
        <w:t xml:space="preserve">Senkkopfschraube</w:t>
      </w:r>
      <w:r>
        <w:t xml:space="preserve">, oben eine </w:t>
      </w:r>
      <w:r>
        <w:rPr>
          <w:b/>
          <w:bCs/>
        </w:rPr>
        <w:t xml:space="preserve">Kopplungsmutter</w:t>
      </w:r>
      <w:r>
        <w:t xml:space="preserve">, in die die Gewindestange eingeschraubt wird.</w:t>
      </w:r>
    </w:p>
    <w:p>
      <w:pPr>
        <w:pStyle w:val="ListParagraph"/>
        <w:numPr>
          <w:ilvl w:val="0"/>
          <w:numId w:val="2"/>
        </w:numPr>
        <w:spacing w:after="60"/>
      </w:pPr>
      <w:r>
        <w:rPr>
          <w:b/>
          <w:bCs/>
        </w:rPr>
        <w:t xml:space="preserve">Oberer Anschluss</w:t>
      </w:r>
      <w:r>
        <w:t xml:space="preserve"> wahlweise </w:t>
      </w:r>
      <w:r>
        <w:rPr>
          <w:b/>
          <w:bCs/>
        </w:rPr>
        <w:t xml:space="preserve">Kopfblech</w:t>
      </w:r>
      <w:r>
        <w:t xml:space="preserve"> (Blechmodule wie unten, Standard) oder </w:t>
      </w:r>
      <w:r>
        <w:rPr>
          <w:b/>
          <w:bCs/>
        </w:rPr>
        <w:t xml:space="preserve">Spannplatte</w:t>
      </w:r>
      <w:r>
        <w:t xml:space="preserve"> je Strang auf der oberen Steinkante (prestress.top_connection = blech | spannplatte).</w:t>
      </w:r>
    </w:p>
    <w:p>
      <w:pPr>
        <w:pStyle w:val="ListParagraph"/>
        <w:numPr>
          <w:ilvl w:val="0"/>
          <w:numId w:val="2"/>
        </w:numPr>
        <w:spacing w:after="60"/>
      </w:pPr>
      <w:r>
        <w:rPr>
          <w:b/>
          <w:bCs/>
        </w:rPr>
        <w:t xml:space="preserve">Zwischenanker</w:t>
      </w:r>
      <w:r>
        <w:t xml:space="preserve"> (Segmentenden an Öffnungen) sind Spannplatten auf der Steinkante.</w:t>
      </w:r>
    </w:p>
    <w:p>
      <w:pPr>
        <w:pStyle w:val="ListParagraph"/>
        <w:numPr>
          <w:ilvl w:val="0"/>
          <w:numId w:val="2"/>
        </w:numPr>
        <w:spacing w:after="60"/>
      </w:pPr>
      <w:r>
        <w:t xml:space="preserve">BOM je Wand: senkkopfschrauben, kopplungsmuttern_basis, spannplatten, spannmuttern, stahlblech_module (+ stahlblech_mm, dicke), Gewindestangen (Standard + Sonderlänge).</w:t>
      </w:r>
    </w:p>
    <w:p>
      <w:pPr>
        <w:pStyle w:val="Heading2"/>
      </w:pPr>
      <w:r>
        <w:t xml:space="preserve">2.6 Stoßfugen &amp; Dichtstreifen</w:t>
      </w:r>
    </w:p>
    <w:p>
      <w:pPr>
        <w:spacing w:after="120"/>
      </w:pPr>
      <w:r>
        <w:t xml:space="preserve">Die vertikalen Stoßfugen zwischen Steinen werden gezählt (bom.stossfugen). Für erhöhte Anforderungen (z. B. Schallschutz) werden Dichtstreifen eingelegt (je Fuge 20 cm = 1 Steinreihe); die Stückliste weist beides aus: die Einbauposition je Fuge in Stück und – nachrichtlich, nicht bepreist – die Gesamtlänge (bom.dichtstreifen_mm), siehe [A-6].</w:t>
      </w:r>
    </w:p>
    <w:p>
      <w:pPr>
        <w:pStyle w:val="Heading2"/>
      </w:pPr>
      <w:r>
        <w:t xml:space="preserve">2.7 Staffelung (getreppter Aufbau)</w:t>
      </w:r>
    </w:p>
    <w:p>
      <w:pPr>
        <w:spacing w:after="120"/>
      </w:pPr>
      <w:r>
        <w:t xml:space="preserve">Eine Wand muss nicht rechteckig sein: über Stufen lässt sich die Oberkante bereichsweise absenken (getreppte Kontur, z. B. Musterwände). Jede Stufe ist ein Längsbereich [x0, x1] mit reduzierter Höhe; die eingegebene „Höhe” bleibt die Maximalhöhe. Stufen sind keine Öffnungen (kein Loch), sondern Teil der Außenkontur – daher keine Öffnungs-Überlappungen.</w:t>
      </w:r>
    </w:p>
    <w:p>
      <w:pPr>
        <w:pStyle w:val="ListParagraph"/>
        <w:numPr>
          <w:ilvl w:val="0"/>
          <w:numId w:val="2"/>
        </w:numPr>
        <w:spacing w:after="60"/>
      </w:pPr>
      <w:r>
        <w:t xml:space="preserve">Steine werden je Längsabschnitt nur bis zur lokalen Oberkante gemauert (i3-Maximierung, Versatz gelten weiter).</w:t>
      </w:r>
    </w:p>
    <w:p>
      <w:pPr>
        <w:pStyle w:val="ListParagraph"/>
        <w:numPr>
          <w:ilvl w:val="0"/>
          <w:numId w:val="2"/>
        </w:numPr>
        <w:spacing w:after="60"/>
      </w:pPr>
      <w:r>
        <w:rPr>
          <w:b/>
          <w:bCs/>
        </w:rPr>
        <w:t xml:space="preserve">Vorspannung läuft an der Treppe entlang:</w:t>
      </w:r>
      <w:r>
        <w:t xml:space="preserve"> an jeder Höhenstufe wird beidseitig der Kante ein Strang gesetzt (hohe und niedrige Seite) – analog zu den Laibungen an Öffnungen.</w:t>
      </w:r>
    </w:p>
    <w:p>
      <w:pPr>
        <w:pStyle w:val="ListParagraph"/>
        <w:numPr>
          <w:ilvl w:val="0"/>
          <w:numId w:val="2"/>
        </w:numPr>
        <w:spacing w:after="60"/>
      </w:pPr>
      <w:r>
        <w:t xml:space="preserve">Stränge sind je Abschnitt nur so hoch wie die lokale Oberkante (segmentiert); nur volle-Höhe-Stränge zählen statisch als durchgehend.</w:t>
      </w:r>
    </w:p>
    <w:p>
      <w:pPr>
        <w:pStyle w:val="ListParagraph"/>
        <w:numPr>
          <w:ilvl w:val="0"/>
          <w:numId w:val="2"/>
        </w:numPr>
        <w:spacing w:after="60"/>
      </w:pPr>
      <w:r>
        <w:t xml:space="preserve">In Modul 1 werden Stufen bemaßt: Breite an der Stufen-Oberkante und Höhe ab Boden (türkis, getrennt von Öffnungs-/Gesamtmaßen).</w:t>
      </w:r>
    </w:p>
    <w:p>
      <w:pPr>
        <w:pStyle w:val="Heading1"/>
      </w:pPr>
      <w:r>
        <w:t xml:space="preserve">3 · Datenmodell „Wandelement” &amp; Projekt-Bundle</w:t>
      </w:r>
    </w:p>
    <w:p>
      <w:pPr>
        <w:spacing w:after="120"/>
      </w:pPr>
      <w:r>
        <w:t xml:space="preserve">Das Wandelement ist eine JSON-Struktur und die „Single Source of Truth”. Wichtigste Felder: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Feld</w:t>
            </w:r>
          </w:p>
        </w:tc>
        <w:tc>
          <w:tcPr>
            <w:tcW w:type="dxa" w:w="59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length_mm, height_mm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Wandmaße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grid_mm, course_mm, thickness_mm, rod_mm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verwendete Raster / Stangenlänge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N_grid, lagen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und Lagenanzahl</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je Lage {lage, stones:[{x0,x1,type}]} (mm)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openings[]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{g0,g1,l0,l1,art}; art = tuer · fenster · durchbruch</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steps[]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Staffelung/getreppte Kontur: {x0_mm,x1_mm,height_mm}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tension_columns[]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Stränge: {k,x_mm,durchgehend,segments[],gewindestangen,…}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sides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Vorder-/Rückseite je Funktion (fassade · innenausbau · sicht · installation)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base_plate, top_plate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Boden-/Kopfblech: {laenge_mm, breite_mm, dicke_mm(15), modul_mm, module}; top_plate=null bei Spannplatten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wandtyp</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mit_wind | ohne_wind; wird ausschließlich in Modul 0 gewählt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prestress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{max_span_grid, start_axis_grid, force_kN, rod_mm, blech_mm, top_connection, columns_grid}</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bom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i2/i3, gewindestangen, verbindungsmuttern, senkkopfschrauben, kopplungsmuttern_basis, spannplatten, spannmuttern, stahlblech_module/_mm, stossfugen, dichtstreifen_mm, verschnitt_mm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validation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{buildable, versatz_ok, versatz_violations, …}</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verification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Statik-Status, Auslegung, Nachweise (von der Engine)</w:t>
            </w:r>
          </w:p>
        </w:tc>
      </w:tr>
    </w:tbl>
    <w:p>
      <w:pPr>
        <w:pStyle w:val="Heading2"/>
      </w:pPr>
      <w:r>
        <w:t xml:space="preserve">3.1 Zustand (localStorage), Eingaben &amp; Projektdatei</w:t>
      </w:r>
    </w:p>
    <w:p>
      <w:pPr>
        <w:spacing w:after="120"/>
      </w:pPr>
      <w:r>
        <w:t xml:space="preserve">Im laufenden Betrieb liegt das aktive Wandelement im localStorage des Browsers; Modul 0 verwaltet die Liste. Der zugehörige Bearbeitungsstand steht im Block eingaben = {projekt, aufbau, kosten, statik, katalog}. Jedes Modul schreibt ausschließlich seinen eigenen Eingaben-Abschnitt; abgeleitete Planungsergebnisse werden stets frisch berechnet und nicht als Schattenkopien gespeichert.</w:t>
      </w:r>
    </w:p>
    <w:p>
      <w:pPr>
        <w:pBdr>
          <w:left w:val="single" w:color="1F6FEB" w:sz="18" w:space="6"/>
        </w:pBdr>
        <w:shd w:fill="F4F7FB" w:val="clear"/>
        <w:spacing w:after="120" w:before="80"/>
      </w:pPr>
      <w:r>
        <w:rPr>
          <w:rFonts w:ascii="Consolas" w:cs="Consolas" w:eastAsia="Consolas" w:hAnsi="Consolas"/>
          <w:color w:val="0B3A73"/>
          <w:sz w:val="20"/>
          <w:szCs w:val="20"/>
        </w:rPr>
        <w:t xml:space="preserve">{ "format":"SEMBLA-Projekt", "version":2, "name":"…", "wandelement":{…}, "eingaben":{…} }</w:t>
      </w:r>
    </w:p>
    <w:p>
      <w:pPr>
        <w:spacing w:after="120"/>
      </w:pPr>
      <w:r>
        <w:t xml:space="preserve">Import und Export sind zentral in Modul 0. Ein Häkchen-Dialog erzeugt ein ZIP mit der Projektdatei und den gewählten Dokumenten (Stückliste/Zuschnitt, Montageanleitung, statischer Nachweis und IFC). Die einzelnen Fachmodule besitzen keine eigenen Datei-Buttons. Das interne localStorage-Schema, das öffentliche Projektformat und das separate Katalogformat sind voneinander unabhängige Versionsachsen.</w:t>
      </w:r>
    </w:p>
    <w:p>
      <w:pPr>
        <w:spacing w:after="120"/>
      </w:pPr>
      <w:r>
        <w:t xml:space="preserve">Der Bauteilkatalog ist eine eigene Ressource im Format SEMBLA-Bauteilkatalog v1 und wird ausschließlich in Modul 0 gepflegt. Welche Produkte eine konkrete Wand verwendet, wählen die fachlich zuständigen Module direkt aus dem vollständigen Katalog: Modul 1 für Wand, Vorspannung, Anschluss und Fugen, Modul 2 für Latten, Beplankung und Verbinder. Im Projekt werden nur Quelle und ausgewählte Produkt-IDs je Verwendungsrolle referenziert; Produktmaße und Preise werden nicht in das Wandelement eingebettet. Modul 4 liest die Katalogpreise nur und pflegt sie nicht. Fehlende oder mehrdeutige Referenzen werden sichtbar gewarnt und nie durch einen Ersatzwert überdeckt ([P-13], [P-14]). Ein gewähltes Produkt ist zugleich die alleinige Quelle seiner Maße ([Z-1]); mehrere gewählte Standardgrößen werden nach [Z-2] deterministisch kombiniert.</w:t>
      </w:r>
    </w:p>
    <w:p>
      <w:pPr>
        <w:pStyle w:val="Heading1"/>
      </w:pPr>
      <w:r>
        <w:t xml:space="preserve">4 · Architektur, Kerne &amp; Workflow</w:t>
      </w:r>
    </w:p>
    <w:p>
      <w:pPr>
        <w:spacing w:after="120"/>
      </w:pPr>
      <w:r>
        <w:t xml:space="preserve">Die fachliche Logik liegt in getesteten Kernen (reine Bibliotheken) in docs/shared/. Die Module sind handgepflegte HTML-Einzeldateien in docs/, die den gemeinsamen Code per &lt;script type="module"&gt; laden – kein Build-Schritt, kein Kopieren, keine Duplizierung.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3860"/>
      </w:tblGrid>
      <w:tr>
        <w:trPr>
          <w:tblHeader/>
        </w:trPr>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Was</w:t>
            </w:r>
          </w:p>
        </w:tc>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Datei</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Wandaufbau-Kern</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docs/shared/sembla-core.js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Verband, Stränge, BOM, Validierung. Einzige Betriebskopie (ES-Modul); tests/core/sembla_core.py ist die bit-genaue Test-Referenz (Parität über Fixtures).</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Wand-Statik</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Schermer-Nachweis: Wand (Biegung via Prüfwert-Interpolation, Schub, Druckrand, Bodenreibung, Deckenwinkel) + Spannsystem (Stange, Schrauben, Platten, Steinpressung) + Transport (Zusatz).</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Auslegungs-Engine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docs/shared/sembla-engine.js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Iteration: optimiert Strangabstand &amp; Vorspannkraft bis alle Nachweise erfüllt sind (vereinfachtes Modell, getrennt von der Schermer-Statik).</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Stückliste/BOM</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docs/shared/sembla-bom.js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Mengen/Positionen aus dem Wandelement (Modul 4 + 5).</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Horizontaler Aufbau</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docs/shared/sembla-aufbau.js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Verbinderachsen und Latten-Zuschnitte aus Wandelement und eingaben.aufbau.</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docs/shared/sembla-montage.js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Montageereignisse, Baugruppenabschnitte und A4-Seiten aus realen Spannsegmenten; gemeinsame Quelle für Modul 5 und Export.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Zentraler 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docs/shared/sembla-export.js · zip.js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Projekt und ausgewählte Dokumente als ZIP; Nachweis aus dem vollen Schermer-Modell.</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Bauteilkatalog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docs/shared/sembla-katalog.js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separate, versionierte Produktressource mit Validierung und Referenzprüfung.</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 → IFC4 (Wand + Öffnungen + Steine, optional echte Steingeometrie als FacetedBrep).</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Zustand &amp; Kopfleiste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docs/shared/storage.js · navbar.js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localStorage-Schicht (Elemente, Eingaben, Migrationen, Katalog, aktiv-Zeiger, OBJ) + gemeinsame Navigation.</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Bauteilgeometrie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Bauteil-OBJ/i2_SEMBLA.obj · i3_SEMBLA.obj (lokal, gitignored)</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echte Steingeometrie (X=Länge, Y=Tiefe, Z=Höhe; Nullpunkt unten-vorne-links); zur Laufzeit per Upload.</w:t>
            </w:r>
          </w:p>
        </w:tc>
      </w:tr>
    </w:tbl>
    <w:p>
      <w:pPr>
        <w:pStyle w:val="Heading2"/>
      </w:pPr>
      <w:r>
        <w:t xml:space="preserve">4.1 Betrieb &amp; Veröffentlichung</w:t>
      </w:r>
    </w:p>
    <w:p>
      <w:pPr>
        <w:spacing w:after="120"/>
      </w:pPr>
      <w:r>
        <w:t xml:space="preserve">Es gibt keinen Build-/Publish-Schritt. docs/ wird direkt editiert; GitHub Pages liefert genau diesen Ordner aus (Deploy vom Branch main). Jeder Push ist sofort live – Qualitätssicherung ist Handdisziplin (Tests vor dem Push).</w:t>
      </w:r>
    </w:p>
    <w:p>
      <w:pPr>
        <w:pStyle w:val="Heading2"/>
      </w:pPr>
      <w:r>
        <w:t xml:space="preserve">4.2 Testen</w:t>
      </w:r>
    </w:p>
    <w:p>
      <w:pPr>
        <w:spacing w:after="120"/>
      </w:pPr>
      <w:r>
        <w:t xml:space="preserve">Jeder Kern und jede Oberfläche ist durch automatisierte Tests abgesichert: Logik-Tests (tests/module/test-*.mjs), Smoke-Tests der HTML-Module unter DOM-Mock (tests/module/smoke_*.mjs), Core-Parität (tests/core/, Python + JS gegen goldene Fixtures) BOM-Drift-Schutz (test-shared.mjs) und die Zuschnitt-Regressionen der Kombinationsregeln (tests/module/test-zuschnitt.mjs, npm run test:zuschnitt – enthält den Leitfall 170 cm aus 100/50). npm run test:all fährt alles. Vor jedem Push müssen die betroffenen Tests grün sein. Fachliche Regressionstests sollen die verletzte oder ergänzte Regel-ID benennen.</w:t>
      </w:r>
    </w:p>
    <w:p>
      <w:pPr>
        <w:pStyle w:val="Heading1"/>
      </w:pPr>
      <w:r>
        <w:t xml:space="preserve">5 · Statik – Modell, Herleitung &amp; Beispiel</w:t>
      </w:r>
    </w:p>
    <w:p>
      <w:pPr>
        <w:spacing w:after="140"/>
      </w:pPr>
      <w:r>
        <w:rPr>
          <w:color w:val="33414F"/>
          <w:sz w:val="24"/>
          <w:szCs w:val="24"/>
        </w:rPr>
        <w:t xml:space="preserve">Dieses Kapitel legt den vollständigen Nachweis offen, damit ein Statiker ihn nachvollziehen und bestätigen kann. Grundlage ist das Gutachten Prof. Schermer (Az. 2025_7001 Rev 01 vom 18.05.2026) i. V. m. Z-3.15-2157, DIN EN 1996-1-1, DIN 4103-1 und DIN EN 1991-1-4. Der Rechenkern (Modul 3, docs/shared/sembla-statik.js) ist 1:1 aus der geprüften Arbeitsmappe „SEMBLA_Wand_Statik_v01” portiert und gegen deren Zahlen verifiziert.</w:t>
      </w:r>
    </w:p>
    <w:p>
      <w:pPr>
        <w:spacing w:after="120"/>
      </w:pPr>
      <w:r>
        <w:t xml:space="preserve">Der Nachweis gliedert sich in zwei Komplexe: </w:t>
      </w:r>
      <w:r>
        <w:rPr>
          <w:b/>
          <w:bCs/>
        </w:rPr>
        <w:t xml:space="preserve">A) Wandnachweise</w:t>
      </w:r>
      <w:r>
        <w:t xml:space="preserve"> (Biegung, Schub, Druckrand, Bodenanschluss, Deckenwinkel) und </w:t>
      </w:r>
      <w:r>
        <w:rPr>
          <w:b/>
          <w:bCs/>
        </w:rPr>
        <w:t xml:space="preserve">B) Bauteilnachweise Spannsystem</w:t>
      </w:r>
      <w:r>
        <w:t xml:space="preserve"> (Gewindestange, Schrauben, Kopf-/Fußplatte, Steinpressung). Abschnitt 5.13 rechnet ein vollständiges Beispiel.</w:t>
      </w:r>
    </w:p>
    <w:p>
      <w:pPr>
        <w:pStyle w:val="Heading2"/>
      </w:pPr>
      <w:r>
        <w:t xml:space="preserve">5.1 Modellannahmen</w:t>
      </w:r>
    </w:p>
    <w:p>
      <w:pPr>
        <w:pStyle w:val="ListParagraph"/>
        <w:numPr>
          <w:ilvl w:val="0"/>
          <w:numId w:val="2"/>
        </w:numPr>
        <w:spacing w:after="60"/>
      </w:pPr>
      <w:r>
        <w:t xml:space="preserve">Nicht-tragende Innenwand, vorgespanntes Trockenmauerwerk; Wand spannt vertikal, oben und unten gelenkig gehalten – </w:t>
      </w:r>
      <w:r>
        <w:rPr>
          <w:b/>
          <w:bCs/>
        </w:rPr>
        <w:t xml:space="preserve">Einfeldträger über die Höhe h</w:t>
      </w:r>
      <w:r>
        <w:t xml:space="preserve">.</w:t>
      </w:r>
    </w:p>
    <w:p>
      <w:pPr>
        <w:pStyle w:val="ListParagraph"/>
        <w:numPr>
          <w:ilvl w:val="0"/>
          <w:numId w:val="2"/>
        </w:numPr>
        <w:spacing w:after="60"/>
      </w:pPr>
      <w:r>
        <w:t xml:space="preserve">Horizontallast wirkt als Flächenlast senkrecht zur Wand (Wind-Innendruck bzw. Trennwandlast DIN 4103-1).</w:t>
      </w:r>
    </w:p>
    <w:p>
      <w:pPr>
        <w:pStyle w:val="ListParagraph"/>
        <w:numPr>
          <w:ilvl w:val="0"/>
          <w:numId w:val="2"/>
        </w:numPr>
        <w:spacing w:after="60"/>
      </w:pPr>
      <w:r>
        <w:t xml:space="preserve">Die Vorspannung erzeugt Drucknormalkraft in den Lagerfugen; die Biegetragfähigkeit m_Rk wird </w:t>
      </w:r>
      <w:r>
        <w:rPr>
          <w:b/>
          <w:bCs/>
        </w:rPr>
        <w:t xml:space="preserve">nicht gerechnet, sondern aus Prüfwerten des Gutachtens (§6.2)</w:t>
      </w:r>
      <w:r>
        <w:t xml:space="preserve"> über die Wand-Vorspannkraft N_v interpoliert.</w:t>
      </w:r>
    </w:p>
    <w:p>
      <w:pPr>
        <w:pStyle w:val="ListParagraph"/>
        <w:numPr>
          <w:ilvl w:val="0"/>
          <w:numId w:val="2"/>
        </w:numPr>
        <w:spacing w:after="60"/>
      </w:pPr>
      <w:r>
        <w:rPr>
          <w:b/>
          <w:bCs/>
        </w:rPr>
        <w:t xml:space="preserve">Günstig/ungünstig getrennt:</w:t>
      </w:r>
      <w:r>
        <w:t xml:space="preserve"> für die Biegetragfähigkeit wird die reduzierte Vorspannung N_v,fav angesetzt (konservativ, da Vorspannung hier hilft), für Druckrand und Bodenreibung die erhöhte N_v,sup (konservativ, da Vorspannung dort ungünstig wirkt).</w:t>
      </w:r>
    </w:p>
    <w:p>
      <w:pPr>
        <w:pStyle w:val="ListParagraph"/>
        <w:numPr>
          <w:ilvl w:val="0"/>
          <w:numId w:val="2"/>
        </w:numPr>
        <w:spacing w:after="60"/>
      </w:pPr>
      <w:r>
        <w:t xml:space="preserve">Maßgebend ist der Lastfall mit der höchsten Schnittgröße aus {Wind, DIN 4103-1 Kat. I, Kat. II}.</w:t>
      </w:r>
    </w:p>
    <w:p>
      <w:pPr>
        <w:pStyle w:val="Heading2"/>
      </w:pPr>
      <w:r>
        <w:t xml:space="preserve">5.2 Lasten</w:t>
      </w:r>
    </w:p>
    <w:p>
      <w:pPr>
        <w:pStyle w:val="Heading3"/>
      </w:pPr>
      <w:r>
        <w:t xml:space="preserve">5.2.1 Wind (DIN EN 1991-1-4)</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f(Windzone)      WLZ 1..4 -&gt; 0,32 / 0,39 / 0,47 / 0,56 kN/m²</w:t>
      </w:r>
      <w:r>
        <w:br/>
      </w:r>
      <w:r>
        <w:rPr>
          <w:rFonts w:ascii="Consolas" w:cs="Consolas" w:eastAsia="Consolas" w:hAnsi="Consolas"/>
          <w:color w:val="0B3A73"/>
          <w:sz w:val="20"/>
          <w:szCs w:val="20"/>
        </w:rPr>
        <w:t xml:space="preserve">qp   = qb · 2,1         (vereinfacht Binnenland - standortabhängig prüfen)</w:t>
      </w:r>
      <w:r>
        <w:br/>
      </w:r>
      <w:r>
        <w:rPr>
          <w:rFonts w:ascii="Consolas" w:cs="Consolas" w:eastAsia="Consolas" w:hAnsi="Consolas"/>
          <w:color w:val="0B3A73"/>
          <w:sz w:val="20"/>
          <w:szCs w:val="20"/>
        </w:rPr>
        <w:t xml:space="preserve">Cpi  = 0,9 · cpe,10     (dominante Öffnung/Tor offen; sonst ±0,2)</w:t>
      </w:r>
      <w:r>
        <w:br/>
      </w:r>
      <w:r>
        <w:rPr>
          <w:rFonts w:ascii="Consolas" w:cs="Consolas" w:eastAsia="Consolas" w:hAnsi="Consolas"/>
          <w:color w:val="0B3A73"/>
          <w:sz w:val="20"/>
          <w:szCs w:val="20"/>
        </w:rPr>
        <w:t xml:space="preserve">w_i  = qp · Cpi         (Innendruck auf die Innenwand)</w:t>
      </w:r>
      <w:r>
        <w:br/>
      </w:r>
      <w:r>
        <w:rPr>
          <w:rFonts w:ascii="Consolas" w:cs="Consolas" w:eastAsia="Consolas" w:hAnsi="Consolas"/>
          <w:color w:val="0B3A73"/>
          <w:sz w:val="20"/>
          <w:szCs w:val="20"/>
        </w:rPr>
        <w:t xml:space="preserve">w_Ed = γ_Q · w_i        (Wind leitend; γ_Q = 1,5)</w:t>
      </w:r>
    </w:p>
    <w:p>
      <w:pPr>
        <w:pStyle w:val="Heading3"/>
      </w:pPr>
      <w:r>
        <w:t xml:space="preserve">5.2.2 Trennwandlast (DIN 4103-1)</w:t>
      </w:r>
    </w:p>
    <w:p>
      <w:pPr>
        <w:spacing w:after="120"/>
      </w:pPr>
      <w:r>
        <w:t xml:space="preserve">Horizontale Linienlast q₁ in der Angriffshöhe a = 0,90 m: Kat. I (Wohnen/Büro) q₁ = 0,5 kN/m; Kat. II (Verkehrsflächen/Rettungswache) q₁ = 1,0 kN/m.</w:t>
      </w:r>
    </w:p>
    <w:p>
      <w:pPr>
        <w:pStyle w:val="Heading2"/>
      </w:pPr>
      <w:r>
        <w:t xml:space="preserve">5.3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n       = 1 / e                    Stäbe je m  (Regelraster e = 0,375 m)</w:t>
      </w:r>
      <w:r>
        <w:br/>
      </w:r>
      <w:r>
        <w:rPr>
          <w:rFonts w:ascii="Consolas" w:cs="Consolas" w:eastAsia="Consolas" w:hAnsi="Consolas"/>
          <w:color w:val="0B3A73"/>
          <w:sz w:val="20"/>
          <w:szCs w:val="20"/>
        </w:rPr>
        <w:t xml:space="preserve">F∞      = F0 · (1 − ΔF)            Restvorspannkraft je Stab (ΔF ≈ 0,33)</w:t>
      </w:r>
      <w:r>
        <w:br/>
      </w:r>
      <w:r>
        <w:rPr>
          <w:rFonts w:ascii="Consolas" w:cs="Consolas" w:eastAsia="Consolas" w:hAnsi="Consolas"/>
          <w:color w:val="0B3A73"/>
          <w:sz w:val="20"/>
          <w:szCs w:val="20"/>
        </w:rPr>
        <w:t xml:space="preserve">Prüfung  F∞ ≥ F,inf                (rechnerische Untergrenze)</w:t>
      </w:r>
      <w:r>
        <w:br/>
      </w:r>
      <w:r>
        <w:rPr>
          <w:rFonts w:ascii="Consolas" w:cs="Consolas" w:eastAsia="Consolas" w:hAnsi="Consolas"/>
          <w:color w:val="0B3A73"/>
          <w:sz w:val="20"/>
          <w:szCs w:val="20"/>
        </w:rPr>
        <w:t xml:space="preserve">N_v,fav = F∞ · n / γ_P,fav         günstig  (Biegung)</w:t>
      </w:r>
      <w:r>
        <w:br/>
      </w:r>
      <w:r>
        <w:rPr>
          <w:rFonts w:ascii="Consolas" w:cs="Consolas" w:eastAsia="Consolas" w:hAnsi="Consolas"/>
          <w:color w:val="0B3A73"/>
          <w:sz w:val="20"/>
          <w:szCs w:val="20"/>
        </w:rPr>
        <w:t xml:space="preserve">N_v,sup = F0 · n · γ_P,sup         ungünstig (Druckrand, Boden)</w:t>
      </w:r>
    </w:p>
    <w:p>
      <w:pPr>
        <w:spacing w:after="120"/>
      </w:pPr>
      <w:r>
        <w:t xml:space="preserve">γ_P,fav ist frei wählbar 1,0–2,0 (Auswahlhilfe 5.11); γ_P,sup Default 1,1.</w:t>
      </w:r>
    </w:p>
    <w:p>
      <w:pPr>
        <w:pStyle w:val="Heading2"/>
      </w:pPr>
      <w:r>
        <w:t xml:space="preserve">5.4 Schnittgrößen (Einfeldträger, l = h)</w:t>
      </w:r>
    </w:p>
    <w:p>
      <w:pPr>
        <w:pBdr>
          <w:left w:val="single" w:color="1F6FEB" w:sz="18" w:space="6"/>
        </w:pBdr>
        <w:shd w:fill="F4F7FB" w:val="clear"/>
        <w:spacing w:after="120" w:before="80"/>
      </w:pPr>
      <w:r>
        <w:rPr>
          <w:rFonts w:ascii="Consolas" w:cs="Consolas" w:eastAsia="Consolas" w:hAnsi="Consolas"/>
          <w:color w:val="0B3A73"/>
          <w:sz w:val="20"/>
          <w:szCs w:val="20"/>
        </w:rPr>
        <w:t xml:space="preserve">Wind:     m_Ed,W = w_Ed · h²/8      v_Ed,W = w_Ed · h/2</w:t>
      </w:r>
      <w:r>
        <w:br/>
      </w:r>
      <w:r>
        <w:rPr>
          <w:rFonts w:ascii="Consolas" w:cs="Consolas" w:eastAsia="Consolas" w:hAnsi="Consolas"/>
          <w:color w:val="0B3A73"/>
          <w:sz w:val="20"/>
          <w:szCs w:val="20"/>
        </w:rPr>
        <w:t xml:space="preserve">DIN 4103: m_Ed   = γ_Q · q₁ · a·(h−a)/h    v_Ed = γ_Q · q₁ · (h−a)/h</w:t>
      </w:r>
      <w:r>
        <w:br/>
      </w:r>
      <w:r>
        <w:rPr>
          <w:rFonts w:ascii="Consolas" w:cs="Consolas" w:eastAsia="Consolas" w:hAnsi="Consolas"/>
          <w:color w:val="0B3A73"/>
          <w:sz w:val="20"/>
          <w:szCs w:val="20"/>
        </w:rPr>
        <w:t xml:space="preserve">maßgebend: m_Ed = MAX(W, Kat I, Kat II)     v_Ed analog</w:t>
      </w:r>
      <w:r>
        <w:br/>
      </w:r>
      <w:r>
        <w:rPr>
          <w:rFonts w:ascii="Consolas" w:cs="Consolas" w:eastAsia="Consolas" w:hAnsi="Consolas"/>
          <w:color w:val="0B3A73"/>
          <w:sz w:val="20"/>
          <w:szCs w:val="20"/>
        </w:rPr>
        <w:t xml:space="preserve">Fußkraft:  N_Ed,B = N_v,sup + γ_w · t · h</w:t>
      </w:r>
    </w:p>
    <w:p>
      <w:pPr>
        <w:pStyle w:val="Heading2"/>
      </w:pPr>
      <w:r>
        <w:t xml:space="preserve">5.5 Nachweis Biegung</w:t>
      </w:r>
    </w:p>
    <w:p>
      <w:pPr>
        <w:spacing w:after="120"/>
      </w:pPr>
      <w:r>
        <w:t xml:space="preserve">m_Rk wird über N_v,fav aus den Prüfwerten §6.2 linear interpoliert (Regressionsgerade, Excel-FORECAST):</w:t>
      </w:r>
    </w:p>
    <w:p>
      <w:pPr>
        <w:pBdr>
          <w:left w:val="single" w:color="1F6FEB" w:sz="18" w:space="6"/>
        </w:pBdr>
        <w:shd w:fill="F4F7FB" w:val="clear"/>
        <w:spacing w:after="120" w:before="80"/>
      </w:pPr>
      <w:r>
        <w:rPr>
          <w:rFonts w:ascii="Consolas" w:cs="Consolas" w:eastAsia="Consolas" w:hAnsi="Consolas"/>
          <w:color w:val="0B3A73"/>
          <w:sz w:val="20"/>
          <w:szCs w:val="20"/>
        </w:rPr>
        <w:t xml:space="preserve">m_Rk = FORECAST(N_v,fav ; m_Rk-Prüfwerte ; N_v-Prüfwerte)</w:t>
      </w:r>
      <w:r>
        <w:br/>
      </w:r>
      <w:r>
        <w:rPr>
          <w:rFonts w:ascii="Consolas" w:cs="Consolas" w:eastAsia="Consolas" w:hAnsi="Consolas"/>
          <w:color w:val="0B3A73"/>
          <w:sz w:val="20"/>
          <w:szCs w:val="20"/>
        </w:rPr>
        <w:t xml:space="preserve">m_Rd = m_Rk / γ_M          (γ_M = 2,0)</w:t>
      </w:r>
      <w:r>
        <w:br/>
      </w:r>
      <w:r>
        <w:rPr>
          <w:rFonts w:ascii="Consolas" w:cs="Consolas" w:eastAsia="Consolas" w:hAnsi="Consolas"/>
          <w:color w:val="0B3A73"/>
          <w:sz w:val="20"/>
          <w:szCs w:val="20"/>
        </w:rPr>
        <w:t xml:space="preserve">η_Biegung = m_Ed / m_Rd    ≤ 1</w:t>
      </w:r>
    </w:p>
    <w:p>
      <w:pPr>
        <w:pBdr>
          <w:left w:val="single" w:color="C9461C" w:sz="18" w:space="6"/>
        </w:pBdr>
        <w:shd w:fill="FBE9E2" w:val="clear"/>
        <w:spacing w:after="120" w:before="80"/>
      </w:pPr>
      <w:r>
        <w:t xml:space="preserve">Bereichsgrenzen: Liegt N_v,fav über dem obersten Prüfpunkt, wird m_Rk auf diesen gekappt (kein Tragfähigkeits-Kredit jenseits der Versuche) und gewarnt; unterhalb des untersten Prüfpunkts erfolgt eine Extrapolations-Warnung.</w:t>
      </w:r>
    </w:p>
    <w:p>
      <w:pPr>
        <w:pStyle w:val="Heading2"/>
      </w:pPr>
      <w:r>
        <w:t xml:space="preserve">5.6 Nachweis Schub (Platte)</w:t>
      </w:r>
    </w:p>
    <w:p>
      <w:pPr>
        <w:pBdr>
          <w:left w:val="single" w:color="1F6FEB" w:sz="18" w:space="6"/>
        </w:pBdr>
        <w:shd w:fill="F4F7FB" w:val="clear"/>
        <w:spacing w:after="120" w:before="80"/>
      </w:pPr>
      <w:r>
        <w:rPr>
          <w:rFonts w:ascii="Consolas" w:cs="Consolas" w:eastAsia="Consolas" w:hAnsi="Consolas"/>
          <w:color w:val="0B3A73"/>
          <w:sz w:val="20"/>
          <w:szCs w:val="20"/>
        </w:rPr>
        <w:t xml:space="preserve">η_Schub = v_Ed / v_Rd      (v_Rd = 3,5 kN/m, Gutachten §6.3)</w:t>
      </w:r>
    </w:p>
    <w:p>
      <w:pPr>
        <w:pStyle w:val="Heading2"/>
      </w:pPr>
      <w:r>
        <w:t xml:space="preserve">5.7 Nachweis Druckrand</w:t>
      </w:r>
    </w:p>
    <w:p>
      <w:pPr>
        <w:pBdr>
          <w:left w:val="single" w:color="1F6FEB" w:sz="18" w:space="6"/>
        </w:pBdr>
        <w:shd w:fill="F4F7FB" w:val="clear"/>
        <w:spacing w:after="120" w:before="80"/>
      </w:pPr>
      <w:r>
        <w:rPr>
          <w:rFonts w:ascii="Consolas" w:cs="Consolas" w:eastAsia="Consolas" w:hAnsi="Consolas"/>
          <w:color w:val="0B3A73"/>
          <w:sz w:val="20"/>
          <w:szCs w:val="20"/>
        </w:rPr>
        <w:t xml:space="preserve">σ_Ed = N_v,sup/(t·1000) + 6·m_Ed/(t²·1000)   [N/mm²]</w:t>
      </w:r>
      <w:r>
        <w:br/>
      </w:r>
      <w:r>
        <w:rPr>
          <w:rFonts w:ascii="Consolas" w:cs="Consolas" w:eastAsia="Consolas" w:hAnsi="Consolas"/>
          <w:color w:val="0B3A73"/>
          <w:sz w:val="20"/>
          <w:szCs w:val="20"/>
        </w:rPr>
        <w:t xml:space="preserve">σ_Rd = f_k / γ_M</w:t>
      </w:r>
      <w:r>
        <w:br/>
      </w:r>
      <w:r>
        <w:rPr>
          <w:rFonts w:ascii="Consolas" w:cs="Consolas" w:eastAsia="Consolas" w:hAnsi="Consolas"/>
          <w:color w:val="0B3A73"/>
          <w:sz w:val="20"/>
          <w:szCs w:val="20"/>
        </w:rPr>
        <w:t xml:space="preserve">η_Druck = σ_Ed / σ_Rd</w:t>
      </w:r>
    </w:p>
    <w:p>
      <w:pPr>
        <w:pBdr>
          <w:left w:val="single" w:color="E0B400" w:sz="18" w:space="6"/>
        </w:pBdr>
        <w:shd w:fill="FFF8E6" w:val="clear"/>
        <w:spacing w:after="120" w:before="80"/>
      </w:pPr>
      <w:r>
        <w:t xml:space="preserve">Die Formel ist in der „je-Meter”-Konvention geschrieben (N_v in kN/m, t in m); das Ergebnis ergibt sich in N/mm².</w:t>
      </w:r>
    </w:p>
    <w:p>
      <w:pPr>
        <w:pStyle w:val="Heading2"/>
      </w:pPr>
      <w:r>
        <w:t xml:space="preserve">5.8 Nachweis Bodenanschluss (Reibung Stahl/Beton)</w:t>
      </w:r>
    </w:p>
    <w:p>
      <w:pPr>
        <w:pBdr>
          <w:left w:val="single" w:color="1F6FEB" w:sz="18" w:space="6"/>
        </w:pBdr>
        <w:shd w:fill="F4F7FB" w:val="clear"/>
        <w:spacing w:after="120" w:before="80"/>
      </w:pPr>
      <w:r>
        <w:rPr>
          <w:rFonts w:ascii="Consolas" w:cs="Consolas" w:eastAsia="Consolas" w:hAnsi="Consolas"/>
          <w:color w:val="0B3A73"/>
          <w:sz w:val="20"/>
          <w:szCs w:val="20"/>
        </w:rPr>
        <w:t xml:space="preserve">μ_d  = μ_k / γ_M,μ           (μ_k = 0,5 ; γ_M,μ = 1,5)</w:t>
      </w:r>
      <w:r>
        <w:br/>
      </w:r>
      <w:r>
        <w:rPr>
          <w:rFonts w:ascii="Consolas" w:cs="Consolas" w:eastAsia="Consolas" w:hAnsi="Consolas"/>
          <w:color w:val="0B3A73"/>
          <w:sz w:val="20"/>
          <w:szCs w:val="20"/>
        </w:rPr>
        <w:t xml:space="preserve">V_Rd = μ_d · N_Ed,B          η_Boden = v_Ed / V_Rd</w:t>
      </w:r>
    </w:p>
    <w:p>
      <w:pPr>
        <w:pStyle w:val="Heading2"/>
      </w:pPr>
      <w:r>
        <w:t xml:space="preserve">5.9 Deckenanschluss (Winkel – Anschlusskraft)</w:t>
      </w:r>
    </w:p>
    <w:p>
      <w:pPr>
        <w:pBdr>
          <w:left w:val="single" w:color="1F6FEB" w:sz="18" w:space="6"/>
        </w:pBdr>
        <w:shd w:fill="F4F7FB" w:val="clear"/>
        <w:spacing w:after="120" w:before="80"/>
      </w:pPr>
      <w:r>
        <w:rPr>
          <w:rFonts w:ascii="Consolas" w:cs="Consolas" w:eastAsia="Consolas" w:hAnsi="Consolas"/>
          <w:color w:val="0B3A73"/>
          <w:sz w:val="20"/>
          <w:szCs w:val="20"/>
        </w:rPr>
        <w:t xml:space="preserve">V_Winkel = v_Ed · e_W        Anzahl = ROUNDUP(l / e_W) + 1</w:t>
      </w:r>
    </w:p>
    <w:p>
      <w:pPr>
        <w:spacing w:after="120"/>
      </w:pPr>
      <w:r>
        <w:t xml:space="preserve">Die Anschlusskraft wird an den Stahlbau übergeben; Nachweis des Winkels und seiner Verankerung erfolgt separat.</w:t>
      </w:r>
    </w:p>
    <w:p>
      <w:pPr>
        <w:pStyle w:val="Heading2"/>
      </w:pPr>
      <w:r>
        <w:t xml:space="preserve">5.10 Spannsystem-Bauteile</w:t>
      </w:r>
    </w:p>
    <w:p>
      <w:pPr>
        <w:pBdr>
          <w:left w:val="single" w:color="1F6FEB" w:sz="18" w:space="6"/>
        </w:pBdr>
        <w:shd w:fill="F4F7FB" w:val="clear"/>
        <w:spacing w:after="120" w:before="80"/>
      </w:pPr>
      <w:r>
        <w:rPr>
          <w:rFonts w:ascii="Consolas" w:cs="Consolas" w:eastAsia="Consolas" w:hAnsi="Consolas"/>
          <w:color w:val="0B3A73"/>
          <w:sz w:val="20"/>
          <w:szCs w:val="20"/>
        </w:rPr>
        <w:t xml:space="preserve">F_t,Ed = F0 · γ_P,sup                              (Zug je Stab)</w:t>
      </w:r>
      <w:r>
        <w:br/>
      </w:r>
      <w:r>
        <w:rPr>
          <w:rFonts w:ascii="Consolas" w:cs="Consolas" w:eastAsia="Consolas" w:hAnsi="Consolas"/>
          <w:color w:val="0B3A73"/>
          <w:sz w:val="20"/>
          <w:szCs w:val="20"/>
        </w:rPr>
        <w:t xml:space="preserve">Gewindestange, Fließen (maßg.):  F_t,Rd = A_s · f_yk / γ_s</w:t>
      </w:r>
      <w:r>
        <w:br/>
      </w:r>
      <w:r>
        <w:rPr>
          <w:rFonts w:ascii="Consolas" w:cs="Consolas" w:eastAsia="Consolas" w:hAnsi="Consolas"/>
          <w:color w:val="0B3A73"/>
          <w:sz w:val="20"/>
          <w:szCs w:val="20"/>
        </w:rPr>
        <w:t xml:space="preserve">Gewindestange/Schraube, EC3:     F_t,Rd = k₂ · f_ub · A_s / γ_M2</w:t>
      </w:r>
      <w:r>
        <w:br/>
      </w:r>
      <w:r>
        <w:rPr>
          <w:rFonts w:ascii="Consolas" w:cs="Consolas" w:eastAsia="Consolas" w:hAnsi="Consolas"/>
          <w:color w:val="0B3A73"/>
          <w:sz w:val="20"/>
          <w:szCs w:val="20"/>
        </w:rPr>
        <w:t xml:space="preserve">                                 k₂ = 0,90 Sechskant · 0,63 Senkschraube</w:t>
      </w:r>
      <w:r>
        <w:br/>
      </w:r>
      <w:r>
        <w:rPr>
          <w:rFonts w:ascii="Consolas" w:cs="Consolas" w:eastAsia="Consolas" w:hAnsi="Consolas"/>
          <w:color w:val="0B3A73"/>
          <w:sz w:val="20"/>
          <w:szCs w:val="20"/>
        </w:rPr>
        <w:t xml:space="preserve">Kopf-/Fußplatte:  M_Ed = F_t,Ed·1000·L_span/4 ; W = b·t²/6 ; σ = M/W ≤ f_yk/γ_M0</w:t>
      </w:r>
      <w:r>
        <w:br/>
      </w:r>
      <w:r>
        <w:rPr>
          <w:rFonts w:ascii="Consolas" w:cs="Consolas" w:eastAsia="Consolas" w:hAnsi="Consolas"/>
          <w:color w:val="0B3A73"/>
          <w:sz w:val="20"/>
          <w:szCs w:val="20"/>
        </w:rPr>
        <w:t xml:space="preserve">                  L_span = t·1000 − 2·b_Steg</w:t>
      </w:r>
      <w:r>
        <w:br/>
      </w:r>
      <w:r>
        <w:rPr>
          <w:rFonts w:ascii="Consolas" w:cs="Consolas" w:eastAsia="Consolas" w:hAnsi="Consolas"/>
          <w:color w:val="0B3A73"/>
          <w:sz w:val="20"/>
          <w:szCs w:val="20"/>
        </w:rPr>
        <w:t xml:space="preserve">Steinpressung:    σ = F_t,Ed·1000 / (2·b_Steg·l_P) ≤ f_k/γ_M</w:t>
      </w:r>
    </w:p>
    <w:p>
      <w:pPr>
        <w:pStyle w:val="ListParagraph"/>
        <w:numPr>
          <w:ilvl w:val="0"/>
          <w:numId w:val="2"/>
        </w:numPr>
        <w:spacing w:after="60"/>
      </w:pPr>
      <w:r>
        <w:t xml:space="preserve">Der </w:t>
      </w:r>
      <w:r>
        <w:rPr>
          <w:b/>
          <w:bCs/>
        </w:rPr>
        <w:t xml:space="preserve">Gewindestangen-Fließnachweis</w:t>
      </w:r>
      <w:r>
        <w:t xml:space="preserve"> (A_s·f_yk/γ_s) ist maßgebend und geht in η_max,Spannsystem ein.</w:t>
      </w:r>
    </w:p>
    <w:p>
      <w:pPr>
        <w:pStyle w:val="ListParagraph"/>
        <w:numPr>
          <w:ilvl w:val="0"/>
          <w:numId w:val="2"/>
        </w:numPr>
        <w:spacing w:after="60"/>
      </w:pPr>
      <w:r>
        <w:t xml:space="preserve">Die </w:t>
      </w:r>
      <w:r>
        <w:rPr>
          <w:b/>
          <w:bCs/>
        </w:rPr>
        <w:t xml:space="preserve">Senkschraube</w:t>
      </w:r>
      <w:r>
        <w:t xml:space="preserve"> (k₂ = 0,63) wird als Warn-Alternative geführt; maßgebend ist die Sechskantschraube.</w:t>
      </w:r>
    </w:p>
    <w:p>
      <w:pPr>
        <w:pStyle w:val="ListParagraph"/>
        <w:numPr>
          <w:ilvl w:val="0"/>
          <w:numId w:val="2"/>
        </w:numPr>
        <w:spacing w:after="60"/>
      </w:pPr>
      <w:r>
        <w:t xml:space="preserve">Die </w:t>
      </w:r>
      <w:r>
        <w:rPr>
          <w:b/>
          <w:bCs/>
        </w:rPr>
        <w:t xml:space="preserve">Teilflächenpressung</w:t>
      </w:r>
      <w:r>
        <w:t xml:space="preserve"> prüft die konzentrierte Stabkraft auf die Steinstege unter der Ankerplatte (Auflagerlänge l_P je Stab, Default = Raster; β = 1,0 konservativ).</w:t>
      </w:r>
    </w:p>
    <w:p>
      <w:pPr>
        <w:pStyle w:val="ListParagraph"/>
        <w:numPr>
          <w:ilvl w:val="0"/>
          <w:numId w:val="2"/>
        </w:numPr>
        <w:spacing w:after="60"/>
      </w:pPr>
      <w:r>
        <w:rPr>
          <w:b/>
          <w:bCs/>
        </w:rPr>
        <w:t xml:space="preserve">Kopplungsmutter:</w:t>
      </w:r>
      <w:r>
        <w:t xml:space="preserve"> vorhandene Länge ≥ Mindestlänge (3·d bei M10 = 30 mm).</w:t>
      </w:r>
    </w:p>
    <w:p>
      <w:pPr>
        <w:pStyle w:val="Heading2"/>
      </w:pPr>
      <w:r>
        <w:t xml:space="preserve">5.11 Maßgebende Ausnutzung &amp; γ_P-Auswahlhilfe</w:t>
      </w:r>
    </w:p>
    <w:p>
      <w:pPr>
        <w:spacing w:after="120"/>
      </w:pPr>
      <w:r>
        <w:t xml:space="preserve">η_max,gesamt = MAX(η_max,Wand ; η_max,Spannsystem); erfüllt, wenn ≤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900"/>
        <w:gridCol w:w="5160"/>
      </w:tblGrid>
      <w:tr>
        <w:trPr>
          <w:tblHeader/>
        </w:trPr>
        <w:tc>
          <w:tcPr>
            <w:tcW w:type="dxa" w:w="13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γ_P,fav</w:t>
            </w:r>
          </w:p>
        </w:tc>
        <w:tc>
          <w:tcPr>
            <w:tcW w:type="dxa" w:w="2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Ansatz</w:t>
            </w:r>
          </w:p>
        </w:tc>
        <w:tc>
          <w:tcPr>
            <w:tcW w:type="dxa" w:w="5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Wann verwenden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Lidl, kein Abschlag</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Prüfnachweis vollständig, Nachspann-Regime etabliert (F∞ ≥ 15 kN/Stab)</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EC-üblich</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Regelfall neuer Nachweise mit Prüfwerten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1,35</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erhöht konservativ</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Verluste unsicher / kein Nachspann-Regime / Kriechzahl am oberen Rand</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worst case</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kein Prüfnachweis für die konkrete Lage / sensible Nutzung</w:t>
            </w:r>
          </w:p>
        </w:tc>
      </w:tr>
    </w:tbl>
    <w:p>
      <w:pPr>
        <w:pStyle w:val="Heading2"/>
      </w:pPr>
      <w:r>
        <w:t xml:space="preserve">5.12 Materialkennwerte &amp; Prüfwerte (Bibliothek)</w:t>
      </w:r>
    </w:p>
    <w:p>
      <w:pPr>
        <w:pBdr>
          <w:left w:val="single" w:color="C9461C" w:sz="18" w:space="6"/>
        </w:pBdr>
        <w:shd w:fill="FBE9E2" w:val="clear"/>
        <w:spacing w:after="120" w:before="80"/>
      </w:pPr>
      <w:r>
        <w:t xml:space="preserve">Die Werte stammen aus dem Gutachten bzw. der Bibliothek der Arbeitsmappe und sind projektbezogen vom Tragwerksplaner zu bestätigen. In Modul 3 sind sie editierbar.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3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Quelle/Bedeutung</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f_k</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Wanddruckfestigkeit (§5.2)</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γ_M</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Teilsicherheit Wand-Material</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γ_w</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13,8 kN/m³</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Wichte vorgespannte Wand</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v_Rd</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 kN/m</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Plattenschub (§6.3)</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Prüfwerte §6.2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26,7→2,4 · 80→3,7 · 240→7,6</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N_v [kN/m] → m_Rk [kNm/m]</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A_s/f_yk/f_ub (M10)</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58 mm² · 640 · 800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Gewindestange 8.8</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γ_s / γ_M2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 1,25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Spannstahl / Schraube</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μ_k / γ_M,μ</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0,5 / 1,5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Reibung Stahl/Beton</w:t>
            </w:r>
          </w:p>
        </w:tc>
      </w:tr>
    </w:tbl>
    <w:p>
      <w:pPr>
        <w:pStyle w:val="Heading2"/>
      </w:pPr>
      <w:r>
        <w:t xml:space="preserve">5.13 Beispielrechnung – Aschersleben, Rettungswache IW-01</w:t>
      </w:r>
    </w:p>
    <w:p>
      <w:pPr>
        <w:spacing w:after="120"/>
      </w:pPr>
      <w:r>
        <w:t xml:space="preserve">Innenwand h = 3,00 m · l = 6,00 m · t = 0,123 m; Stein i3, f_k = 20 N/mm²; Gewindestange M10 8.8; Raster e = 0,375 m; F0 = 22 kN; WLZ 2; Tor dominant; Kat. II; γ_P,fav = γ_P,sup = 1,1.</w:t>
      </w:r>
    </w:p>
    <w:p>
      <w:pPr>
        <w:pStyle w:val="Heading3"/>
      </w:pPr>
      <w:r>
        <w:t xml:space="preserve">Lasten &amp;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0,39 ; qp = 0,39·2,1 = 0,819 ; Cpi = 0,9·0,8 = 0,72</w:t>
      </w:r>
      <w:r>
        <w:br/>
      </w:r>
      <w:r>
        <w:rPr>
          <w:rFonts w:ascii="Consolas" w:cs="Consolas" w:eastAsia="Consolas" w:hAnsi="Consolas"/>
          <w:color w:val="0B3A73"/>
          <w:sz w:val="20"/>
          <w:szCs w:val="20"/>
        </w:rPr>
        <w:t xml:space="preserve">w_i = 0,819·0,72 = 0,590 ; w_Ed = 1,5·0,590 = 0,885 kN/m²</w:t>
      </w:r>
      <w:r>
        <w:br/>
      </w:r>
      <w:r>
        <w:rPr>
          <w:rFonts w:ascii="Consolas" w:cs="Consolas" w:eastAsia="Consolas" w:hAnsi="Consolas"/>
          <w:color w:val="0B3A73"/>
          <w:sz w:val="20"/>
          <w:szCs w:val="20"/>
        </w:rPr>
        <w:t xml:space="preserve">n = 1/0,375 = 2,667/m ; F∞ = 22·(1−0,33) = 14,74 kN/Stab  (≥ 11 ✓)</w:t>
      </w:r>
      <w:r>
        <w:br/>
      </w:r>
      <w:r>
        <w:rPr>
          <w:rFonts w:ascii="Consolas" w:cs="Consolas" w:eastAsia="Consolas" w:hAnsi="Consolas"/>
          <w:color w:val="0B3A73"/>
          <w:sz w:val="20"/>
          <w:szCs w:val="20"/>
        </w:rPr>
        <w:t xml:space="preserve">N_v,fav = 14,74·2,667/1,1 = 35,73 kN/m</w:t>
      </w:r>
      <w:r>
        <w:br/>
      </w:r>
      <w:r>
        <w:rPr>
          <w:rFonts w:ascii="Consolas" w:cs="Consolas" w:eastAsia="Consolas" w:hAnsi="Consolas"/>
          <w:color w:val="0B3A73"/>
          <w:sz w:val="20"/>
          <w:szCs w:val="20"/>
        </w:rPr>
        <w:t xml:space="preserve">N_v,sup = 22·2,667·1,1     = 64,53 kN/m</w:t>
      </w:r>
    </w:p>
    <w:p>
      <w:pPr>
        <w:pStyle w:val="Heading3"/>
      </w:pPr>
      <w:r>
        <w:t xml:space="preserve">Schnittgrößen</w:t>
      </w:r>
    </w:p>
    <w:p>
      <w:pPr>
        <w:pBdr>
          <w:left w:val="single" w:color="1F6FEB" w:sz="18" w:space="6"/>
        </w:pBdr>
        <w:shd w:fill="F4F7FB" w:val="clear"/>
        <w:spacing w:after="120" w:before="80"/>
      </w:pPr>
      <w:r>
        <w:rPr>
          <w:rFonts w:ascii="Consolas" w:cs="Consolas" w:eastAsia="Consolas" w:hAnsi="Consolas"/>
          <w:color w:val="0B3A73"/>
          <w:sz w:val="20"/>
          <w:szCs w:val="20"/>
        </w:rPr>
        <w:t xml:space="preserve">m_Ed,W = 0,885·3²/8 = 0,995 kNm/m   (maßgebend)</w:t>
      </w:r>
      <w:r>
        <w:br/>
      </w:r>
      <w:r>
        <w:rPr>
          <w:rFonts w:ascii="Consolas" w:cs="Consolas" w:eastAsia="Consolas" w:hAnsi="Consolas"/>
          <w:color w:val="0B3A73"/>
          <w:sz w:val="20"/>
          <w:szCs w:val="20"/>
        </w:rPr>
        <w:t xml:space="preserve">v_Ed,W = 0,885·3/2  = 1,327 kN/m</w:t>
      </w:r>
      <w:r>
        <w:br/>
      </w:r>
      <w:r>
        <w:rPr>
          <w:rFonts w:ascii="Consolas" w:cs="Consolas" w:eastAsia="Consolas" w:hAnsi="Consolas"/>
          <w:color w:val="0B3A73"/>
          <w:sz w:val="20"/>
          <w:szCs w:val="20"/>
        </w:rPr>
        <w:t xml:space="preserve">Kat. II: m_Ed = 1,5·1,0·0,9·2,1/3 = 0,945 ; v_Ed = 1,5·1,0·0,7 = 1,05</w:t>
      </w:r>
      <w:r>
        <w:br/>
      </w:r>
      <w:r>
        <w:rPr>
          <w:rFonts w:ascii="Consolas" w:cs="Consolas" w:eastAsia="Consolas" w:hAnsi="Consolas"/>
          <w:color w:val="0B3A73"/>
          <w:sz w:val="20"/>
          <w:szCs w:val="20"/>
        </w:rPr>
        <w:t xml:space="preserve">N_Ed,B = 64,53 + 13,8·0,123·3 = 69,63 kN/m</w:t>
      </w:r>
    </w:p>
    <w:p>
      <w:pPr>
        <w:pStyle w:val="Heading3"/>
      </w:pPr>
      <w:r>
        <w:t xml:space="preserve">Wandnachweise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2100"/>
        <w:gridCol w:w="1000"/>
        <w:gridCol w:w="16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Nachweis</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6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Biegung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0,995 kNm/m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1,310 kNm/m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0,759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Schub</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3,50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0,379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Druckrand</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0,919 N/mm²</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0,092</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 (Reibung)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23,21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0,057</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t xml:space="preserve">m_Rk = FORECAST(35,73) = 2,62 kNm/m → m_Rd = 1,310. Deckenwinkel: V_Winkel = 1,327·1,5 = 1,99 kN, 5 Winkel. </w:t>
      </w:r>
      <w:r>
        <w:rPr>
          <w:b/>
          <w:bCs/>
        </w:rPr>
        <w:t xml:space="preserve">η_max,Wand = 0,759</w:t>
      </w:r>
      <w:r>
        <w:t xml:space="preserve"> (Biegung maßgebend).</w:t>
      </w:r>
    </w:p>
    <w:p>
      <w:pPr>
        <w:pStyle w:val="Heading3"/>
      </w:pPr>
      <w:r>
        <w:t xml:space="preserve">Spannsystem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1900"/>
        <w:gridCol w:w="1000"/>
        <w:gridCol w:w="1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Bauteil</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1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 – Fließen (maßg.)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29,70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0,815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Stange/Schraube – EC3 (SK)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33,41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0,724</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Schraube unten – Senk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23,39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1,035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Kopf-/Fußplatte</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111,6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235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0,475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Steinpressung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1,61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0,161</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rPr>
          <w:b/>
          <w:bCs/>
        </w:rPr>
        <w:t xml:space="preserve">η_max,Spannsystem = 0,815</w:t>
      </w:r>
      <w:r>
        <w:t xml:space="preserve"> (Gewindestange Fließen). Die Senkschraube überschreitet 100 % → nur Sechskantschraube zulässig.</w:t>
      </w:r>
    </w:p>
    <w:p>
      <w:pPr>
        <w:pBdr>
          <w:left w:val="single" w:color="1F9D55" w:sz="18" w:space="6"/>
        </w:pBdr>
        <w:shd w:fill="E3F5EA" w:val="clear"/>
        <w:spacing w:after="120" w:before="80"/>
      </w:pPr>
      <w:r>
        <w:t xml:space="preserve">Ergebnis:  η_max,gesamt = MAX(0,759 ; 0,815) = 0,815  →  NACHWEIS ERFÜLLT</w:t>
      </w:r>
    </w:p>
    <w:p>
      <w:pPr>
        <w:pStyle w:val="Heading1"/>
      </w:pPr>
      <w:r>
        <w:t xml:space="preserve">6 · Modul 0 · Start &amp; Verwaltung</w:t>
      </w:r>
    </w:p>
    <w:p>
      <w:pPr>
        <w:spacing w:after="120"/>
      </w:pPr>
      <w:r>
        <w:t xml:space="preserve">Einstieg der Suite (index.html): Wandelement mit Name und Wandtyp anlegen, Projekt-Kopfdaten pflegen, aktive Elemente wählen/umbenennen/löschen sowie den zentralen Projektimport/-export ausführen. Der Häkchen-Dialog erzeugt die Projektdatei und ausgewählte Unterlagen als ZIP.</w:t>
      </w:r>
    </w:p>
    <w:p>
      <w:pPr>
        <w:spacing w:after="120"/>
      </w:pPr>
      <w:r>
        <w:t xml:space="preserve">Modul 0 verwaltet außerdem den vom Projekt getrennten Bauteilkatalog und ist dessen alleiniger Pflegeort: Produkte nach Kategorien anlegen, bearbeiten, duplizieren und löschen, Preise pflegen, Katalog separat importieren/exportieren. Eine wand- oder projektbezogene Produktauswahl gibt es hier bewusst nicht mehr – sie liegt in den Modulen 1 und 2 ([P-13]). Produktreferenzen aus dem früheren zentralen Auswahlweg bleiben im Projekt erhalten, sind aber unwirksam und werden in Modul 0 als solche gemeldet ([P-15]).</w:t>
      </w:r>
    </w:p>
    <w:p>
      <w:pPr>
        <w:spacing w:after="120"/>
      </w:pPr>
      <w:r>
        <w:t xml:space="preserve">Produkte werden in einem </w:t>
      </w:r>
      <w:r>
        <w:rPr>
          <w:b/>
          <w:bCs/>
        </w:rPr>
        <w:t xml:space="preserve">eigenen Dialog</w:t>
      </w:r>
      <w:r>
        <w:t xml:space="preserve"> angelegt, bearbeitet und dupliziert, der klar von der Produktübersicht getrennt ist ([P-16]). Die Maske richtet sich nach der gewählten Kategorie und zeigt nur fachlich zutreffende Felder mit ausgewiesener Einheit: Gewindestange mit Gewindebezeichnung (z. B. M10), Güte und Stangenlänge; Latte mit Querschnitt (Breite × Dicke) und Standardlänge; Beplankungsplatte und Blech mit Plattenbreite, -höhe und -dicke, ohne Gewindefeld; Stein mit optionaler Steinbreite, die als das für die Preiszuordnung maßgebende Maß gekennzeichnet ist; Verbinder und Verbrauchsmaterial ohne Maßfelder. Pflichtfelder stehen an der Beschriftung und werden aus derselben Kategorietabelle gelesen, gegen die auch validiert wird – es gibt keine zweite Pflichtdefinition.</w:t>
      </w:r>
    </w:p>
    <w:p>
      <w:pPr>
        <w:spacing w:after="120"/>
      </w:pPr>
      <w:r>
        <w:t xml:space="preserve">Gespeichert wird ausschließlich über „Speichern“. Abbrechen, Escape und ein Klick neben den Dialog lassen den Katalog unverändert; auch „Duplizieren“ öffnet nur den vorbelegten Dialog mit freiem ID-Vorschlag und legt die Kopie erst mit dem Speichern an. Fehlermeldungen der Validierung erscheinen im Dialog, der zur Korrektur offen bleibt. Feldschlüssel und Katalog-Formatversion bleiben unverändert (v1); unbekannte Zusatzfelder eines Produkts – etwa der Vorlagenhinweis nach [P-12] – überleben das Bearbeiten.</w:t>
      </w:r>
    </w:p>
    <w:p>
      <w:pPr>
        <w:spacing w:after="120"/>
      </w:pPr>
      <w:r>
        <w:t xml:space="preserve">Für den Einstieg liefert das Repository zwei Vorlagen unter docs/vorlagen/ mit: den Standardkatalog (SEMBLA_Standardkatalog.json, Katalogformat v1) und die AWG-Musterwand (SEMBLA_Musterwand.json, Projektformat v2). Beide werden ausschließlich auf Klick geladen – „Standardkatalog laden” bzw. „Musterwand laden…” – und niemals automatisch. Ein bereits geladener Katalog wird erst nach ausdrücklicher Bestätigung ersetzt; ein Abbruch bleibt wirkungslos. Die Musterwand läuft durch denselben Bestätigungsdialog wie jeder Dateiimport und wird als neues Wandelement angelegt, ohne bestehende Elemente zu überschreiben. Die Musterwand ist die kanonische Ausgabe des heutigen Rechenkerns aus den fachlichen Eingaben der freigegebenen AWG-Vorlage: Geometrie, Tiling und Spannachsen sind unverändert, veraltete abgeleitete Daten sind nicht übernommen.</w:t>
      </w:r>
    </w:p>
    <w:p>
      <w:pPr>
        <w:pBdr>
          <w:left w:val="single" w:color="E0B400" w:sz="18" w:space="6"/>
        </w:pBdr>
        <w:shd w:fill="FFF8E6" w:val="clear"/>
        <w:spacing w:after="120" w:before="80"/>
      </w:pPr>
      <w:r>
        <w:t xml:space="preserve">Der Standardkatalog übernimmt die im Produkt vorhandenen Preis- und Maßvorgaben. Wo fachliche Daten fehlen, enthält er vorläufige, fachlich unbestätigte Beispielwerte. Diese sind im Katalognamen, in der Produktbezeichnung und je Produkt im Feld „hinweis” gekennzeichnet und vor der Verwendung fachlich zu bestätigen; sie sind keine geprüften Kennwerte.</w:t>
      </w:r>
    </w:p>
    <w:p>
      <w:pPr>
        <w:pBdr>
          <w:left w:val="single" w:color="E0B400" w:sz="18" w:space="6"/>
        </w:pBdr>
        <w:shd w:fill="FFF8E6" w:val="clear"/>
        <w:spacing w:after="120" w:before="80"/>
      </w:pPr>
      <w:r>
        <w:t xml:space="preserve">localStorage ist pro Browser und Gerät und geht bei „Websitedaten löschen” verloren. Der zentrale Export in Modul 0 ist daher die Sicherung bzw. der Weg, ein Projekt weiterzugeben. Der Katalog besitzt einen eigenen Import-/Exportweg und ist nicht Bestandteil des Projekt-ZIP.</w:t>
      </w:r>
    </w:p>
    <w:p>
      <w:pPr>
        <w:pStyle w:val="Heading1"/>
      </w:pPr>
      <w:r>
        <w:t xml:space="preserve">7 · Modul 1 · Wand planen &amp; auslegen</w:t>
      </w:r>
    </w:p>
    <w:p>
      <w:pPr>
        <w:spacing w:after="120"/>
      </w:pPr>
      <w:r>
        <w:t xml:space="preserve">Zweck: erzeugt das geprüfte Wandelement – zeichnen + statisch auslegen in einem Schritt.</w:t>
      </w:r>
    </w:p>
    <w:p>
      <w:pPr>
        <w:spacing w:after="120"/>
      </w:pPr>
      <w:r>
        <w:t xml:space="preserve">Eingaben: Länge, Höhe, Seiten-Funktionen, Öffnungen (inkl. Durchbrüche per Klick), Staffelung, Gewindestangenlänge, Startachse der Vorspannung (1./2. Rasterachse) sowie Auslegungsparameter. Der Wandtyp wird nicht hier gewählt, sondern aus dem in Modul 0 angelegten Element unverändert mitgeführt.</w:t>
      </w:r>
    </w:p>
    <w:p>
      <w:pPr>
        <w:spacing w:after="120"/>
      </w:pPr>
      <w:r>
        <w:t xml:space="preserve">Ablauf: Verband i3-maximiert, Stränge (mit Segmenten über/unter Öffnungen) regelbasiert abgeleitet, dann Auslegungs-Engine (Kap. 4). Ergebnis ist das automatisch im aktiven Element gespeicherte Wandelement mit maßstäblichem Wandbild und Machbarkeits-/Nachweisinformationen.</w:t>
      </w:r>
    </w:p>
    <w:p>
      <w:pPr>
        <w:pStyle w:val="ListParagraph"/>
        <w:numPr>
          <w:ilvl w:val="0"/>
          <w:numId w:val="2"/>
        </w:numPr>
        <w:spacing w:after="60"/>
      </w:pPr>
      <w:r>
        <w:rPr>
          <w:b/>
          <w:bCs/>
        </w:rPr>
        <w:t xml:space="preserve">Versatz-/Baubarkeits-Warnung:</w:t>
      </w:r>
      <w:r>
        <w:t xml:space="preserve"> bei Verstoß rote Warnung + Status-Badge „Verband regelwidrig”.</w:t>
      </w:r>
    </w:p>
    <w:p>
      <w:pPr>
        <w:pStyle w:val="ListParagraph"/>
        <w:numPr>
          <w:ilvl w:val="0"/>
          <w:numId w:val="2"/>
        </w:numPr>
        <w:spacing w:after="60"/>
      </w:pPr>
      <w:r>
        <w:rPr>
          <w:b/>
          <w:bCs/>
        </w:rPr>
        <w:t xml:space="preserve">Durchbrüche:</w:t>
      </w:r>
      <w:r>
        <w:t xml:space="preserve"> Steine per Klick entfernen/auffüllen; über/unter allen Öffnungen Vorspannung unterbrochen.</w:t>
      </w:r>
    </w:p>
    <w:p>
      <w:pPr>
        <w:pStyle w:val="ListParagraph"/>
        <w:numPr>
          <w:ilvl w:val="0"/>
          <w:numId w:val="2"/>
        </w:numPr>
        <w:spacing w:after="60"/>
      </w:pPr>
      <w:r>
        <w:rPr>
          <w:b/>
          <w:bCs/>
        </w:rPr>
        <w:t xml:space="preserve">Staffelung:</w:t>
      </w:r>
      <w:r>
        <w:t xml:space="preserve"> getreppte Wandkontur über Stufen (Abschnitt 2.7) inkl. Bemaßung.</w:t>
      </w:r>
    </w:p>
    <w:p>
      <w:pPr>
        <w:pStyle w:val="ListParagraph"/>
        <w:numPr>
          <w:ilvl w:val="0"/>
          <w:numId w:val="2"/>
        </w:numPr>
        <w:spacing w:after="60"/>
      </w:pPr>
      <w:r>
        <w:rPr>
          <w:b/>
          <w:bCs/>
        </w:rPr>
        <w:t xml:space="preserve">Speichern:</w:t>
      </w:r>
      <w:r>
        <w:t xml:space="preserve"> Änderungen werden automatisch in das aktive Wandelement geschrieben. Ohne aktives Element wird nichts fiktiv angelegt; Modul 1 verweist auf den Start. Datei-Export ausschließlich zentral in Modul 0.</w:t>
      </w:r>
    </w:p>
    <w:p>
      <w:pPr>
        <w:pStyle w:val="ListParagraph"/>
        <w:numPr>
          <w:ilvl w:val="0"/>
          <w:numId w:val="2"/>
        </w:numPr>
        <w:spacing w:after="60"/>
      </w:pPr>
      <w:r>
        <w:rPr>
          <w:b/>
          <w:bCs/>
        </w:rPr>
        <w:t xml:space="preserve">Produkte für diese Wand ([P-13], [P-17]):</w:t>
      </w:r>
      <w:r>
        <w:t xml:space="preserve"> Aus dem vollständigen aktiven Bauteilkatalog werden die Produkte je Verwendungsrolle gewählt – je Rolle eine kompakte Zeile mit Mehrfachauswahl-Dropdown (Steine, Vorspannung, Anschluss einschließlich getrennter Boden- und Kopfbleche nach [A-1], Fugen). Mehrere Produkte je Rolle sind erlaubt; der Auswahlstatus (zugeordnet, kombiniert, mehrdeutig, ohne Auswahl) steht direkt an der Rolle. Gespeichert werden nur Produkt-IDs und die Herkunftsnotiz des Katalogs unter eingaben.planung.produkte – das Wandelement bleibt frei von Produktdaten.</w:t>
      </w:r>
    </w:p>
    <w:p>
      <w:pPr>
        <w:pStyle w:val="ListParagraph"/>
        <w:numPr>
          <w:ilvl w:val="0"/>
          <w:numId w:val="2"/>
        </w:numPr>
        <w:spacing w:after="60"/>
      </w:pPr>
      <w:r>
        <w:rPr>
          <w:b/>
          <w:bCs/>
        </w:rPr>
        <w:t xml:space="preserve">Gewindestangenlänge kommt aus dem Katalog ([Z-1]):</w:t>
      </w:r>
      <w:r>
        <w:t xml:space="preserve"> Sobald ein Gewindestangenprodukt gewählt ist, liefert dessen Standardlänge die Vorspann-Geometrie; das frühere freie Längenfeld ist gesperrt und wird nicht mehr gelesen. Mehrere gewählte Standardlängen werden nach [Z-2] kombiniert (größte zuerst, mit kleineren auffüllen, Restmaß als Sonderzuschnitt); ein Restmaß unter 200 mm wird nach [Z-5] sichtbar als Konflikt gemeldet. Ohne Auswahl bleibt der gekennzeichnete Altwert als Fallback wirksam.</w:t>
      </w:r>
    </w:p>
    <w:p>
      <w:pPr>
        <w:pStyle w:val="Heading1"/>
      </w:pPr>
      <w:r>
        <w:t xml:space="preserve">8 · Modul 2 · Horizontaler Wandaufbau</w:t>
      </w:r>
    </w:p>
    <w:p>
      <w:pPr>
        <w:spacing w:after="120"/>
      </w:pPr>
      <w:r>
        <w:t xml:space="preserve">Zweck: Verbinder- und Lattenplanung in einem Schritt. Die Panelfugen bestimmen die Verbinderachsen; daraus werden die Latten abgeleitet.</w:t>
      </w:r>
    </w:p>
    <w:p>
      <w:pPr>
        <w:pBdr>
          <w:left w:val="single" w:color="E0B400" w:sz="18" w:space="6"/>
        </w:pBdr>
        <w:shd w:fill="FFF8E6" w:val="clear"/>
        <w:spacing w:after="120" w:before="80"/>
      </w:pPr>
      <w:r>
        <w:t xml:space="preserve">Im MVP ist die Wärmedämmung aus diesem Modul entfernt (Entscheidung Polycare). Die Latten-Logik bleibt unverändert; der Dichtstreifen aus den Stoßfugen (Schallschutz, Kap. 2.6) ist keine Wärmedämmung und bleibt erhalten.</w:t>
      </w:r>
    </w:p>
    <w:p>
      <w:pPr>
        <w:pStyle w:val="Heading2"/>
      </w:pPr>
      <w:r>
        <w:t xml:space="preserve">Verbinderachsen aus Panelfugen</w:t>
      </w:r>
    </w:p>
    <w:p>
      <w:pPr>
        <w:pStyle w:val="ListParagraph"/>
        <w:numPr>
          <w:ilvl w:val="0"/>
          <w:numId w:val="2"/>
        </w:numPr>
        <w:spacing w:after="60"/>
      </w:pPr>
      <w:r>
        <w:rPr>
          <w:b/>
          <w:bCs/>
        </w:rPr>
        <w:t xml:space="preserve">Panelmaß</w:t>
      </w:r>
      <w:r>
        <w:t xml:space="preserve"> (Standard 62,5 × 150 cm, änderbar) legt die Verbinderachsen fest: vertikale Achsen an den Panel-Längsfugen, horizontale an den Panel-Höhenfugen – plus Zwischenachsen, wenn der Max-Abstand überschritten wird.</w:t>
      </w:r>
    </w:p>
    <w:p>
      <w:pPr>
        <w:pStyle w:val="ListParagraph"/>
        <w:numPr>
          <w:ilvl w:val="0"/>
          <w:numId w:val="2"/>
        </w:numPr>
        <w:spacing w:after="60"/>
      </w:pPr>
      <w:r>
        <w:t xml:space="preserve">Zusätzlich an Wandkanten; keine Verbinder innerhalb von Öffnungen. An linken/rechten Öffnungskanten wird der bestehende Randabstand eingehalten: Achsen werden auf eine sichere Nut von der Öffnung weg verschoben, dedupliziert und bei unlösbaren Abstandskonflikten sichtbar gewarnt. Oberkanten von Öffnungen sind keine Sperrzone.</w:t>
      </w:r>
    </w:p>
    <w:p>
      <w:pPr>
        <w:pStyle w:val="ListParagraph"/>
        <w:numPr>
          <w:ilvl w:val="0"/>
          <w:numId w:val="2"/>
        </w:numPr>
        <w:spacing w:after="60"/>
      </w:pPr>
      <w:r>
        <w:rPr>
          <w:b/>
          <w:bCs/>
        </w:rPr>
        <w:t xml:space="preserve">Beplankungsfeld:</w:t>
      </w:r>
      <w:r>
        <w:t xml:space="preserve"> häufig wird nur ein Teil der Wand beplankt – ein rechteckiges Feld begrenzt Verbinder und Latten. Ein sichtbarer Bearbeitungsmodus zeigt Rasterpunkte, Hover und Vorschau; erst „Übernehmen &amp; berechnen” speichert das Feld und stößt die Berechnung an. Standard = ganze Wand.</w:t>
      </w:r>
    </w:p>
    <w:p>
      <w:pPr>
        <w:pStyle w:val="ListParagraph"/>
        <w:numPr>
          <w:ilvl w:val="0"/>
          <w:numId w:val="2"/>
        </w:numPr>
        <w:spacing w:after="60"/>
      </w:pPr>
      <w:r>
        <w:rPr>
          <w:b/>
          <w:bCs/>
        </w:rPr>
        <w:t xml:space="preserve">Nutprüfung je Lage ([U-11]):</w:t>
      </w:r>
      <w:r>
        <w:t xml:space="preserve"> Aus jeder Achse entsteht ein Verbinder nur in den Lagen, in denen ein tatsächlich vorhandener Stein die Nut strikt innen führt. Stein-Außenkanten (auch an Staffelungs-/Treppenkanten), Stoßfugen und steinfreie Positionen bleiben leer; entfallene Positionen und Achsen ohne Verbinder werden in der Bildunterschrift gewarnt statt durch Ersatzpunkte ersetzt. Fehlt die Lagengeometrie im Wandelement, entstehen keine Verbinder (sicherer Leerfall mit Warnung).</w:t>
      </w:r>
    </w:p>
    <w:p>
      <w:pPr>
        <w:pStyle w:val="ListParagraph"/>
        <w:numPr>
          <w:ilvl w:val="0"/>
          <w:numId w:val="2"/>
        </w:numPr>
        <w:spacing w:after="60"/>
      </w:pPr>
      <w:r>
        <w:rPr>
          <w:b/>
          <w:bCs/>
        </w:rPr>
        <w:t xml:space="preserve">Endverbinder je Lattensegment ([U-12]):</w:t>
      </w:r>
      <w:r>
        <w:t xml:space="preserve"> Zusätzlich zum Panelraster erhält jedes reale Lattensegment an seinem unteren und oberen Ende je einen Verbinder – maßgeblich ist die erste bzw. letzte im Segment nach [U-11] zulässige Lage. Segmentgrenzen sind Öffnungen, Feldgrenzen und Wandkontur, </w:t>
      </w:r>
      <w:r>
        <w:rPr>
          <w:b/>
          <w:bCs/>
        </w:rPr>
        <w:t xml:space="preserve">nicht</w:t>
      </w:r>
      <w:r>
        <w:t xml:space="preserve"> Wandfuß/Wandkrone: über einer Tür beginnt die Latte an der ersten befestigbaren Lage über der Tür-Oberkante. Diese Punkte sind additiv (bestehende Rasterpunkte bleiben) und stehen unter [U-11]; ein Segment ohne zulässige Lage wird nicht beplankt und gewarnt statt mit einem Ersatzpunkt versehen.</w:t>
      </w:r>
    </w:p>
    <w:p>
      <w:pPr>
        <w:pStyle w:val="Heading2"/>
      </w:pPr>
      <w:r>
        <w:t xml:space="preserve">Nachweis je Verbinder</w:t>
      </w:r>
    </w:p>
    <w:p>
      <w:pPr>
        <w:pBdr>
          <w:left w:val="single" w:color="1F6FEB" w:sz="18" w:space="6"/>
        </w:pBdr>
        <w:shd w:fill="F4F7FB" w:val="clear"/>
        <w:spacing w:after="120" w:before="80"/>
      </w:pPr>
      <w:r>
        <w:rPr>
          <w:rFonts w:ascii="Consolas" w:cs="Consolas" w:eastAsia="Consolas" w:hAnsi="Consolas"/>
          <w:color w:val="0B3A73"/>
          <w:sz w:val="20"/>
          <w:szCs w:val="20"/>
        </w:rPr>
        <w:t xml:space="preserve">R_d    = R_k / gamma_M          [kN]   (zul. Zuglast je Verbinder)</w:t>
      </w:r>
      <w:r>
        <w:br/>
      </w:r>
      <w:r>
        <w:rPr>
          <w:rFonts w:ascii="Consolas" w:cs="Consolas" w:eastAsia="Consolas" w:hAnsi="Consolas"/>
          <w:color w:val="0B3A73"/>
          <w:sz w:val="20"/>
          <w:szCs w:val="20"/>
        </w:rPr>
        <w:t xml:space="preserve">coeff  = gamma_Q · w_k          [kN/m²]</w:t>
      </w:r>
      <w:r>
        <w:br/>
      </w:r>
      <w:r>
        <w:rPr>
          <w:rFonts w:ascii="Consolas" w:cs="Consolas" w:eastAsia="Consolas" w:hAnsi="Consolas"/>
          <w:color w:val="0B3A73"/>
          <w:sz w:val="20"/>
          <w:szCs w:val="20"/>
        </w:rPr>
        <w:t xml:space="preserve">A_t    = Feldfläche / Anzahl    A_t / A_tmax ≤ 100 %  (A_tmax = R_d / coeff)</w:t>
      </w:r>
    </w:p>
    <w:p>
      <w:pPr>
        <w:pStyle w:val="ListParagraph"/>
        <w:numPr>
          <w:ilvl w:val="0"/>
          <w:numId w:val="2"/>
        </w:numPr>
        <w:spacing w:after="60"/>
      </w:pPr>
      <w:r>
        <w:t xml:space="preserve">Verbinder-Katalog: FA-1 (R_k 0,50), FA-2 schwer (0,80), IA-1 leicht (0,25), Universal (0,50); je gamma_M = 2,0.</w:t>
      </w:r>
    </w:p>
    <w:p>
      <w:pPr>
        <w:pStyle w:val="Heading2"/>
      </w:pPr>
      <w:r>
        <w:t xml:space="preserve">Latten</w:t>
      </w:r>
    </w:p>
    <w:p>
      <w:pPr>
        <w:pStyle w:val="ListParagraph"/>
        <w:numPr>
          <w:ilvl w:val="0"/>
          <w:numId w:val="2"/>
        </w:numPr>
        <w:spacing w:after="60"/>
      </w:pPr>
      <w:r>
        <w:t xml:space="preserve">Latten verlaufen vertikal auf den Verbinderachsen; an Öffnungen und am Feldrand abgeschnitten. Sie enden an der obersten nach [U-11] befestigbaren Lage – über eine Staffelungskante hinaus wird nicht weitergeplant.</w:t>
      </w:r>
    </w:p>
    <w:p>
      <w:pPr>
        <w:pStyle w:val="ListParagraph"/>
        <w:numPr>
          <w:ilvl w:val="0"/>
          <w:numId w:val="2"/>
        </w:numPr>
        <w:spacing w:after="60"/>
      </w:pPr>
      <w:r>
        <w:t xml:space="preserve">Stöße liegen zwischen zwei Verbindern (mittig); Wandhöhe &gt; Lattenlänge → 1D-Zuschnitt mit Reststück-Wiederverwendung. [U-12] wirkt auf der Segmentebene; die Befestigung der einzelnen Zuschnittstücke innerhalb eines Segments regelt weiterhin diese Stoßregel ([U-12.1]).</w:t>
      </w:r>
    </w:p>
    <w:p>
      <w:pPr>
        <w:pStyle w:val="ListParagraph"/>
        <w:numPr>
          <w:ilvl w:val="0"/>
          <w:numId w:val="2"/>
        </w:numPr>
        <w:spacing w:after="60"/>
      </w:pPr>
      <w:r>
        <w:t xml:space="preserve">Eingaben werden in eingaben.aufbau gespeichert. Die Berechnung ist kanonisch in sembla-aufbau.js; Exportdokumente werden zentral in Modul 0 erzeugt. Modul 2 schreibt das Wandelement nicht zurück.</w:t>
      </w:r>
    </w:p>
    <w:p>
      <w:pPr>
        <w:pStyle w:val="ListParagraph"/>
        <w:numPr>
          <w:ilvl w:val="0"/>
          <w:numId w:val="2"/>
        </w:numPr>
        <w:spacing w:after="60"/>
      </w:pPr>
      <w:r>
        <w:rPr>
          <w:b/>
          <w:bCs/>
        </w:rPr>
        <w:t xml:space="preserve">Produkte für diesen Aufbau ([P-13], [P-17]):</w:t>
      </w:r>
      <w:r>
        <w:t xml:space="preserve"> Aus dem vollständigen aktiven Bauteilkatalog werden Lattenstangen, Beplankungsplatten und das ausführende Verbinderprodukt gewählt – im selben kompakten Dropdown-Muster wie in Modul 1, mehrere Standardformate je Punkt erlaubt – und als Produkt-IDs unter eingaben.aufbau.produkte gespeichert. Querschnitt und Standardlänge der Latten stammen dann ausschließlich aus dem gewählten Produkt ([Z-1]); die früheren freien Felder sind gesperrt und unwirksam. Die Latten-Bilanz weist Einbaustücke, Standard- und Sonderzuschnitte sowie die Ausgangsprodukte aus ([Z-4]) – keine bin-gepackte Bestellmenge und keine Reststück-Wiederverwendung mehr. Der Verbindertyp selbst bleibt unveränderlich aus Modul 1 ([U-9]); da Katalog v1 kein Typfeld führt, wird die fehlende maschinelle Typprüfung an der Auswahl benannt. Die Beplankungsauswahl steht der Zuschnittplanung programmgesteuert zur Verfügung, erzeugt aber vorerst keine Plattenmenge und keine Kostenzeile – das bleibt der Zuschnitt- und Baustellenstückliste vorbehalten.</w:t>
      </w:r>
    </w:p>
    <w:p>
      <w:pPr>
        <w:pStyle w:val="Heading1"/>
      </w:pPr>
      <w:r>
        <w:t xml:space="preserve">9 · Modul 3 · Statik (Werkzeug)</w:t>
      </w:r>
    </w:p>
    <w:p>
      <w:pPr>
        <w:spacing w:after="140"/>
      </w:pPr>
      <w:r>
        <w:rPr>
          <w:color w:val="33414F"/>
          <w:sz w:val="24"/>
          <w:szCs w:val="24"/>
        </w:rPr>
        <w:t xml:space="preserve">Die Oberfläche zum Schermer-Nachweis aus Kapitel 5. Alle Formeln und die Beispielrechnung stehen dort; dieses Kapitel beschreibt Bedienung, Ein-/Ausgaben und die Wandelement-Anbindung.</w:t>
      </w:r>
    </w:p>
    <w:p>
      <w:pPr>
        <w:spacing w:after="120"/>
      </w:pPr>
      <w:r>
        <w:t xml:space="preserve">Eingaben (editierbar wie die Bibliothek der Arbeitsmappe): Material, Gewindestange, Lasten, Vorspannung, Prüfwerte §6.2, Spannsystem-Bauteile und Deckenwinkel-Abstand. Geometrie, Öffnungszahl und Wandtyp kommen ausschließlich read-only aus dem aktiven Wandelement; ohne aktives Element wird kein fiktiver Nachweis gerechnet.</w:t>
      </w:r>
    </w:p>
    <w:p>
      <w:pPr>
        <w:spacing w:after="120"/>
      </w:pPr>
      <w:r>
        <w:t xml:space="preserve">Ausgaben: </w:t>
      </w:r>
      <w:r>
        <w:rPr>
          <w:b/>
          <w:bCs/>
        </w:rPr>
        <w:t xml:space="preserve">Kompaktnachweis Wand</w:t>
      </w:r>
      <w:r>
        <w:t xml:space="preserve"> (Biegung, Schub, Druckrand, Boden, Deckenwinkel) und </w:t>
      </w:r>
      <w:r>
        <w:rPr>
          <w:b/>
          <w:bCs/>
        </w:rPr>
        <w:t xml:space="preserve">Kompaktnachweis Spannsystem</w:t>
      </w:r>
      <w:r>
        <w:t xml:space="preserve"> (Stange EC3 + Fließen, Spannschraube, Schraube unten Sechskant/Senk, Kopf-/Fußplatte, Steinpressung, Mutter). Jede Karte zeigt E_d, R_d, Auslastung η und Status; oben die Gesamtausnutzung η_max,gesamt = MAX(Wand, Spannsystem).</w:t>
      </w:r>
    </w:p>
    <w:p>
      <w:pPr>
        <w:pStyle w:val="ListParagraph"/>
        <w:numPr>
          <w:ilvl w:val="0"/>
          <w:numId w:val="2"/>
        </w:numPr>
        <w:spacing w:after="60"/>
      </w:pPr>
      <w:r>
        <w:rPr>
          <w:b/>
          <w:bCs/>
        </w:rPr>
        <w:t xml:space="preserve">Wandelement-Anbindung:</w:t>
      </w:r>
      <w:r>
        <w:t xml:space="preserve"> Geometrie, Öffnungszahl und Wandtyp werden ausschließlich aus dem aktiven Wandelement übernommen. Echte Statik-Kennwerte werden unter eingaben.statik gespeichert; das Modul schreibt das Wandelement nicht zurück. Der zentrale Nachweis-Export nutzt dasselbe DOM-freie Parameter-Mapping.</w:t>
      </w:r>
    </w:p>
    <w:p>
      <w:pPr>
        <w:pStyle w:val="ListParagraph"/>
        <w:numPr>
          <w:ilvl w:val="0"/>
          <w:numId w:val="2"/>
        </w:numPr>
        <w:spacing w:after="60"/>
      </w:pPr>
      <w:r>
        <w:rPr>
          <w:b/>
          <w:bCs/>
        </w:rPr>
        <w:t xml:space="preserve">Interpolations-Absicherung:</w:t>
      </w:r>
      <w:r>
        <w:t xml:space="preserve"> Biege-Prüfwerte werden bei Überschreitung des Prüfbereichs gekappt und gewarnt (Kap. 5.5).</w:t>
      </w:r>
    </w:p>
    <w:p>
      <w:pPr>
        <w:pStyle w:val="Heading2"/>
      </w:pPr>
      <w:r>
        <w:t xml:space="preserve">9.1 Transport / Hebezustand (Zusatz, nicht Gutachten)</w:t>
      </w:r>
    </w:p>
    <w:p>
      <w:pPr>
        <w:spacing w:after="120"/>
      </w:pPr>
      <w:r>
        <w:t xml:space="preserve">Separater Spot-Check für das Anschlagblech beim Heben (vorübergehende Bemessungssituation, eigenes Faktorenregime γ_G·dyn). Eigengewicht als Streckenlast n_Ed = γ_w · t · h.</w:t>
      </w:r>
    </w:p>
    <w:p>
      <w:pPr>
        <w:pBdr>
          <w:left w:val="single" w:color="1F6FEB" w:sz="18" w:space="6"/>
        </w:pBdr>
        <w:shd w:fill="F4F7FB" w:val="clear"/>
        <w:spacing w:after="120" w:before="80"/>
      </w:pPr>
      <w:r>
        <w:rPr>
          <w:rFonts w:ascii="Consolas" w:cs="Consolas" w:eastAsia="Consolas" w:hAnsi="Consolas"/>
          <w:color w:val="0B3A73"/>
          <w:sz w:val="20"/>
          <w:szCs w:val="20"/>
        </w:rPr>
        <w:t xml:space="preserve">G_Ek = n_Ed · L / n_Anker      G_Ed = γ_G · dyn · G_Ek   [kN]</w:t>
      </w:r>
      <w:r>
        <w:br/>
      </w:r>
      <w:r>
        <w:rPr>
          <w:rFonts w:ascii="Consolas" w:cs="Consolas" w:eastAsia="Consolas" w:hAnsi="Consolas"/>
          <w:color w:val="0B3A73"/>
          <w:sz w:val="20"/>
          <w:szCs w:val="20"/>
        </w:rPr>
        <w:t xml:space="preserve">erf. Tragfähigkeit Anschlagmittel = G_Ed·1000 / 9,81   [kg]</w:t>
      </w:r>
      <w:r>
        <w:br/>
      </w:r>
      <w:r>
        <w:rPr>
          <w:rFonts w:ascii="Consolas" w:cs="Consolas" w:eastAsia="Consolas" w:hAnsi="Consolas"/>
          <w:color w:val="0B3A73"/>
          <w:sz w:val="20"/>
          <w:szCs w:val="20"/>
        </w:rPr>
        <w:t xml:space="preserve">M_Ed = G_Ed · hebelBlech / 4   W = b·t²/6   σ = M_Ed·1e6 / W  →  σ ≤ f_y</w:t>
      </w:r>
    </w:p>
    <w:p>
      <w:pPr>
        <w:pBdr>
          <w:left w:val="single" w:color="C9461C" w:sz="18" w:space="6"/>
        </w:pBdr>
        <w:shd w:fill="FBE9E2" w:val="clear"/>
        <w:spacing w:after="120" w:before="80"/>
      </w:pPr>
      <w:r>
        <w:t xml:space="preserve">Der Hebe-Nachweis prüft nur das Stahlblech, nicht die Mauerwerksbiegung zwischen den Anschlagpunkten und nicht den Ankerauszug aus dem Mauerwerk — diese sind gesondert zu führen.</w:t>
      </w:r>
    </w:p>
    <w:p>
      <w:pPr>
        <w:pStyle w:val="Heading1"/>
      </w:pPr>
      <w:r>
        <w:t xml:space="preserve">10 · Modul 4 · Stückliste &amp; Kosten</w:t>
      </w:r>
    </w:p>
    <w:p>
      <w:pPr>
        <w:spacing w:after="120"/>
      </w:pPr>
      <w:r>
        <w:t xml:space="preserve">Zweck: Material-Auszug und Kosten für genau das aktive Wandelement. Kanonische Mengen stammen aus dem Wandelement/BOM und dem unter eingaben.aufbau gespeicherten Aufbau. Eine Mehrfachwand-Mengenlogik gibt es im MVP nicht.</w:t>
      </w:r>
    </w:p>
    <w:p>
      <w:pPr>
        <w:spacing w:after="120"/>
      </w:pPr>
      <w:r>
        <w:t xml:space="preserve">Preise sind hier </w:t>
      </w:r>
      <w:r>
        <w:rPr>
          <w:b/>
          <w:bCs/>
        </w:rPr>
        <w:t xml:space="preserve">nicht editierbar</w:t>
      </w:r>
      <w:r>
        <w:t xml:space="preserve">. Sie werden zu jeder Position frisch aus dem aktiven Bauteilkatalog aufgelöst – über die in Modul 1 bzw. Modul 2 gewählten Produkte je Verwendungsrolle ([P-13], [P-14]). Editierbar bleiben nur Projektname und Währung. Jede Position zeigt Produkt und Preisbasis oder – bei fehlender, mehrdeutiger, kategoriefremder, einheitenfremder oder maßfremder Zuordnung – den Grund im Klartext und </w:t>
      </w:r>
      <w:r>
        <w:rPr>
          <w:b/>
          <w:bCs/>
        </w:rPr>
        <w:t xml:space="preserve">keinen</w:t>
      </w:r>
      <w:r>
        <w:t xml:space="preserve"> Preis. Die Summe nennt in diesem Fall ausdrücklich, wie viele von wie vielen Positionen bepreist sind. Boden- und Kopfblech erscheinen als getrennte Positionen ([A-1]); die Dichtstreifen-Gesamtlänge in Metern ist nachrichtlich und wird nicht bepreist ([A-6]). Vorläufige, fachlich unbestätigte Katalogwerte werden je Position gekennzeichnet ([P-12]). Die frühere, im Modul gepflegte Preisliste (eingaben.kosten.preise) bleibt in Altprojekten erhalten, wird aber nicht mehr gelesen und nicht mehr geschrieben.</w:t>
      </w:r>
    </w:p>
    <w:p>
      <w:pPr>
        <w:pStyle w:val="ListParagraph"/>
        <w:numPr>
          <w:ilvl w:val="0"/>
          <w:numId w:val="2"/>
        </w:numPr>
        <w:spacing w:after="60"/>
      </w:pPr>
      <w:r>
        <w:rPr>
          <w:b/>
          <w:bCs/>
        </w:rPr>
        <w:t xml:space="preserve">Positionen je Standardgröße ([Z-2]/[Z-4]):</w:t>
      </w:r>
      <w:r>
        <w:t xml:space="preserve"> Werden mehrere Standardlängen kombiniert, entsteht je verwendeter Standardlänge und je Sonderzuschnitt-Ausgangsprodukt eine eigene Position mit eigenem maßgebendem Maß. Damit bleibt die Zuordnung nach [P-14] eindeutig und bepreisbar, obwohl mehrere Größen gleichzeitig eingebaut sind; die Einbaumenge ändert sich dadurch nicht – die Summe aller Stangenpositionen bleibt die Gesamtzahl des Rechenkerns. Ein Sonderzuschnitt wird über sein Ausgangsprodukt bepreist und nennt Fertigmaß und Herkunft in der Bezeichnung. Die vollständige Einbauteil-Kennzeichnung mit IDs bleibt der Baustellenstückliste vorbehalten.</w:t>
      </w:r>
    </w:p>
    <w:p>
      <w:pPr>
        <w:pStyle w:val="ListParagraph"/>
        <w:numPr>
          <w:ilvl w:val="0"/>
          <w:numId w:val="2"/>
        </w:numPr>
        <w:spacing w:after="60"/>
      </w:pPr>
      <w:r>
        <w:rPr>
          <w:b/>
          <w:bCs/>
        </w:rPr>
        <w:t xml:space="preserve">Export:</w:t>
      </w:r>
      <w:r>
        <w:t xml:space="preserve"> Stücklisten-/Zuschnittdateien werden ausschließlich über den zentralen ZIP-Export in Modul 0 erzeugt – mit derselben Preisauflösung wie die Anzeige, damit CSV und Bildschirm nie auseinanderlaufen. Die Latten-Zuschnittliste nennt je Einbaustück Fertigmaß, Ausgangsprodukt und Art (Standard/Sonderzuschnitt).</w:t>
      </w:r>
    </w:p>
    <w:p>
      <w:pPr>
        <w:pStyle w:val="ListParagraph"/>
        <w:numPr>
          <w:ilvl w:val="0"/>
          <w:numId w:val="2"/>
        </w:numPr>
        <w:spacing w:after="60"/>
      </w:pPr>
      <w:r>
        <w:t xml:space="preserve">Reiner Konsument: liest das aktive Wandelement, schreibt es nicht zurück. Dieselbe BOM-Quelle nutzt auch die Kurz-Stückliste in der Montage (Modul 5) – konsistent und driftfrei.</w:t>
      </w:r>
    </w:p>
    <w:p>
      <w:pPr>
        <w:pStyle w:val="Heading1"/>
      </w:pPr>
      <w:r>
        <w:t xml:space="preserve">11 · Modul 5 · Montageplanung</w:t>
      </w:r>
    </w:p>
    <w:p>
      <w:pPr>
        <w:spacing w:after="120"/>
      </w:pPr>
      <w:r>
        <w:t xml:space="preserve">Zweck: ereignis- und baugruppenbasierte Montageanleitung. Abschnitte werden aus den realen tension_columns[].segments und der lokalen Wandkontur abgeleitet: erste Stange, Kopplung/neue Stange und oberer Abschluss. Steinreihen sind durchgehend nummeriert; eine Kopplung erscheint vor der Steinreihe, die die Stangenoberkante überdeckt, sodass die Stange im Baugruppenbild über die letzte montierte Lage hinausragt. Rechteckige und gestaffelte Bereiche werden in wenigen DIN-A4-Seiten gegliedert. Modul 5 und zentraler Export verwenden dieselbe DOM-freie Ableitung in sembla-montage.js.</w:t>
      </w:r>
    </w:p>
    <w:p>
      <w:pPr>
        <w:spacing w:after="120"/>
      </w:pPr>
      <w:r>
        <w:t xml:space="preserve">Vor dem ersten Baugruppenabschnitt steht der steinfreie Schnitt 0 nach [A-9]: Bodenblech/Grundplatte und die ersten Gewindestangen ohne Steine und ohne Reihennummern. Er ist additiv – der bisherige erste Abschnitt bleibt inhaltlich unverändert; ohne Fußereignis entfällt Schnitt 0 ersatzlos. Alle Baugruppenbilder – Schnitt 0 eingeschlossen – verwenden denselben globalen Maßstab und Viewport, abgeleitet aus Wandhöhe und höchster Stangenoberkante. Die Vorschau wächst dadurch mit fortschreitendem Montagestand nicht mehr; rechteckige und gestaffelte Wände werden gleich behandelt. Beim Browserdruck aus Modul 5 werden Kopfleiste und alle Bedienelemente ausgeblendet, gedruckt wird ausschließlich das A4-paginierte Dokument, das auch der zentrale Export liefert.</w:t>
      </w:r>
    </w:p>
    <w:p>
      <w:pPr>
        <w:pStyle w:val="Heading1"/>
      </w:pPr>
      <w:r>
        <w:t xml:space="preserve">12 · Modul 6 · 3D-Vorschau &amp; IFC (experimentell)</w:t>
      </w:r>
    </w:p>
    <w:p>
      <w:pPr>
        <w:spacing w:after="120"/>
      </w:pPr>
      <w:r>
        <w:t xml:space="preserve">Zweck: Echtzeit-3D des aktiven Wandelements (Steine i2/i3, Vorspannstränge segmentiert, Bleche/Anker, Öffnungen), drehbar – für die Abstimmung mit Architekten/Bauherren – zusammengeführt mit dem IFC-Export/-Prüfen. Reiner Konsument; die 3D-Ansicht nutzt Three.js (per CDN, nur online) und degradiert sonst sauber.</w:t>
      </w:r>
    </w:p>
    <w:p>
      <w:pPr>
        <w:pStyle w:val="Heading2"/>
      </w:pPr>
      <w:r>
        <w:t xml:space="preserve">Bauteilgeometrie (OBJ)</w:t>
      </w:r>
    </w:p>
    <w:p>
      <w:pPr>
        <w:spacing w:after="120"/>
      </w:pPr>
      <w:r>
        <w:t xml:space="preserve">Die echte Steingeometrie liegt aus Vertraulichkeitsgründen nicht im (öffentlichen) Repo. Man lädt i2_SEMBLA.obj und i3_SEMBLA.obj einmalig per Datei-Upload; sie bleiben lokal im Browser (localStorage, über docs/shared/storage.js) und werden für massive Stege / offene Kammern in der 3D-Ansicht und im IFC-Export genutzt. Ohne OBJ werden die Steine als Quader dargestellt/exportiert.</w:t>
      </w:r>
    </w:p>
    <w:p>
      <w:pPr>
        <w:pStyle w:val="Heading2"/>
      </w:pPr>
      <w:r>
        <w:t xml:space="preserve">IFC4-Export</w:t>
      </w:r>
    </w:p>
    <w:p>
      <w:pPr>
        <w:spacing w:after="120"/>
      </w:pPr>
      <w:r>
        <w:t xml:space="preserve">Der Export (docs/shared/sembla-ifc.js) schreibt das Wandelement als eigenständige IFC4-Datei: die Wand als IfcWallStandardCase, Öffnungen als Voids (IfcRelVoidsElement), jeden Stein als IfcBuildingElementProxy. Mit geladener echter Geometrie werden die Steine als IfcFacetedBrep geschrieben – je Typ einmal als IfcRepresentationMap, pro Stein per IfcMappedItem referenziert (schlanke Datei).</w:t>
      </w:r>
    </w:p>
    <w:p>
      <w:pPr>
        <w:pStyle w:val="Heading2"/>
      </w:pPr>
      <w:r>
        <w:t xml:space="preserve">IFC prüfen</w:t>
      </w:r>
    </w:p>
    <w:p>
      <w:pPr>
        <w:spacing w:after="120"/>
      </w:pPr>
      <w:r>
        <w:t xml:space="preserve">Eine fremde IFC-Datei kann geprüft werden (web-ifc per CDN, nur online): gemeldet werden Schema, Entity-Zahl, Anzahl Wände und Stein-Proxys. Dient als schnelle Gültigkeitskontrolle (auch für die selbst exportierte Datei).</w:t>
      </w:r>
    </w:p>
    <w:p>
      <w:pPr>
        <w:pStyle w:val="Heading1"/>
      </w:pPr>
      <w:r>
        <w:t xml:space="preserve">13 · Weiterentwicklung (für Nicht-Programmierer)</w:t>
      </w:r>
    </w:p>
    <w:p>
      <w:pPr>
        <w:spacing w:after="120"/>
      </w:pPr>
      <w:r>
        <w:t xml:space="preserve">Die häufigsten Anpassungen lassen sich an klar benannten Stellen vornehmen. Fachliche Änderungen beginnen jedoch immer im Regelwerk (Kap. 15): betroffene Regel-ID benennen, Regel ergänzen/ändern, Priorität festlegen, anschließend Implementierung und Regressionstest anpassen. Bei jedem Bug lautet die erste Frage: Welche Regel fehlt, ist unklar oder wurde falsch umgesetzt? Es gibt keinen App-Build-Schritt; docs/ ist nach dem Push sofort live. Das Handbuch selbst wird mit npm run handbuch erzeugt.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Ich möchte ändern…</w:t>
            </w:r>
          </w:p>
        </w:tc>
        <w:tc>
          <w:tcPr>
            <w:tcW w:type="dxa" w:w="53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Stelle</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System-Konstanten (Raster, Wandstärke, Stangen-Standard, max. Spannabstand, verbotene Breiten)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Konstantenblock in docs/shared/sembla-core.js UND tests/core/sembla_core.py (gleich halten!)</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Material-/Sicherheitswerte der Statik</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DEF_MAT in docs/shared/sembla-engine.js; DEFAULTS in 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Statik-Formeln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Auslegungs-Strategie (Kandidaten, N-Bereich)</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autoAuslegung() in docs/shared/sembla-engine.js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Verbinder + Latten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docs/wandaufbau.html (Panelfugen = Achsen, Beplankungsfeld; Dämmung im MVP entfernt)</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Preise der Stückliste</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ausschließlich im Bauteilkatalog (Modul 0); Zuordnung je Rolle in Modul 1/2, Auflösung in docs/shared/sembla-katalog.js, Mengen/Positionen aus docs/shared/sembla-bom.js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 (Einzelwand → IFC4)</w:t>
            </w:r>
          </w:p>
        </w:tc>
      </w:tr>
    </w:tbl>
    <w:p>
      <w:pPr>
        <w:pBdr>
          <w:left w:val="single" w:color="E0B400" w:sz="18" w:space="6"/>
        </w:pBdr>
        <w:shd w:fill="FFF8E6" w:val="clear"/>
        <w:spacing w:after="120" w:before="80"/>
      </w:pPr>
      <w:r>
        <w:t xml:space="preserve">Goldene Regeln: (1) Der Wandaufbau-Kern läuft im Betrieb einmal (docs/shared/sembla-core.js); die Python-Referenz tests/core/sembla_core.py dient nur den Tests und bleibt bit-genau gleich. (2) build-handbuch.mjs ist die editierbare Handbuchquelle; doku/SEMBLA_Handbuch.docx muss nach Änderungen neu erzeugt und gegen den realen Produktstand geprüft werden.</w:t>
      </w:r>
    </w:p>
    <w:p>
      <w:pPr>
        <w:pStyle w:val="Heading1"/>
      </w:pPr>
      <w:r>
        <w:t xml:space="preserve">14 · Glossar &amp; Quellen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Begriff</w:t>
            </w:r>
          </w:p>
        </w:tc>
        <w:tc>
          <w:tcPr>
            <w:tcW w:type="dxa" w:w="67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parametrische JSON-Beschreibung einer Wand (Single Source of Truth)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 (course)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eine Steinreihe, 200 mm hoch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(grid)</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Längseinheit 125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innenliegender Steg im 12,5-cm-Raster zur Verbinder-Befestigung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Hohlraum für Gewindestange/Lattice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Strang</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Vorspannstrang über volle Wandhöhe – statisch wirksam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Versatz</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Mindest-Fugenversatz (1 Raster) benachbarter Lagen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klaffende Fuge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Grenzzustand: keine Zugspannung in der Lagerfuge (Kernmoment)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Auslastung (util)</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Einwirkung / Widerstand; ≤ 1,0 = erfüllt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UK</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Unterkonstruktion (Holzlattung)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BOM</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 (bill of materials)</w:t>
            </w:r>
          </w:p>
        </w:tc>
      </w:tr>
    </w:tbl>
    <w:p>
      <w:pPr>
        <w:spacing w:after="120"/>
      </w:pPr>
      <w:r>
        <w:t xml:space="preserve">Quellen: Kempen Krause, „Statische Betrachtung nichttragender Mauerwerkswände”, Proj.-Nr. 20260304. SEMBLA-Systemparameter (Polycare).</w:t>
      </w:r>
    </w:p>
    <w:p>
      <w:pPr>
        <w:pStyle w:val="Heading1"/>
      </w:pPr>
      <w:r>
        <w:t xml:space="preserve">15 · Regelwerk – alle Systemregeln hierarchisch</w:t>
      </w:r>
    </w:p>
    <w:p>
      <w:pPr>
        <w:spacing w:after="140"/>
      </w:pPr>
      <w:r>
        <w:rPr>
          <w:color w:val="33414F"/>
          <w:sz w:val="24"/>
          <w:szCs w:val="24"/>
        </w:rPr>
        <w:t xml:space="preserve">Verbindlicher, nach Themen gegliederter Katalog der Systemregeln. Jede Regel trägt eine dauerhafte Kennung (z. B. [G-1]). Der Status „ZIEL – OFFEN” kennzeichnet bestätigte Regeln, deren Implementierung oder Regressionstests noch fehlen; alle übrigen Regeln müssen in Code und Tests nachweisbar sein.</w:t>
      </w:r>
    </w:p>
    <w:p>
      <w:pPr>
        <w:pBdr>
          <w:left w:val="single" w:color="E0B400" w:sz="18" w:space="6"/>
        </w:pBdr>
        <w:shd w:fill="FFF8E6" w:val="clear"/>
        <w:spacing w:after="120" w:before="80"/>
      </w:pPr>
      <w:r>
        <w:t xml:space="preserve">Hierarchie bei Konflikten: (1) Sicherheit/Baubarkeit und explizite Muss-Regeln – dazu gehören das Mindest-Fertigmaß [Z-5] und die Befestigungsregeln [U-8]/[U-11]/[U-12], (2) fachliche Abdeckungs- und Anschlussregeln, (3) ausdrücklich gewählte Projektparameter und die Maßquelle [Z-1], (4) Optimierung/gleichmäßige Verteilung – dazu die Größenpräferenz der Kombination [Z-2], (5) Darstellung/Komfort. Nicht gemeinsam erfüllbare Muss-Regeln erzeugen einen sichtbaren Konflikt statt eines stillen Fallbacks.</w:t>
      </w:r>
    </w:p>
    <w:p>
      <w:pPr>
        <w:pStyle w:val="Heading2"/>
      </w:pPr>
      <w:r>
        <w:t xml:space="preserve">15.1 Geometrie &amp; Verband  [G]</w:t>
      </w:r>
    </w:p>
    <w:p>
      <w:pPr>
        <w:pStyle w:val="ListParagraph"/>
        <w:numPr>
          <w:ilvl w:val="0"/>
          <w:numId w:val="2"/>
        </w:numPr>
        <w:spacing w:after="60"/>
      </w:pPr>
      <w:r>
        <w:rPr>
          <w:b/>
          <w:bCs/>
        </w:rPr>
        <w:t xml:space="preserve">[G-1]</w:t>
      </w:r>
      <w:r>
        <w:t xml:space="preserve"> Längsraster GRID = 125 mm; Wandlänge = Vielfaches von 125 mm.</w:t>
      </w:r>
    </w:p>
    <w:p>
      <w:pPr>
        <w:pStyle w:val="ListParagraph"/>
        <w:numPr>
          <w:ilvl w:val="0"/>
          <w:numId w:val="2"/>
        </w:numPr>
        <w:spacing w:after="60"/>
      </w:pPr>
      <w:r>
        <w:rPr>
          <w:b/>
          <w:bCs/>
        </w:rPr>
        <w:t xml:space="preserve">[G-2]</w:t>
      </w:r>
      <w:r>
        <w:t xml:space="preserve"> Lagenhöhe COURSE = 200 mm; Wandhöhe = Vielfaches von 200 mm.</w:t>
      </w:r>
    </w:p>
    <w:p>
      <w:pPr>
        <w:pStyle w:val="ListParagraph"/>
        <w:numPr>
          <w:ilvl w:val="0"/>
          <w:numId w:val="2"/>
        </w:numPr>
        <w:spacing w:after="60"/>
      </w:pPr>
      <w:r>
        <w:rPr>
          <w:b/>
          <w:bCs/>
        </w:rPr>
        <w:t xml:space="preserve">[G-3]</w:t>
      </w:r>
      <w:r>
        <w:t xml:space="preserve"> Wandstärke THICK = 125 mm (Systemsteine i2/i3).</w:t>
      </w:r>
    </w:p>
    <w:p>
      <w:pPr>
        <w:pStyle w:val="ListParagraph"/>
        <w:numPr>
          <w:ilvl w:val="0"/>
          <w:numId w:val="2"/>
        </w:numPr>
        <w:spacing w:after="60"/>
      </w:pPr>
      <w:r>
        <w:rPr>
          <w:b/>
          <w:bCs/>
        </w:rPr>
        <w:t xml:space="preserve">[G-4]</w:t>
      </w:r>
      <w:r>
        <w:t xml:space="preserve"> i3-Maximierung: jede Lage mit möglichst vielen i3 belegen; i2 nur als Endsteine.</w:t>
      </w:r>
    </w:p>
    <w:p>
      <w:pPr>
        <w:pStyle w:val="ListParagraph"/>
        <w:numPr>
          <w:ilvl w:val="0"/>
          <w:numId w:val="2"/>
        </w:numPr>
        <w:spacing w:after="60"/>
      </w:pPr>
      <w:r>
        <w:rPr>
          <w:b/>
          <w:bCs/>
        </w:rPr>
        <w:t xml:space="preserve">[G-5]</w:t>
      </w:r>
      <w:r>
        <w:t xml:space="preserve"> Läuferverband, Überbindemaß 125 mm; Fugenversatz benachbarter Lagen ≥ 1 Raster (sonst Warnung validation.versatz_ok = false).</w:t>
      </w:r>
    </w:p>
    <w:p>
      <w:pPr>
        <w:pStyle w:val="ListParagraph"/>
        <w:numPr>
          <w:ilvl w:val="0"/>
          <w:numId w:val="2"/>
        </w:numPr>
        <w:spacing w:after="60"/>
      </w:pPr>
      <w:r>
        <w:rPr>
          <w:b/>
          <w:bCs/>
        </w:rPr>
        <w:t xml:space="preserve">[G-6]</w:t>
      </w:r>
      <w:r>
        <w:t xml:space="preserve"> Verbotene Segmentbreiten FORBIDDEN_N = {1, 4} Raster (nicht baubar/versetzbar).</w:t>
      </w:r>
    </w:p>
    <w:p>
      <w:pPr>
        <w:pStyle w:val="ListParagraph"/>
        <w:numPr>
          <w:ilvl w:val="0"/>
          <w:numId w:val="2"/>
        </w:numPr>
        <w:spacing w:after="60"/>
      </w:pPr>
      <w:r>
        <w:rPr>
          <w:b/>
          <w:bCs/>
        </w:rPr>
        <w:t xml:space="preserve">[G-7]</w:t>
      </w:r>
      <w:r>
        <w:t xml:space="preserve"> Wandende: Beginn in der 2. Achse, nicht am Randstein.</w:t>
      </w:r>
    </w:p>
    <w:p>
      <w:pPr>
        <w:pStyle w:val="ListParagraph"/>
        <w:numPr>
          <w:ilvl w:val="0"/>
          <w:numId w:val="2"/>
        </w:numPr>
        <w:spacing w:after="60"/>
      </w:pPr>
      <w:r>
        <w:rPr>
          <w:b/>
          <w:bCs/>
        </w:rPr>
        <w:t xml:space="preserve">[G-8]</w:t>
      </w:r>
      <w:r>
        <w:t xml:space="preserve"> Öffnungen (Tür/Fenster/Durchbruch) lassen Steine aus; der Sturz darüber wird aufgefüllt.</w:t>
      </w:r>
    </w:p>
    <w:p>
      <w:pPr>
        <w:pStyle w:val="ListParagraph"/>
        <w:numPr>
          <w:ilvl w:val="0"/>
          <w:numId w:val="2"/>
        </w:numPr>
        <w:spacing w:after="60"/>
      </w:pPr>
      <w:r>
        <w:rPr>
          <w:b/>
          <w:bCs/>
        </w:rPr>
        <w:t xml:space="preserve">[G-9]</w:t>
      </w:r>
      <w:r>
        <w:t xml:space="preserve"> Staffelung: getreppte Oberkante über Stufen [x0, x1, height]; Stufen sind Außenkontur, keine Öffnungen.</w:t>
      </w:r>
    </w:p>
    <w:p>
      <w:pPr>
        <w:pStyle w:val="Heading2"/>
      </w:pPr>
      <w:r>
        <w:t xml:space="preserve">15.2 Kammern, Nuten &amp; Vorspannstränge  [V]</w:t>
      </w:r>
    </w:p>
    <w:p>
      <w:pPr>
        <w:pStyle w:val="ListParagraph"/>
        <w:numPr>
          <w:ilvl w:val="0"/>
          <w:numId w:val="2"/>
        </w:numPr>
        <w:spacing w:after="60"/>
      </w:pPr>
      <w:r>
        <w:rPr>
          <w:b/>
          <w:bCs/>
        </w:rPr>
        <w:t xml:space="preserve">[V-1]</w:t>
      </w:r>
      <w:r>
        <w:t xml:space="preserve"> Kammer-/Strangmitte CHAMBER_OFFSET = 62,5 mm → Vorspannachsen bei x = 62,5 + 125·k mm.</w:t>
      </w:r>
    </w:p>
    <w:p>
      <w:pPr>
        <w:pStyle w:val="ListParagraph"/>
        <w:numPr>
          <w:ilvl w:val="0"/>
          <w:numId w:val="2"/>
        </w:numPr>
        <w:spacing w:after="60"/>
      </w:pPr>
      <w:r>
        <w:rPr>
          <w:b/>
          <w:bCs/>
        </w:rPr>
        <w:t xml:space="preserve">[V-2 · ZIEL – OFFEN]</w:t>
      </w:r>
      <w:r>
        <w:t xml:space="preserve"> Jeder einzelne Stein muss in seinem belegten Höhenabschnitt von mindestens einer Spannachse gehalten werden. Ein eingehaltenes Maximalraster allein beweist diese Steinabdeckung nicht.</w:t>
      </w:r>
    </w:p>
    <w:p>
      <w:pPr>
        <w:pStyle w:val="ListParagraph"/>
        <w:numPr>
          <w:ilvl w:val="0"/>
          <w:numId w:val="2"/>
        </w:numPr>
        <w:spacing w:after="60"/>
      </w:pPr>
      <w:r>
        <w:rPr>
          <w:b/>
          <w:bCs/>
        </w:rPr>
        <w:t xml:space="preserve">[V-3 · ZIEL – OFFEN]</w:t>
      </w:r>
      <w:r>
        <w:t xml:space="preserve"> In der untersten Steinreihe sollen automatisch gesetzte Spannachsen – nach Erfüllung aller Muss-Regeln – möglichst mittig in den i3-Steinen liegen.</w:t>
      </w:r>
    </w:p>
    <w:p>
      <w:pPr>
        <w:pStyle w:val="ListParagraph"/>
        <w:numPr>
          <w:ilvl w:val="0"/>
          <w:numId w:val="2"/>
        </w:numPr>
        <w:spacing w:after="60"/>
      </w:pPr>
      <w:r>
        <w:rPr>
          <w:b/>
          <w:bCs/>
        </w:rPr>
        <w:t xml:space="preserve">[V-4]</w:t>
      </w:r>
      <w:r>
        <w:t xml:space="preserve"> Vorspannung höchstens alle 3 Raster (MAX_SPAN_GRID = 3 = 375 mm); diese Obergrenze ist zusätzlich zur Steinabdeckung einzuhalten und nicht alleinige Verteilungsregel.</w:t>
      </w:r>
    </w:p>
    <w:p>
      <w:pPr>
        <w:pStyle w:val="ListParagraph"/>
        <w:numPr>
          <w:ilvl w:val="0"/>
          <w:numId w:val="2"/>
        </w:numPr>
        <w:spacing w:after="60"/>
      </w:pPr>
      <w:r>
        <w:rPr>
          <w:b/>
          <w:bCs/>
        </w:rPr>
        <w:t xml:space="preserve">[V-5]</w:t>
      </w:r>
      <w:r>
        <w:t xml:space="preserve"> Die Auto-Verteilung startet wahlweise auf der 1. oder 2. Rasterachse (prestress.start_axis_grid) und verteilt danach innerhalb der Muss-Regeln balanciert bis zur letzten Achse.</w:t>
      </w:r>
    </w:p>
    <w:p>
      <w:pPr>
        <w:pStyle w:val="ListParagraph"/>
        <w:numPr>
          <w:ilvl w:val="0"/>
          <w:numId w:val="2"/>
        </w:numPr>
        <w:spacing w:after="60"/>
      </w:pPr>
      <w:r>
        <w:rPr>
          <w:b/>
          <w:bCs/>
        </w:rPr>
        <w:t xml:space="preserve">[V-6]</w:t>
      </w:r>
      <w:r>
        <w:t xml:space="preserve"> Nur durchgehende Stränge (volle Wandhöhe) sind statisch wirksam; über/unter Öffnungen wird der Strang in Segmente unterbrochen.</w:t>
      </w:r>
    </w:p>
    <w:p>
      <w:pPr>
        <w:pStyle w:val="ListParagraph"/>
        <w:numPr>
          <w:ilvl w:val="0"/>
          <w:numId w:val="2"/>
        </w:numPr>
        <w:spacing w:after="60"/>
      </w:pPr>
      <w:r>
        <w:rPr>
          <w:b/>
          <w:bCs/>
        </w:rPr>
        <w:t xml:space="preserve">[V-7]</w:t>
      </w:r>
      <w:r>
        <w:t xml:space="preserve"> An jeder Stufenkante wird beidseitig ein zusätzlicher Strang gesetzt (hohe und niedrige Seite).</w:t>
      </w:r>
    </w:p>
    <w:p>
      <w:pPr>
        <w:pStyle w:val="ListParagraph"/>
        <w:numPr>
          <w:ilvl w:val="0"/>
          <w:numId w:val="2"/>
        </w:numPr>
        <w:spacing w:after="60"/>
      </w:pPr>
      <w:r>
        <w:rPr>
          <w:b/>
          <w:bCs/>
        </w:rPr>
        <w:t xml:space="preserve">[V-8]</w:t>
      </w:r>
      <w:r>
        <w:t xml:space="preserve"> Öffnungen erhalten zusätzliche Spannachsen an beiden Seiten; Segmente dürfen nicht durch die Öffnung laufen.</w:t>
      </w:r>
    </w:p>
    <w:p>
      <w:pPr>
        <w:pStyle w:val="ListParagraph"/>
        <w:numPr>
          <w:ilvl w:val="0"/>
          <w:numId w:val="2"/>
        </w:numPr>
        <w:spacing w:after="60"/>
      </w:pPr>
      <w:r>
        <w:rPr>
          <w:b/>
          <w:bCs/>
        </w:rPr>
        <w:t xml:space="preserve">[V-9]</w:t>
      </w:r>
      <w:r>
        <w:t xml:space="preserve"> Manuelle Achsen (prestress.columns_grid) haben Vorrang vor der Auto-Verteilung, müssen aber als Sonderkonstruktion gegen die Muss-Regeln validiert werden.</w:t>
      </w:r>
    </w:p>
    <w:p>
      <w:pPr>
        <w:pStyle w:val="ListParagraph"/>
        <w:numPr>
          <w:ilvl w:val="0"/>
          <w:numId w:val="2"/>
        </w:numPr>
        <w:spacing w:after="60"/>
      </w:pPr>
      <w:r>
        <w:rPr>
          <w:b/>
          <w:bCs/>
        </w:rPr>
        <w:t xml:space="preserve">[V-10]</w:t>
      </w:r>
      <w:r>
        <w:t xml:space="preserve"> Die Gewindestangen eines Segments entstehen aus der </w:t>
      </w:r>
      <w:r>
        <w:rPr>
          <w:b/>
          <w:bCs/>
        </w:rPr>
        <w:t xml:space="preserve">Kombination der ausgewählten Standardlängen</w:t>
      </w:r>
      <w:r>
        <w:t xml:space="preserve"> nach </w:t>
      </w:r>
      <w:r>
        <w:rPr>
          <w:b/>
          <w:bCs/>
        </w:rPr>
        <w:t xml:space="preserve">[Z-2]</w:t>
      </w:r>
      <w:r>
        <w:t xml:space="preserve">; Verbindungsmuttern = Stücke − 1. Ist nur eine Standardlänge im Satz (oder keine Produktauswahl vorhanden), gilt unverändert Stücke = ceil(h / rod) mit ROD-Standard 1100 mm – der einelementige Satz liefert bit-genau das bisherige Ergebnis.</w:t>
      </w:r>
    </w:p>
    <w:p>
      <w:pPr>
        <w:pStyle w:val="Heading2"/>
      </w:pPr>
      <w:r>
        <w:t xml:space="preserve">15.3 Anschlüsse &amp; Vorspann-Regime  [A]</w:t>
      </w:r>
    </w:p>
    <w:p>
      <w:pPr>
        <w:pStyle w:val="ListParagraph"/>
        <w:numPr>
          <w:ilvl w:val="0"/>
          <w:numId w:val="2"/>
        </w:numPr>
        <w:spacing w:after="60"/>
      </w:pPr>
      <w:r>
        <w:rPr>
          <w:b/>
          <w:bCs/>
        </w:rPr>
        <w:t xml:space="preserve">[A-1]</w:t>
      </w:r>
      <w:r>
        <w:t xml:space="preserve"> Fuß immer Bodenblech (Stahl 15 mm, wandlang, in Blechmodulen); je Strang unten Senkkopfschraube, oben Kopplungsmutter. Bodenblech und Kopfblech sind </w:t>
      </w:r>
      <w:r>
        <w:rPr>
          <w:b/>
          <w:bCs/>
        </w:rPr>
        <w:t xml:space="preserve">physisch getrennte Bauteile mit eigener Modulzahl</w:t>
      </w:r>
      <w:r>
        <w:t xml:space="preserve"> (base_plate/top_plate) und erscheinen in Stückliste und Kosten als </w:t>
      </w:r>
      <w:r>
        <w:rPr>
          <w:b/>
          <w:bCs/>
        </w:rPr>
        <w:t xml:space="preserve">getrennt bepreisbare Positionen</w:t>
      </w:r>
      <w:r>
        <w:t xml:space="preserve">. Die Trennung wird in der gemeinsamen Ausgabeschicht aus den real vorhandenen Platten des Wandelements abgeleitet; die Summe beider Positionen bleibt gleich der Gesamtmodulzahl des Rechenkerns (keine Doppelzählung, kein Core-Eingriff).</w:t>
      </w:r>
    </w:p>
    <w:p>
      <w:pPr>
        <w:pStyle w:val="ListParagraph"/>
        <w:numPr>
          <w:ilvl w:val="0"/>
          <w:numId w:val="2"/>
        </w:numPr>
        <w:spacing w:after="60"/>
      </w:pPr>
      <w:r>
        <w:rPr>
          <w:b/>
          <w:bCs/>
        </w:rPr>
        <w:t xml:space="preserve">[A-2]</w:t>
      </w:r>
      <w:r>
        <w:t xml:space="preserve"> Oberer Anschluss: Kopfblech oder Spannplatte je Strang; der aktuelle Datenstand prestress.top_connection gilt global für die Wand.</w:t>
      </w:r>
    </w:p>
    <w:p>
      <w:pPr>
        <w:pStyle w:val="ListParagraph"/>
        <w:numPr>
          <w:ilvl w:val="0"/>
          <w:numId w:val="2"/>
        </w:numPr>
        <w:spacing w:after="60"/>
      </w:pPr>
      <w:r>
        <w:rPr>
          <w:b/>
          <w:bCs/>
        </w:rPr>
        <w:t xml:space="preserve">[A-3]</w:t>
      </w:r>
      <w:r>
        <w:t xml:space="preserve"> Zwischenanker an Segmentenden (Öffnungen) = Spannplatten auf der Steinkante.</w:t>
      </w:r>
    </w:p>
    <w:p>
      <w:pPr>
        <w:pStyle w:val="ListParagraph"/>
        <w:numPr>
          <w:ilvl w:val="0"/>
          <w:numId w:val="2"/>
        </w:numPr>
        <w:spacing w:after="60"/>
      </w:pPr>
      <w:r>
        <w:rPr>
          <w:b/>
          <w:bCs/>
        </w:rPr>
        <w:t xml:space="preserve">[A-4]</w:t>
      </w:r>
      <w:r>
        <w:t xml:space="preserve"> Verankerung: Ankerplatte t = 15 mm bzw. Kopplung im Hohlkasten (Flansch ≥ 15 mm).</w:t>
      </w:r>
    </w:p>
    <w:p>
      <w:pPr>
        <w:pStyle w:val="ListParagraph"/>
        <w:numPr>
          <w:ilvl w:val="0"/>
          <w:numId w:val="2"/>
        </w:numPr>
        <w:spacing w:after="60"/>
      </w:pPr>
      <w:r>
        <w:rPr>
          <w:b/>
          <w:bCs/>
        </w:rPr>
        <w:t xml:space="preserve">[A-5]</w:t>
      </w:r>
      <w:r>
        <w:t xml:space="preserve"> Nachspann-Regime: F∞ ≥ 15 kN/Stab, Nachspann-Auslösung bei 18 kN/Stab; rechnerische Untergrenze F,inf.</w:t>
      </w:r>
    </w:p>
    <w:p>
      <w:pPr>
        <w:pStyle w:val="ListParagraph"/>
        <w:numPr>
          <w:ilvl w:val="0"/>
          <w:numId w:val="2"/>
        </w:numPr>
        <w:spacing w:after="60"/>
      </w:pPr>
      <w:r>
        <w:rPr>
          <w:b/>
          <w:bCs/>
        </w:rPr>
        <w:t xml:space="preserve">[A-6]</w:t>
      </w:r>
      <w:r>
        <w:t xml:space="preserve"> Stoßfugen werden gezählt; Dichtstreifen je Fuge 20 cm (Schallschutz), Gesamtlänge in der BOM. Bepreist wird ausschließlich die </w:t>
      </w:r>
      <w:r>
        <w:rPr>
          <w:b/>
          <w:bCs/>
        </w:rPr>
        <w:t xml:space="preserve">Einbauposition je Fuge</w:t>
      </w:r>
      <w:r>
        <w:t xml:space="preserve"> (Stück à 20 cm); die Gesamtlänge in Metern ist </w:t>
      </w:r>
      <w:r>
        <w:rPr>
          <w:b/>
          <w:bCs/>
        </w:rPr>
        <w:t xml:space="preserve">nachrichtlich</w:t>
      </w:r>
      <w:r>
        <w:t xml:space="preserve"> und wird nie zusätzlich bepreist – dieselbe Ware darf nicht zweimal in einer Summe erscheinen. Priorität: Mengen- und Kostenregel, der Mengenermittlung nachgeordnet – sie ändert keine Menge, nur deren Bepreisbarkeit.</w:t>
      </w:r>
    </w:p>
    <w:p>
      <w:pPr>
        <w:pStyle w:val="ListParagraph"/>
        <w:numPr>
          <w:ilvl w:val="0"/>
          <w:numId w:val="2"/>
        </w:numPr>
        <w:spacing w:after="60"/>
      </w:pPr>
      <w:r>
        <w:rPr>
          <w:b/>
          <w:bCs/>
        </w:rPr>
        <w:t xml:space="preserve">[A-7]</w:t>
      </w:r>
      <w:r>
        <w:t xml:space="preserve"> Verzinkung nicht erforderlich (Umweltklasse C1/XC1 innen).</w:t>
      </w:r>
    </w:p>
    <w:p>
      <w:pPr>
        <w:pStyle w:val="ListParagraph"/>
        <w:numPr>
          <w:ilvl w:val="0"/>
          <w:numId w:val="2"/>
        </w:numPr>
        <w:spacing w:after="60"/>
      </w:pPr>
      <w:r>
        <w:rPr>
          <w:b/>
          <w:bCs/>
        </w:rPr>
        <w:t xml:space="preserve">[A-8 · ZIEL – OFFEN]</w:t>
      </w:r>
      <w:r>
        <w:t xml:space="preserve"> Der obere Anschluss muss regional entlang der Wandoberkante festgelegt werden können: Ein Wandelement darf gleichzeitig Bereiche mit Kopfblech und Bereiche mit Spannplatten besitzen. Jeder obere Strang-/Konturabschnitt hat genau eine eindeutige Anschlussart.</w:t>
      </w:r>
    </w:p>
    <w:p>
      <w:pPr>
        <w:pStyle w:val="ListParagraph"/>
        <w:numPr>
          <w:ilvl w:val="0"/>
          <w:numId w:val="2"/>
        </w:numPr>
        <w:spacing w:after="60"/>
      </w:pPr>
      <w:r>
        <w:rPr>
          <w:b/>
          <w:bCs/>
        </w:rPr>
        <w:t xml:space="preserve">[A-9]</w:t>
      </w:r>
      <w:r>
        <w:t xml:space="preserve"> Die Montageanleitung beginnt mit einem </w:t>
      </w:r>
      <w:r>
        <w:rPr>
          <w:b/>
          <w:bCs/>
        </w:rPr>
        <w:t xml:space="preserve">steinfreien Schnitt 0</w:t>
      </w:r>
      <w:r>
        <w:t xml:space="preserve">, der ausschließlich die Fuß-Baugruppe nach </w:t>
      </w:r>
      <w:r>
        <w:rPr>
          <w:b/>
          <w:bCs/>
        </w:rPr>
        <w:t xml:space="preserve">[A-1]</w:t>
      </w:r>
      <w:r>
        <w:t xml:space="preserve"> zeigt: Bodenblech/Grundplatte über die Wandlänge und je Strang die erste Gewindestange bis zu ihrer ersten Kopplungs- bzw. Segmentoberkante – ohne Steinreihen und ohne Reihennummern. Schnitt 0 ist </w:t>
      </w:r>
      <w:r>
        <w:rPr>
          <w:b/>
          <w:bCs/>
        </w:rPr>
        <w:t xml:space="preserve">additiv</w:t>
      </w:r>
      <w:r>
        <w:t xml:space="preserve">: er ist eine zusätzliche, vorgelagerte Darstellung; die Fußereignisse und der Inhalt des bisherigen ersten Baugruppenabschnitts bleiben unverändert und selbsterklärend. Besitzt eine Wand kein Fußereignis (kein Segment auf dem Bodenblech), entfällt Schnitt 0 ersatzlos – es wird keine leere Seite erzeugt (sicherer Leerfall, vgl. </w:t>
      </w:r>
      <w:r>
        <w:rPr>
          <w:b/>
          <w:bCs/>
        </w:rPr>
        <w:t xml:space="preserve">[P-9]</w:t>
      </w:r>
      <w:r>
        <w:t xml:space="preserve">). Die Ableitung ist DOM-frei und gemeinsam, sodass Vorschau (Modul 5) und zentraler Export in Reihenfolge und Inhalt identisch sind (</w:t>
      </w:r>
      <w:r>
        <w:rPr>
          <w:b/>
          <w:bCs/>
        </w:rPr>
        <w:t xml:space="preserve">[P-2]</w:t>
      </w:r>
      <w:r>
        <w:t xml:space="preserve">). Priorität: Darstellungsregel (Hierarchiestufe 5) – sie ändert weder Mengen noch Geometrie noch die Montagereihenfolge der Baugruppen und ist jeder Muss-Regel nachgeordnet.</w:t>
      </w:r>
    </w:p>
    <w:p>
      <w:pPr>
        <w:pStyle w:val="Heading2"/>
      </w:pPr>
      <w:r>
        <w:t xml:space="preserve">15.4 Horizontaler Wandaufbau – Verbinder &amp; UK (Modul 2)  [U]</w:t>
      </w:r>
    </w:p>
    <w:p>
      <w:pPr>
        <w:pStyle w:val="ListParagraph"/>
        <w:numPr>
          <w:ilvl w:val="0"/>
          <w:numId w:val="2"/>
        </w:numPr>
        <w:spacing w:after="60"/>
      </w:pPr>
      <w:r>
        <w:rPr>
          <w:b/>
          <w:bCs/>
        </w:rPr>
        <w:t xml:space="preserve">[U-1]</w:t>
      </w:r>
      <w:r>
        <w:t xml:space="preserve"> Verbinder-/UK-Nutenraster = 12,5·k cm (innenliegende Stege); Steinfugen auf diesem Raster sind Fugen, keine Nuten.</w:t>
      </w:r>
    </w:p>
    <w:p>
      <w:pPr>
        <w:pStyle w:val="ListParagraph"/>
        <w:numPr>
          <w:ilvl w:val="0"/>
          <w:numId w:val="2"/>
        </w:numPr>
        <w:spacing w:after="60"/>
      </w:pPr>
      <w:r>
        <w:rPr>
          <w:b/>
          <w:bCs/>
        </w:rPr>
        <w:t xml:space="preserve">[U-2]</w:t>
      </w:r>
      <w:r>
        <w:t xml:space="preserve"> Vorspannungsraster = 6,25 + 12,5·k cm (Kammermitte, immer innenliegend → durchgehend).</w:t>
      </w:r>
    </w:p>
    <w:p>
      <w:pPr>
        <w:pStyle w:val="ListParagraph"/>
        <w:numPr>
          <w:ilvl w:val="0"/>
          <w:numId w:val="2"/>
        </w:numPr>
        <w:spacing w:after="60"/>
      </w:pPr>
      <w:r>
        <w:rPr>
          <w:b/>
          <w:bCs/>
        </w:rPr>
        <w:t xml:space="preserve">[U-3]</w:t>
      </w:r>
      <w:r>
        <w:t xml:space="preserve"> Verbinder horizontal nur auf einer innenliegenden Nut (nie in einer Stoßfuge). Die Prüfung gilt </w:t>
      </w:r>
      <w:r>
        <w:rPr>
          <w:b/>
          <w:bCs/>
        </w:rPr>
        <w:t xml:space="preserve">lagenweise</w:t>
      </w:r>
      <w:r>
        <w:t xml:space="preserve">, nicht wandglobal: eine Achse als Ganzes darf nicht als gültig gelten, wenn sie nur in einem Teil der Lagen innenliegend ist.</w:t>
      </w:r>
    </w:p>
    <w:p>
      <w:pPr>
        <w:pStyle w:val="ListParagraph"/>
        <w:numPr>
          <w:ilvl w:val="0"/>
          <w:numId w:val="2"/>
        </w:numPr>
        <w:spacing w:after="60"/>
      </w:pPr>
      <w:r>
        <w:rPr>
          <w:b/>
          <w:bCs/>
        </w:rPr>
        <w:t xml:space="preserve">[U-4]</w:t>
      </w:r>
      <w:r>
        <w:t xml:space="preserve"> Verbinder vertikal in Steinmitte (10 + 20·k cm bei 20-cm-Steinen; nie auf einer Lagerfuge).</w:t>
      </w:r>
    </w:p>
    <w:p>
      <w:pPr>
        <w:pStyle w:val="ListParagraph"/>
        <w:numPr>
          <w:ilvl w:val="0"/>
          <w:numId w:val="2"/>
        </w:numPr>
        <w:spacing w:after="60"/>
      </w:pPr>
      <w:r>
        <w:rPr>
          <w:b/>
          <w:bCs/>
        </w:rPr>
        <w:t xml:space="preserve">[U-5]</w:t>
      </w:r>
      <w:r>
        <w:t xml:space="preserve"> Panelfugen = Verbinderachsen; Zwischenachsen bei Überschreitung des Max-Abstands; keine Verbinder in Öffnungen.</w:t>
      </w:r>
    </w:p>
    <w:p>
      <w:pPr>
        <w:pStyle w:val="ListParagraph"/>
        <w:numPr>
          <w:ilvl w:val="0"/>
          <w:numId w:val="2"/>
        </w:numPr>
        <w:spacing w:after="60"/>
      </w:pPr>
      <w:r>
        <w:rPr>
          <w:b/>
          <w:bCs/>
        </w:rPr>
        <w:t xml:space="preserve">[U-6]</w:t>
      </w:r>
      <w:r>
        <w:t xml:space="preserve"> Beplankung volle Wandbreite über Auskragung: äußerste Achse auf nächster Nut, max. Randüberstand 12,5 cm (1 Nut).</w:t>
      </w:r>
    </w:p>
    <w:p>
      <w:pPr>
        <w:pStyle w:val="ListParagraph"/>
        <w:numPr>
          <w:ilvl w:val="0"/>
          <w:numId w:val="2"/>
        </w:numPr>
        <w:spacing w:after="60"/>
      </w:pPr>
      <w:r>
        <w:rPr>
          <w:b/>
          <w:bCs/>
        </w:rPr>
        <w:t xml:space="preserve">[U-7]</w:t>
      </w:r>
      <w:r>
        <w:t xml:space="preserve"> Das Beplankungsfeld begrenzt Verbinder und Latten und rastet aufs Panelraster. Änderungen werden in einem sichtbaren Bearbeitungsmodus erst mit „Übernehmen &amp; berechnen” wirksam.</w:t>
      </w:r>
    </w:p>
    <w:p>
      <w:pPr>
        <w:pStyle w:val="ListParagraph"/>
        <w:numPr>
          <w:ilvl w:val="0"/>
          <w:numId w:val="2"/>
        </w:numPr>
        <w:spacing w:after="60"/>
      </w:pPr>
      <w:r>
        <w:rPr>
          <w:b/>
          <w:bCs/>
        </w:rPr>
        <w:t xml:space="preserve">[U-8]</w:t>
      </w:r>
      <w:r>
        <w:t xml:space="preserve"> Latten vertikal auf den Achsen, an Öffnungen/Feldrand geschnitten; Stöße mittig zwischen zwei Verbindern. Die Stückgrenzen folgen damit der </w:t>
      </w:r>
      <w:r>
        <w:rPr>
          <w:b/>
          <w:bCs/>
        </w:rPr>
        <w:t xml:space="preserve">Geometrie</w:t>
      </w:r>
      <w:r>
        <w:t xml:space="preserve">, nicht einer Handelslänge; die ausgewählten Standardlängen wirken als Obergrenze und als Ausgangsprodukt (</w:t>
      </w:r>
      <w:r>
        <w:rPr>
          <w:b/>
          <w:bCs/>
        </w:rPr>
        <w:t xml:space="preserve">[Z-4]</w:t>
      </w:r>
      <w:r>
        <w:t xml:space="preserve">). Eine </w:t>
      </w:r>
      <w:r>
        <w:rPr>
          <w:b/>
          <w:bCs/>
        </w:rPr>
        <w:t xml:space="preserve">Reststück-Wiederverwendung findet nicht statt</w:t>
      </w:r>
      <w:r>
        <w:t xml:space="preserve"> (früher Teil dieser Regel, mit der Zuschnittentscheidung zu #19 aufgehoben): je Fertigteil genau ein Ausgangsprodukt. Eine Latte endet an der obersten Lage, die nach [U-11] befestigbar ist – sie wird nicht über die tragende Geometrie hinaus fortgesetzt (keine Latte „in der Luft“ über einer Staffelungskante).</w:t>
      </w:r>
    </w:p>
    <w:p>
      <w:pPr>
        <w:pStyle w:val="ListParagraph"/>
        <w:numPr>
          <w:ilvl w:val="0"/>
          <w:numId w:val="2"/>
        </w:numPr>
        <w:spacing w:after="60"/>
      </w:pPr>
      <w:r>
        <w:rPr>
          <w:b/>
          <w:bCs/>
        </w:rPr>
        <w:t xml:space="preserve">[U-9]</w:t>
      </w:r>
      <w:r>
        <w:t xml:space="preserve"> Verbindertyp folgt Wand-Aufbau/Seite aus Modul 1 (fassade → FA, innenausbau → IA) und ist in Modul 2 nicht neu wählbar. Modul 2 wählt lediglich das </w:t>
      </w:r>
      <w:r>
        <w:rPr>
          <w:b/>
          <w:bCs/>
        </w:rPr>
        <w:t xml:space="preserve">Katalogprodukt</w:t>
      </w:r>
      <w:r>
        <w:t xml:space="preserve">, das diesen abgeleiteten Typ ausführt; der Typ selbst bleibt unveränderlich. Solange das Katalogformat kein maschinenlesbares Typfeld führt, ist die Übereinstimmung Produkt ↔ abgeleiteter Typ </w:t>
      </w:r>
      <w:r>
        <w:rPr>
          <w:b/>
          <w:bCs/>
        </w:rPr>
        <w:t xml:space="preserve">nicht maschinell prüfbar</w:t>
      </w:r>
      <w:r>
        <w:t xml:space="preserve">; dieser Umstand wird an der Auswahl sichtbar benannt und nicht durch eine Namens- oder Ähnlichkeitsheuristik ersetzt (</w:t>
      </w:r>
      <w:r>
        <w:rPr>
          <w:b/>
          <w:bCs/>
        </w:rPr>
        <w:t xml:space="preserve">[P-9]</w:t>
      </w:r>
      <w:r>
        <w:t xml:space="preserve">).</w:t>
      </w:r>
    </w:p>
    <w:p>
      <w:pPr>
        <w:pStyle w:val="ListParagraph"/>
        <w:numPr>
          <w:ilvl w:val="0"/>
          <w:numId w:val="2"/>
        </w:numPr>
        <w:spacing w:after="60"/>
      </w:pPr>
      <w:r>
        <w:rPr>
          <w:b/>
          <w:bCs/>
        </w:rPr>
        <w:t xml:space="preserve">[U-10]</w:t>
      </w:r>
      <w:r>
        <w:t xml:space="preserve"> An linken/rechten Öffnungskanten gilt der bestehende Randabstand. Betroffene globale Lattenachsen werden auf die nächste sichere Nut von der Öffnung weg verschoben und dedupliziert; die obere Öffnungskante ist keine Sperrzone. Ein unlösbarer Konflikt mit dem Maximalabstand wird sichtbar gemeldet.</w:t>
      </w:r>
    </w:p>
    <w:p>
      <w:pPr>
        <w:pStyle w:val="ListParagraph"/>
        <w:numPr>
          <w:ilvl w:val="0"/>
          <w:numId w:val="2"/>
        </w:numPr>
        <w:spacing w:after="60"/>
      </w:pPr>
      <w:r>
        <w:rPr>
          <w:b/>
          <w:bCs/>
        </w:rPr>
        <w:t xml:space="preserve">[U-11 · MUSS]</w:t>
      </w:r>
      <w:r>
        <w:t xml:space="preserve"> Ein Verbinder darf nur an einer Position (Nut x, Lage y) sitzen, an der </w:t>
      </w:r>
      <w:r>
        <w:rPr>
          <w:b/>
          <w:bCs/>
        </w:rPr>
        <w:t xml:space="preserve">in genau dieser Lage</w:t>
      </w:r>
      <w:r>
        <w:t xml:space="preserve"> ein Stein liegt, der die Nut </w:t>
      </w:r>
      <w:r>
        <w:rPr>
          <w:b/>
          <w:bCs/>
        </w:rPr>
        <w:t xml:space="preserve">strikt innen</w:t>
      </w:r>
      <w:r>
        <w:t xml:space="preserve"> führt. Verboten sind Stein-Außenkanten, Stoßfugen und steinfreie Positionen – insbesondere die vertikalen Kanten einer Staffelung/Treppe und Positionen oberhalb der lokalen Wandoberkante. Diese Muss-Regel hat </w:t>
      </w:r>
      <w:r>
        <w:rPr>
          <w:b/>
          <w:bCs/>
        </w:rPr>
        <w:t xml:space="preserve">Vorrang</w:t>
      </w:r>
      <w:r>
        <w:t xml:space="preserve"> vor [U-5], [U-6] und vor dem Komfortziel, eine Achse/Latte über eine Staffelungskante durchzuziehen. Entfallene Positionen werden </w:t>
      </w:r>
      <w:r>
        <w:rPr>
          <w:b/>
          <w:bCs/>
        </w:rPr>
        <w:t xml:space="preserve">nicht</w:t>
      </w:r>
      <w:r>
        <w:t xml:space="preserve"> durch Ersatzpunkte kompensiert: ausgedünnte Achsen, Achsen ohne Verbinder und eine fehlende Lagengeometrie im Wandelement führen zu einem sicheren Zustand (keine unsicheren Punkte) mit sichtbarer Warnung in Modul 2 ([P-9]).</w:t>
      </w:r>
    </w:p>
    <w:p>
      <w:pPr>
        <w:pBdr>
          <w:left w:val="single" w:color="E0B400" w:sz="18" w:space="6"/>
        </w:pBdr>
        <w:shd w:fill="FFF8E6" w:val="clear"/>
        <w:spacing w:after="120" w:before="80"/>
      </w:pPr>
      <w:r>
        <w:t xml:space="preserve">Herkunft [U-11]: Issue #29 (AWG-Wand). Verbinder wurden bei getreppten Wänden an der Stein-Außenkante der Staffelung platziert, weil die Nut nur wandglobal klassifiziert war ([U-3] war lagenweise falsch umgesetzt). Die Regel gilt gleichermaßen für Stoßfugen ohne Staffelung; die Verbinder- und Lattenmengen solcher Wände können dadurch sinken.</w:t>
      </w:r>
    </w:p>
    <w:p>
      <w:pPr>
        <w:pStyle w:val="ListParagraph"/>
        <w:numPr>
          <w:ilvl w:val="0"/>
          <w:numId w:val="2"/>
        </w:numPr>
        <w:spacing w:after="60"/>
      </w:pPr>
      <w:r>
        <w:rPr>
          <w:b/>
          <w:bCs/>
        </w:rPr>
        <w:t xml:space="preserve">[U-12 · MUSS]</w:t>
      </w:r>
      <w:r>
        <w:t xml:space="preserve"> Jedes </w:t>
      </w:r>
      <w:r>
        <w:rPr>
          <w:b/>
          <w:bCs/>
        </w:rPr>
        <w:t xml:space="preserve">reale Lattensegment</w:t>
      </w:r>
      <w:r>
        <w:t xml:space="preserve"> – abgegrenzt durch Öffnungen, Feldgrenzen und Wandkontur/Staffelung, </w:t>
      </w:r>
      <w:r>
        <w:rPr>
          <w:b/>
          <w:bCs/>
        </w:rPr>
        <w:t xml:space="preserve">nicht</w:t>
      </w:r>
      <w:r>
        <w:t xml:space="preserve"> durch Wandfuß und Wandkrone – erhält an seinem </w:t>
      </w:r>
      <w:r>
        <w:rPr>
          <w:b/>
          <w:bCs/>
        </w:rPr>
        <w:t xml:space="preserve">realen unteren und realen oberen Ende</w:t>
      </w:r>
      <w:r>
        <w:t xml:space="preserve"> je einen Verbinder. Maßgeblich ist die </w:t>
      </w:r>
      <w:r>
        <w:rPr>
          <w:b/>
          <w:bCs/>
        </w:rPr>
        <w:t xml:space="preserve">erste bzw. letzte innerhalb des Segments nach [U-11] zulässige Lage</w:t>
      </w:r>
      <w:r>
        <w:t xml:space="preserve">: läuft eine Latte über eine Tür weiter, ist ihr unteres Ende die erste befestigbare Lage über der Tür-Oberkante, nicht der Wandfuß in der ausgesparten Öffnung. Diese Endverbinder sind </w:t>
      </w:r>
      <w:r>
        <w:rPr>
          <w:b/>
          <w:bCs/>
        </w:rPr>
        <w:t xml:space="preserve">additive Pflichtpunkte</w:t>
      </w:r>
      <w:r>
        <w:t xml:space="preserve"> – bestehende gültige Rasterpunkte bleiben unverändert – und haben </w:t>
      </w:r>
      <w:r>
        <w:rPr>
          <w:b/>
          <w:bCs/>
        </w:rPr>
        <w:t xml:space="preserve">Vorrang vor der Optimierung</w:t>
      </w:r>
      <w:r>
        <w:t xml:space="preserve"> nach [U-5] (Panel-/Zwischenachsraster) und [U-8] (Stoß- und Zuschnittoptimierung); sie stehen jedoch </w:t>
      </w:r>
      <w:r>
        <w:rPr>
          <w:b/>
          <w:bCs/>
        </w:rPr>
        <w:t xml:space="preserve">unter [U-11]</w:t>
      </w:r>
      <w:r>
        <w:t xml:space="preserve">: eine unzulässige Position (Stoßfuge, Stein-Außenkante, steinfrei, in der Öffnung) wird nie belegt. Enthält ein Segment genau </w:t>
      </w:r>
      <w:r>
        <w:rPr>
          <w:b/>
          <w:bCs/>
        </w:rPr>
        <w:t xml:space="preserve">eine</w:t>
      </w:r>
      <w:r>
        <w:t xml:space="preserve"> zulässige Lage, erfüllt dieser Verbinder beide Enden. Enthält es </w:t>
      </w:r>
      <w:r>
        <w:rPr>
          <w:b/>
          <w:bCs/>
        </w:rPr>
        <w:t xml:space="preserve">keine</w:t>
      </w:r>
      <w:r>
        <w:t xml:space="preserve">, darf es nicht als regelgerecht geplante Latte ausgegeben werden: es entsteht </w:t>
      </w:r>
      <w:r>
        <w:rPr>
          <w:b/>
          <w:bCs/>
        </w:rPr>
        <w:t xml:space="preserve">kein Ersatzpunkt</w:t>
      </w:r>
      <w:r>
        <w:t xml:space="preserve">, das Segment bleibt ungeplant (sicherer Leerfall) und wird in Modul 2 sichtbar gewarnt ([P-9]).</w:t>
      </w:r>
    </w:p>
    <w:p>
      <w:pPr>
        <w:pStyle w:val="ListParagraph"/>
        <w:numPr>
          <w:ilvl w:val="0"/>
          <w:numId w:val="2"/>
        </w:numPr>
        <w:spacing w:after="60"/>
      </w:pPr>
      <w:r>
        <w:rPr>
          <w:b/>
          <w:bCs/>
        </w:rPr>
        <w:t xml:space="preserve">[U-12.1 · Scope]</w:t>
      </w:r>
      <w:r>
        <w:t xml:space="preserve"> [U-12] gilt auf der Ebene des </w:t>
      </w:r>
      <w:r>
        <w:rPr>
          <w:b/>
          <w:bCs/>
        </w:rPr>
        <w:t xml:space="preserve">realen Segments</w:t>
      </w:r>
      <w:r>
        <w:t xml:space="preserve">, nicht je physischem Zuschnittstück einer Standardlänge. Für die Befestigung der Einzelstücke innerhalb eines Segments bleibt [U-8] zuständig (Stöße liegen mittig zwischen zwei Verbindern, jedes Stück erbt dadurch seine Befestigung). Ein Umbau des 1D-Zuschnitts auf stückweise Endverbinder ist bewusst </w:t>
      </w:r>
      <w:r>
        <w:rPr>
          <w:b/>
          <w:bCs/>
        </w:rPr>
        <w:t xml:space="preserve">nicht</w:t>
      </w:r>
      <w:r>
        <w:t xml:space="preserve"> Teil dieser Regel.</w:t>
      </w:r>
    </w:p>
    <w:p>
      <w:pPr>
        <w:pBdr>
          <w:left w:val="single" w:color="E0B400" w:sz="18" w:space="6"/>
        </w:pBdr>
        <w:shd w:fill="FFF8E6" w:val="clear"/>
        <w:spacing w:after="120" w:before="80"/>
      </w:pPr>
      <w:r>
        <w:t xml:space="preserve">Herkunft [U-12]: Issue #30. Über einer Tür entstand nur ein Verbinder am oberen Lattenende, weil die Verbinderreihen global aus Wandfuß/Wandkrone abgeleitet wurden und die Segmentbildung erst danach an der Öffnung schnitt – eine fehlende Regel, nicht eine falsch umgesetzte. Die Regel greift gleichermaßen, wenn die unterste oder oberste Lage einer Achse nach [U-11] eine Stoßfuge ist; dort ist die erste bzw. letzte zulässige Lage maßgebend. Verbinder- und Lattenmengen solcher Wände können dadurch steigen.</w:t>
      </w:r>
    </w:p>
    <w:p>
      <w:pPr>
        <w:pStyle w:val="Heading2"/>
      </w:pPr>
      <w:r>
        <w:t xml:space="preserve">15.5 Statik (Gutachten Schermer)  [S]</w:t>
      </w:r>
    </w:p>
    <w:p>
      <w:pPr>
        <w:pStyle w:val="ListParagraph"/>
        <w:numPr>
          <w:ilvl w:val="0"/>
          <w:numId w:val="2"/>
        </w:numPr>
        <w:spacing w:after="60"/>
      </w:pPr>
      <w:r>
        <w:rPr>
          <w:b/>
          <w:bCs/>
        </w:rPr>
        <w:t xml:space="preserve">[S-1]</w:t>
      </w:r>
      <w:r>
        <w:t xml:space="preserve"> Statisches System: Einfeldträger über die Höhe h, oben und unten gelenkig.</w:t>
      </w:r>
    </w:p>
    <w:p>
      <w:pPr>
        <w:pStyle w:val="ListParagraph"/>
        <w:numPr>
          <w:ilvl w:val="0"/>
          <w:numId w:val="2"/>
        </w:numPr>
        <w:spacing w:after="60"/>
      </w:pPr>
      <w:r>
        <w:rPr>
          <w:b/>
          <w:bCs/>
        </w:rPr>
        <w:t xml:space="preserve">[S-2]</w:t>
      </w:r>
      <w:r>
        <w:t xml:space="preserve"> Maßgebender Lastfall = MAX(Wind, DIN 4103-1 Kat. I, Kat. II).</w:t>
      </w:r>
    </w:p>
    <w:p>
      <w:pPr>
        <w:pStyle w:val="ListParagraph"/>
        <w:numPr>
          <w:ilvl w:val="0"/>
          <w:numId w:val="2"/>
        </w:numPr>
        <w:spacing w:after="60"/>
      </w:pPr>
      <w:r>
        <w:rPr>
          <w:b/>
          <w:bCs/>
        </w:rPr>
        <w:t xml:space="preserve">[S-3]</w:t>
      </w:r>
      <w:r>
        <w:t xml:space="preserve"> Biegetragfähigkeit m_Rk aus Prüfwerten §6.2 über N_v interpoliert; über den Prüfbereich gekappt + Warnung.</w:t>
      </w:r>
    </w:p>
    <w:p>
      <w:pPr>
        <w:pStyle w:val="ListParagraph"/>
        <w:numPr>
          <w:ilvl w:val="0"/>
          <w:numId w:val="2"/>
        </w:numPr>
        <w:spacing w:after="60"/>
      </w:pPr>
      <w:r>
        <w:rPr>
          <w:b/>
          <w:bCs/>
        </w:rPr>
        <w:t xml:space="preserve">[S-4]</w:t>
      </w:r>
      <w:r>
        <w:t xml:space="preserve"> N_v,fav (günstig) für Biegung; N_v,sup (ungünstig) für Druckrand und Bodenreibung.</w:t>
      </w:r>
    </w:p>
    <w:p>
      <w:pPr>
        <w:pStyle w:val="ListParagraph"/>
        <w:numPr>
          <w:ilvl w:val="0"/>
          <w:numId w:val="2"/>
        </w:numPr>
        <w:spacing w:after="60"/>
      </w:pPr>
      <w:r>
        <w:rPr>
          <w:b/>
          <w:bCs/>
        </w:rPr>
        <w:t xml:space="preserve">[S-5]</w:t>
      </w:r>
      <w:r>
        <w:t xml:space="preserve"> γ_M = 2,0 (Wand); γ_s = γ_M2 = 1,25; γ_Q = 1,5; γ_M,μ = 1,5.</w:t>
      </w:r>
    </w:p>
    <w:p>
      <w:pPr>
        <w:pStyle w:val="ListParagraph"/>
        <w:numPr>
          <w:ilvl w:val="0"/>
          <w:numId w:val="2"/>
        </w:numPr>
        <w:spacing w:after="60"/>
      </w:pPr>
      <w:r>
        <w:rPr>
          <w:b/>
          <w:bCs/>
        </w:rPr>
        <w:t xml:space="preserve">[S-6]</w:t>
      </w:r>
      <w:r>
        <w:t xml:space="preserve"> γ_P,fav frei wählbar 1,0–2,0 (Auswahlhilfe 5.11); γ_P,sup Default 1,1.</w:t>
      </w:r>
    </w:p>
    <w:p>
      <w:pPr>
        <w:pStyle w:val="ListParagraph"/>
        <w:numPr>
          <w:ilvl w:val="0"/>
          <w:numId w:val="2"/>
        </w:numPr>
        <w:spacing w:after="60"/>
      </w:pPr>
      <w:r>
        <w:rPr>
          <w:b/>
          <w:bCs/>
        </w:rPr>
        <w:t xml:space="preserve">[S-7]</w:t>
      </w:r>
      <w:r>
        <w:t xml:space="preserve"> Spannsystem: Gewindestangen-Fließen maßgebend; Senkschraube nur Warn-Alternative (nicht in η_max).</w:t>
      </w:r>
    </w:p>
    <w:p>
      <w:pPr>
        <w:pStyle w:val="ListParagraph"/>
        <w:numPr>
          <w:ilvl w:val="0"/>
          <w:numId w:val="2"/>
        </w:numPr>
        <w:spacing w:after="60"/>
      </w:pPr>
      <w:r>
        <w:rPr>
          <w:b/>
          <w:bCs/>
        </w:rPr>
        <w:t xml:space="preserve">[S-8]</w:t>
      </w:r>
      <w:r>
        <w:t xml:space="preserve"> η_max,gesamt = MAX(η_Wand, η_Spannsystem) ≤ 1,0 = Nachweis erfüllt.</w:t>
      </w:r>
    </w:p>
    <w:p>
      <w:pPr>
        <w:pStyle w:val="ListParagraph"/>
        <w:numPr>
          <w:ilvl w:val="0"/>
          <w:numId w:val="2"/>
        </w:numPr>
        <w:spacing w:after="60"/>
      </w:pPr>
      <w:r>
        <w:rPr>
          <w:b/>
          <w:bCs/>
        </w:rPr>
        <w:t xml:space="preserve">[S-9]</w:t>
      </w:r>
      <w:r>
        <w:t xml:space="preserve"> Deckenwinkel-Anschlusskraft wird an den Stahlbau übergeben (Winkel/Verankerung separat).</w:t>
      </w:r>
    </w:p>
    <w:p>
      <w:pPr>
        <w:pStyle w:val="ListParagraph"/>
        <w:numPr>
          <w:ilvl w:val="0"/>
          <w:numId w:val="2"/>
        </w:numPr>
        <w:spacing w:after="60"/>
      </w:pPr>
      <w:r>
        <w:rPr>
          <w:b/>
          <w:bCs/>
        </w:rPr>
        <w:t xml:space="preserve">[S-10]</w:t>
      </w:r>
      <w:r>
        <w:t xml:space="preserve"> Transport/Hebezustand ist ein separater Spot-Check (nicht Teil des Gutachtens).</w:t>
      </w:r>
    </w:p>
    <w:p>
      <w:pPr>
        <w:pStyle w:val="Heading2"/>
      </w:pPr>
      <w:r>
        <w:t xml:space="preserve">15.6 Prozess &amp; Datenmodell  [P]</w:t>
      </w:r>
    </w:p>
    <w:p>
      <w:pPr>
        <w:pStyle w:val="ListParagraph"/>
        <w:numPr>
          <w:ilvl w:val="0"/>
          <w:numId w:val="2"/>
        </w:numPr>
        <w:spacing w:after="60"/>
      </w:pPr>
      <w:r>
        <w:rPr>
          <w:b/>
          <w:bCs/>
        </w:rPr>
        <w:t xml:space="preserve">[P-1]</w:t>
      </w:r>
      <w:r>
        <w:t xml:space="preserve"> Das Wandelement ist die Single Source of Truth: Modul 0 legt es einschließlich Wandtyp an, Modul 1 erzeugt/aktualisiert die geprüfte Geometrie, alle anderen Module lesen es nur. Genau ein Element ist aktiv.</w:t>
      </w:r>
    </w:p>
    <w:p>
      <w:pPr>
        <w:pStyle w:val="ListParagraph"/>
        <w:numPr>
          <w:ilvl w:val="0"/>
          <w:numId w:val="2"/>
        </w:numPr>
        <w:spacing w:after="60"/>
      </w:pPr>
      <w:r>
        <w:rPr>
          <w:b/>
          <w:bCs/>
        </w:rPr>
        <w:t xml:space="preserve">[P-2]</w:t>
      </w:r>
      <w:r>
        <w:t xml:space="preserve"> Öffentliches Austauschformat = SEMBLA-Projekt v2 mit {name, wandelement, eingaben}. Import und ZIP-Export sind zentral in Modul 0; Fachmodule besitzen keine eigenen Datei-Buttons.</w:t>
      </w:r>
    </w:p>
    <w:p>
      <w:pPr>
        <w:pStyle w:val="ListParagraph"/>
        <w:numPr>
          <w:ilvl w:val="0"/>
          <w:numId w:val="2"/>
        </w:numPr>
        <w:spacing w:after="60"/>
      </w:pPr>
      <w:r>
        <w:rPr>
          <w:b/>
          <w:bCs/>
        </w:rPr>
        <w:t xml:space="preserve">[P-3]</w:t>
      </w:r>
      <w:r>
        <w:t xml:space="preserve"> Ein Rechenkern im Betrieb (docs/shared/sembla-core.js); die Python-Referenz (tests/core/) dient nur den Tests und wird bit-genau gleich gehalten (Parität über goldene Fixtures).</w:t>
      </w:r>
    </w:p>
    <w:p>
      <w:pPr>
        <w:pStyle w:val="ListParagraph"/>
        <w:numPr>
          <w:ilvl w:val="0"/>
          <w:numId w:val="2"/>
        </w:numPr>
        <w:spacing w:after="60"/>
      </w:pPr>
      <w:r>
        <w:rPr>
          <w:b/>
          <w:bCs/>
        </w:rPr>
        <w:t xml:space="preserve">[P-4]</w:t>
      </w:r>
      <w:r>
        <w:t xml:space="preserve"> Referenzsystem: Nullpunkt unten-links-vorne; X = Länge, Y = Wandstärke, Z = Höhe (mm).</w:t>
      </w:r>
    </w:p>
    <w:p>
      <w:pPr>
        <w:pStyle w:val="ListParagraph"/>
        <w:numPr>
          <w:ilvl w:val="0"/>
          <w:numId w:val="2"/>
        </w:numPr>
        <w:spacing w:after="60"/>
      </w:pPr>
      <w:r>
        <w:rPr>
          <w:b/>
          <w:bCs/>
        </w:rPr>
        <w:t xml:space="preserve">[P-5]</w:t>
      </w:r>
      <w:r>
        <w:t xml:space="preserve"> Kein App-Build-Schritt: docs/ wird direkt editiert und ist nach dem Push sofort live (GitHub Pages). Nach jeder Änderung die betroffenen Tests grün halten (npm run test:all).</w:t>
      </w:r>
    </w:p>
    <w:p>
      <w:pPr>
        <w:pStyle w:val="ListParagraph"/>
        <w:numPr>
          <w:ilvl w:val="0"/>
          <w:numId w:val="2"/>
        </w:numPr>
        <w:spacing w:after="60"/>
      </w:pPr>
      <w:r>
        <w:rPr>
          <w:b/>
          <w:bCs/>
        </w:rPr>
        <w:t xml:space="preserve">[P-6]</w:t>
      </w:r>
      <w:r>
        <w:t xml:space="preserve"> Der gesamte Planungsprozess ist deterministisch und regelbasiert. Abgeleitete Werte werden aus Wandelement, Eingaben und Katalog frisch berechnet; keine gespeicherten Schattenmengen oder stillen Heuristik-Ergebnisse. Insbesondere gibt es </w:t>
      </w:r>
      <w:r>
        <w:rPr>
          <w:b/>
          <w:bCs/>
        </w:rPr>
        <w:t xml:space="preserve">keinen Nullpreis-, Ersatzprodukt- oder Standardwert-Fallback</w:t>
      </w:r>
      <w:r>
        <w:t xml:space="preserve">: eine nicht auflösbare Angabe bleibt leer und wird gemeldet, statt durch einen plausibel aussehenden Wert ersetzt zu werden.</w:t>
      </w:r>
    </w:p>
    <w:p>
      <w:pPr>
        <w:pStyle w:val="ListParagraph"/>
        <w:numPr>
          <w:ilvl w:val="0"/>
          <w:numId w:val="2"/>
        </w:numPr>
        <w:spacing w:after="60"/>
      </w:pPr>
      <w:r>
        <w:rPr>
          <w:b/>
          <w:bCs/>
        </w:rPr>
        <w:t xml:space="preserve">[P-7]</w:t>
      </w:r>
      <w:r>
        <w:t xml:space="preserve"> Jede fachliche Änderung benennt ihre Regel-ID und aktualisiert Regelwerk, Implementierung und Tests gemeinsam. Bei jedem Bug wird zuerst geklärt, welche Regel fehlt, unklar ist oder falsch umgesetzt wurde.</w:t>
      </w:r>
    </w:p>
    <w:p>
      <w:pPr>
        <w:pStyle w:val="ListParagraph"/>
        <w:numPr>
          <w:ilvl w:val="0"/>
          <w:numId w:val="2"/>
        </w:numPr>
        <w:spacing w:after="60"/>
      </w:pPr>
      <w:r>
        <w:rPr>
          <w:b/>
          <w:bCs/>
        </w:rPr>
        <w:t xml:space="preserve">[P-8]</w:t>
      </w:r>
      <w:r>
        <w:t xml:space="preserve"> Handbuchquelle und erzeugtes DOCX werden bei jeder produktrelevanten Änderung geprüft und regelmäßig vollständig gegen Produkt, Issues und Tests auditiert.</w:t>
      </w:r>
    </w:p>
    <w:p>
      <w:pPr>
        <w:pStyle w:val="ListParagraph"/>
        <w:numPr>
          <w:ilvl w:val="0"/>
          <w:numId w:val="2"/>
        </w:numPr>
        <w:spacing w:after="60"/>
      </w:pPr>
      <w:r>
        <w:rPr>
          <w:b/>
          <w:bCs/>
        </w:rPr>
        <w:t xml:space="preserve">[P-9]</w:t>
      </w:r>
      <w:r>
        <w:t xml:space="preserve"> Regelkonflikte folgen der dokumentierten Hierarchie. Nicht gemeinsam erfüllbare Muss-Regeln erzeugen einen sichtbaren Konflikt; ein unsicherer Fallback ist unzulässig.</w:t>
      </w:r>
    </w:p>
    <w:p>
      <w:pPr>
        <w:pStyle w:val="ListParagraph"/>
        <w:numPr>
          <w:ilvl w:val="0"/>
          <w:numId w:val="2"/>
        </w:numPr>
        <w:spacing w:after="60"/>
      </w:pPr>
      <w:r>
        <w:rPr>
          <w:b/>
          <w:bCs/>
        </w:rPr>
        <w:t xml:space="preserve">[P-10]</w:t>
      </w:r>
      <w:r>
        <w:t xml:space="preserve"> Der Bauteilkatalog ist eine getrennte, versionierte Ressource mit eigenem Dateiformat und eigener Formatversion. Das Projekt referenziert nur ausgewählte Produkt-IDs – </w:t>
      </w:r>
      <w:r>
        <w:rPr>
          <w:b/>
          <w:bCs/>
        </w:rPr>
        <w:t xml:space="preserve">je Verwendungsrolle</w:t>
      </w:r>
      <w:r>
        <w:t xml:space="preserve"> der Wand, niemals Preise oder Maße und nichts davon im Wandelement; fehlende Referenzen werden sichtbar gewarnt und nie still bereinigt.</w:t>
      </w:r>
    </w:p>
    <w:p>
      <w:pPr>
        <w:pStyle w:val="ListParagraph"/>
        <w:numPr>
          <w:ilvl w:val="0"/>
          <w:numId w:val="2"/>
        </w:numPr>
        <w:spacing w:after="60"/>
      </w:pPr>
      <w:r>
        <w:rPr>
          <w:b/>
          <w:bCs/>
        </w:rPr>
        <w:t xml:space="preserve">[P-11]</w:t>
      </w:r>
      <w:r>
        <w:t xml:space="preserve"> Wandtyp wird ausschließlich in Modul 0 gewählt; Modul 1 führt ihn unverändert mit, Modul 3 liest ihn einschließlich Geometrie und Öffnungszahl read-only.</w:t>
      </w:r>
    </w:p>
    <w:p>
      <w:pPr>
        <w:pStyle w:val="ListParagraph"/>
        <w:numPr>
          <w:ilvl w:val="0"/>
          <w:numId w:val="2"/>
        </w:numPr>
        <w:spacing w:after="60"/>
      </w:pPr>
      <w:r>
        <w:rPr>
          <w:b/>
          <w:bCs/>
        </w:rPr>
        <w:t xml:space="preserve">[P-12]</w:t>
      </w:r>
      <w:r>
        <w:t xml:space="preserve"> Mitgelieferte Datenvorlagen (Standardkatalog und Musterwand unter docs/vorlagen/) werden </w:t>
      </w:r>
      <w:r>
        <w:rPr>
          <w:b/>
          <w:bCs/>
        </w:rPr>
        <w:t xml:space="preserve">ausschließlich durch bewusste Nutzerwahl in Modul 0</w:t>
      </w:r>
      <w:r>
        <w:t xml:space="preserve"> geladen – kein automatisches Vorladen beim Start. Sie durchlaufen dieselben Prüf- und Bestätigungswege wie fremde Dateien: der Standardkatalog ersetzt einen belegten Katalog-Slot nur nach ausdrücklicher Bestätigung (Abbruch ist wirkungslos), die Musterwand nur über den Projektimport-Bestätigungsdialog und stets als </w:t>
      </w:r>
      <w:r>
        <w:rPr>
          <w:b/>
          <w:bCs/>
        </w:rPr>
        <w:t xml:space="preserve">neues</w:t>
      </w:r>
      <w:r>
        <w:t xml:space="preserve"> Wandelement, ohne bestehende zu überschreiben. Die Ressourcen- und Versionstrennung nach </w:t>
      </w:r>
      <w:r>
        <w:rPr>
          <w:b/>
          <w:bCs/>
        </w:rPr>
        <w:t xml:space="preserve">[P-10]</w:t>
      </w:r>
      <w:r>
        <w:t xml:space="preserve">/</w:t>
      </w:r>
      <w:r>
        <w:rPr>
          <w:b/>
          <w:bCs/>
        </w:rPr>
        <w:t xml:space="preserve">[P-2]</w:t>
      </w:r>
      <w:r>
        <w:t xml:space="preserve"> gilt unverändert: der Katalog bleibt im eigenen Slot und Dateiformat, die Musterwand im öffentlichen Projektformat. Vorläufige, fachlich unbestätigte Beispielwerte einer Vorlage sind sichtbar als solche zu kennzeichnen und dürfen nicht als geprüfte Kennwerte dargestellt werden. Priorität: Datenhaltungs- und Bedienregel – sie ändert keine Mengen, keine Geometrie und keinen Nachweis und ist jeder Muss-Regel nachgeordnet.</w:t>
      </w:r>
    </w:p>
    <w:p>
      <w:pPr>
        <w:pStyle w:val="ListParagraph"/>
        <w:numPr>
          <w:ilvl w:val="0"/>
          <w:numId w:val="2"/>
        </w:numPr>
        <w:spacing w:after="60"/>
      </w:pPr>
      <w:r>
        <w:rPr>
          <w:b/>
          <w:bCs/>
        </w:rPr>
        <w:t xml:space="preserve">[P-13]</w:t>
      </w:r>
      <w:r>
        <w:t xml:space="preserve"> </w:t>
      </w:r>
      <w:r>
        <w:rPr>
          <w:b/>
          <w:bCs/>
        </w:rPr>
        <w:t xml:space="preserve">Ownership der Produktreferenzen.</w:t>
      </w:r>
      <w:r>
        <w:t xml:space="preserve"> Produktstamm und Preise werden </w:t>
      </w:r>
      <w:r>
        <w:rPr>
          <w:b/>
          <w:bCs/>
        </w:rPr>
        <w:t xml:space="preserve">ausschließlich in Modul 0</w:t>
      </w:r>
      <w:r>
        <w:t xml:space="preserve"> gepflegt; Modul 0 besitzt keine wand- oder projektbezogene Produktauswahl. Die wandbezogene Auswahl trifft das fachlich zuständige Modul </w:t>
      </w:r>
      <w:r>
        <w:rPr>
          <w:b/>
          <w:bCs/>
        </w:rPr>
        <w:t xml:space="preserve">direkt aus dem vollständigen aktiven Katalog</w:t>
      </w:r>
      <w:r>
        <w:t xml:space="preserve">, ohne zwischengeschalteten Freigabepool: </w:t>
      </w:r>
      <w:r>
        <w:rPr>
          <w:b/>
          <w:bCs/>
        </w:rPr>
        <w:t xml:space="preserve">Modul 1</w:t>
      </w:r>
      <w:r>
        <w:t xml:space="preserve"> für Wand, Vorspannung, Anschluss und Fugen (eingaben.planung.produkte), </w:t>
      </w:r>
      <w:r>
        <w:rPr>
          <w:b/>
          <w:bCs/>
        </w:rPr>
        <w:t xml:space="preserve">Modul 2</w:t>
      </w:r>
      <w:r>
        <w:t xml:space="preserve"> für Latten, Beplankung und Verbinder (eingaben.aufbau.produkte). Jedes Modul schreibt nur seinen eigenen Eingaben-Abschnitt. Gespeichert werden ausschließlich Produkt-IDs je Rolle plus eine Herkunftsnotiz des Katalogs – keine Preise, keine Maße, nichts im Wandelement (</w:t>
      </w:r>
      <w:r>
        <w:rPr>
          <w:b/>
          <w:bCs/>
        </w:rPr>
        <w:t xml:space="preserve">[P-1]</w:t>
      </w:r>
      <w:r>
        <w:t xml:space="preserve">, </w:t>
      </w:r>
      <w:r>
        <w:rPr>
          <w:b/>
          <w:bCs/>
        </w:rPr>
        <w:t xml:space="preserve">[P-10]</w:t>
      </w:r>
      <w:r>
        <w:t xml:space="preserve">). </w:t>
      </w:r>
      <w:r>
        <w:rPr>
          <w:b/>
          <w:bCs/>
        </w:rPr>
        <w:t xml:space="preserve">Modul 4</w:t>
      </w:r>
      <w:r>
        <w:t xml:space="preserve"> ist reiner Leser und besitzt keine Preisfelder. Mehrere Produkte je Rolle sind zulässig (mehrere Standardlängen/-formate) und stehen der nachgelagerten Zuschnitt- und Beschaffungsplanung programmgesteuert zur Verfügung. Priorität: Datenhaltungs- und Bedienregel, jeder Muss-Regel nachgeordnet.</w:t>
      </w:r>
    </w:p>
    <w:p>
      <w:pPr>
        <w:pStyle w:val="ListParagraph"/>
        <w:numPr>
          <w:ilvl w:val="0"/>
          <w:numId w:val="2"/>
        </w:numPr>
        <w:spacing w:after="60"/>
      </w:pPr>
      <w:r>
        <w:rPr>
          <w:b/>
          <w:bCs/>
        </w:rPr>
        <w:t xml:space="preserve">[P-14]</w:t>
      </w:r>
      <w:r>
        <w:t xml:space="preserve"> </w:t>
      </w:r>
      <w:r>
        <w:rPr>
          <w:b/>
          <w:bCs/>
        </w:rPr>
        <w:t xml:space="preserve">Deterministische Preisauflösung.</w:t>
      </w:r>
      <w:r>
        <w:t xml:space="preserve"> Der Preis einer Stücklistenposition entsteht ausschließlich über die Kette Rolle → ausgewählte Produkt-IDs → Katalogprodukt. Eingegrenzt wird nur anhand </w:t>
      </w:r>
      <w:r>
        <w:rPr>
          <w:b/>
          <w:bCs/>
        </w:rPr>
        <w:t xml:space="preserve">tatsächlich vorhandener</w:t>
      </w:r>
      <w:r>
        <w:t xml:space="preserve"> Daten: passende Katalogkategorie, zur Positionseinheit </w:t>
      </w:r>
      <w:r>
        <w:rPr>
          <w:b/>
          <w:bCs/>
        </w:rPr>
        <w:t xml:space="preserve">kompatible Preisbasis</w:t>
      </w:r>
      <w:r>
        <w:t xml:space="preserve"> (Stk↔Stk, m↔m; keine Umrechnung, insbesondere keine Flächen-/Stückumrechnung) und – soweit für die Rolle definiert – Übereinstimmung eines realen Maßfeldes mit dem maßgebenden Wandwert (Gewindestangenlänge, Blech-Modullänge, Lattenstangenlänge, Steinbreite). Bleibt nach dieser Eingrenzung </w:t>
      </w:r>
      <w:r>
        <w:rPr>
          <w:b/>
          <w:bCs/>
        </w:rPr>
        <w:t xml:space="preserve">genau ein</w:t>
      </w:r>
      <w:r>
        <w:t xml:space="preserve"> Produkt, liefert es den Preis; bleiben </w:t>
      </w:r>
      <w:r>
        <w:rPr>
          <w:b/>
          <w:bCs/>
        </w:rPr>
        <w:t xml:space="preserve">mehrere</w:t>
      </w:r>
      <w:r>
        <w:t xml:space="preserve">, ist das Ergebnis mehrdeutig und </w:t>
      </w:r>
      <w:r>
        <w:rPr>
          <w:b/>
          <w:bCs/>
        </w:rPr>
        <w:t xml:space="preserve">ohne Preis</w:t>
      </w:r>
      <w:r>
        <w:t xml:space="preserve">. Fehlende, kategoriefremde, einheitenfremde oder maßfremde Zuordnung sowie ein fehlender Katalog werden ebenso sichtbar und </w:t>
      </w:r>
      <w:r>
        <w:rPr>
          <w:b/>
          <w:bCs/>
        </w:rPr>
        <w:t xml:space="preserve">ohne Preis</w:t>
      </w:r>
      <w:r>
        <w:t xml:space="preserve"> ausgewiesen. Unzulässig sind: Auswahl eines ersten Kandidaten, Mittelwert, Minimum, Ersatzprodukt, Nullpreis, Einheitenumrechnung und jede Veränderung der Einbaumenge. Positionen mit Menge 0 benötigen kein Produkt. Eine Summe mit unaufgelösten Positionen wird als </w:t>
      </w:r>
      <w:r>
        <w:rPr>
          <w:b/>
          <w:bCs/>
        </w:rPr>
        <w:t xml:space="preserve">unvollständig</w:t>
      </w:r>
      <w:r>
        <w:t xml:space="preserve"> mit der Angabe „n von m bepreisten Positionen“ gekennzeichnet. Der Auswahlstatus ist bereits an der wählenden Oberfläche (Modul 1/2) sichtbar, nicht erst in Modul 4. Vorläufige, fachlich unbestätigte Katalogwerte bleiben als solche gekennzeichnet (</w:t>
      </w:r>
      <w:r>
        <w:rPr>
          <w:b/>
          <w:bCs/>
        </w:rPr>
        <w:t xml:space="preserve">[P-12]</w:t>
      </w:r>
      <w:r>
        <w:t xml:space="preserve">). Priorität: Mengen- und Kostenregel; sie ist der Mengenermittlung nachgeordnet und darf sie nie verändern.</w:t>
      </w:r>
    </w:p>
    <w:p>
      <w:pPr>
        <w:pStyle w:val="ListParagraph"/>
        <w:numPr>
          <w:ilvl w:val="0"/>
          <w:numId w:val="2"/>
        </w:numPr>
        <w:spacing w:after="60"/>
      </w:pPr>
      <w:r>
        <w:rPr>
          <w:b/>
          <w:bCs/>
        </w:rPr>
        <w:t xml:space="preserve">[P-15]</w:t>
      </w:r>
      <w:r>
        <w:t xml:space="preserve"> </w:t>
      </w:r>
      <w:r>
        <w:rPr>
          <w:b/>
          <w:bCs/>
        </w:rPr>
        <w:t xml:space="preserve">Unwirksamer Altbestand.</w:t>
      </w:r>
      <w:r>
        <w:t xml:space="preserve"> Produktreferenzen aus früheren, abgelösten Auswahlwegen (eingaben.katalog.auswahl) bleiben zur Nachvollziehbarkeit im Projekt erhalten, werden aber </w:t>
      </w:r>
      <w:r>
        <w:rPr>
          <w:b/>
          <w:bCs/>
        </w:rPr>
        <w:t xml:space="preserve">nicht mehr geschrieben, nicht als Filter angewendet und nicht heuristisch in Verwendungsrollen übersetzt</w:t>
      </w:r>
      <w:r>
        <w:t xml:space="preserve"> – eine Kategorie-zu-Rolle-Übersetzung ist mehrdeutig und damit unzulässig (</w:t>
      </w:r>
      <w:r>
        <w:rPr>
          <w:b/>
          <w:bCs/>
        </w:rPr>
        <w:t xml:space="preserve">[P-9]</w:t>
      </w:r>
      <w:r>
        <w:t xml:space="preserve">). Ihr Vorhandensein wird in Modul 0 </w:t>
      </w:r>
      <w:r>
        <w:rPr>
          <w:b/>
          <w:bCs/>
        </w:rPr>
        <w:t xml:space="preserve">sichtbar als unwirksam</w:t>
      </w:r>
      <w:r>
        <w:t xml:space="preserve"> gemeldet, mit Verweis auf den neuen Ort der Auswahl. Priorität: Datenhaltungsregel, jeder Muss-Regel nachgeordnet.</w:t>
      </w:r>
    </w:p>
    <w:p>
      <w:pPr>
        <w:pStyle w:val="ListParagraph"/>
        <w:numPr>
          <w:ilvl w:val="0"/>
          <w:numId w:val="2"/>
        </w:numPr>
        <w:spacing w:after="60"/>
      </w:pPr>
      <w:r>
        <w:rPr>
          <w:b/>
          <w:bCs/>
        </w:rPr>
        <w:t xml:space="preserve">[P-16]</w:t>
      </w:r>
      <w:r>
        <w:t xml:space="preserve"> </w:t>
      </w:r>
      <w:r>
        <w:rPr>
          <w:b/>
          <w:bCs/>
        </w:rPr>
        <w:t xml:space="preserve">Kategoriegerechte Produktmaske.</w:t>
      </w:r>
      <w:r>
        <w:t xml:space="preserve"> Produkte werden ausschließlich in Modul 0 gepflegt (</w:t>
      </w:r>
      <w:r>
        <w:rPr>
          <w:b/>
          <w:bCs/>
        </w:rPr>
        <w:t xml:space="preserve">[P-13]</w:t>
      </w:r>
      <w:r>
        <w:t xml:space="preserve">) und dort in einem </w:t>
      </w:r>
      <w:r>
        <w:rPr>
          <w:b/>
          <w:bCs/>
        </w:rPr>
        <w:t xml:space="preserve">eigenen, klar von der Produktübersicht getrennten Dialog</w:t>
      </w:r>
      <w:r>
        <w:t xml:space="preserve"> angelegt, bearbeitet und dupliziert. </w:t>
      </w:r>
      <w:r>
        <w:rPr>
          <w:b/>
          <w:bCs/>
        </w:rPr>
        <w:t xml:space="preserve">Speichern ist der einzige Schreibweg</w:t>
      </w:r>
      <w:r>
        <w:t xml:space="preserve">: Abbrechen, Escape und Klick neben den Dialog lassen die Katalogdaten unverändert – auch beim Duplizieren, das erst mit dem Speichern ein Produkt anlegt. Die Maske zeigt </w:t>
      </w:r>
      <w:r>
        <w:rPr>
          <w:b/>
          <w:bCs/>
        </w:rPr>
        <w:t xml:space="preserve">je Kategorie nur fachlich zutreffende Felder</w:t>
      </w:r>
      <w:r>
        <w:t xml:space="preserve"> mit fachlicher Beschriftung und ausgewiesener Einheit: Gewindestange mit Gewindebezeichnung, Güte und Stangenlänge; Latte mit Querschnitt und Standardlänge; Beplankungsplatte und Blech mit Breite, Höhe und Dicke ohne Gewindefeld; Stein mit optionaler Steinbreite, sichtbar als das für die Preiszuordnung maßgebende Maß (</w:t>
      </w:r>
      <w:r>
        <w:rPr>
          <w:b/>
          <w:bCs/>
        </w:rPr>
        <w:t xml:space="preserve">[P-14]</w:t>
      </w:r>
      <w:r>
        <w:t xml:space="preserve">); Verbinder und Verbrauchsmaterial ohne fachfremde Maßfelder. Die </w:t>
      </w:r>
      <w:r>
        <w:rPr>
          <w:b/>
          <w:bCs/>
        </w:rPr>
        <w:t xml:space="preserve">Pflichtdefinition ist nicht doppelt zu führen</w:t>
      </w:r>
      <w:r>
        <w:t xml:space="preserve"> – Maske und Validierung lesen dieselbe DOM-freie Kategorietabelle. Die </w:t>
      </w:r>
      <w:r>
        <w:rPr>
          <w:b/>
          <w:bCs/>
        </w:rPr>
        <w:t xml:space="preserve">kanonischen Feldschlüssel</w:t>
      </w:r>
      <w:r>
        <w:t xml:space="preserve"> (breite_mm, hoehe_mm, dicke_mm, laenge_mm, gewinde, guete) bleiben unverändert, damit die Maß-Diskriminatoren nach </w:t>
      </w:r>
      <w:r>
        <w:rPr>
          <w:b/>
          <w:bCs/>
        </w:rPr>
        <w:t xml:space="preserve">[P-14]</w:t>
      </w:r>
      <w:r>
        <w:t xml:space="preserve"> weiter greifen; unbekannte Zusatzfelder eines Produkts (etwa der Vorlagenhinweis nach </w:t>
      </w:r>
      <w:r>
        <w:rPr>
          <w:b/>
          <w:bCs/>
        </w:rPr>
        <w:t xml:space="preserve">[P-12]</w:t>
      </w:r>
      <w:r>
        <w:t xml:space="preserve">) bleiben beim Bearbeiten erhalten. Die Regel betrifft allein die Bedienung und begründet </w:t>
      </w:r>
      <w:r>
        <w:rPr>
          <w:b/>
          <w:bCs/>
        </w:rPr>
        <w:t xml:space="preserve">keinen</w:t>
      </w:r>
      <w:r>
        <w:t xml:space="preserve"> Wechsel der Katalog-Formatversion – bestehende Katalogdateien v1 bleiben unverändert lesbar (</w:t>
      </w:r>
      <w:r>
        <w:rPr>
          <w:b/>
          <w:bCs/>
        </w:rPr>
        <w:t xml:space="preserve">[P-10]</w:t>
      </w:r>
      <w:r>
        <w:t xml:space="preserve">). Priorität: Bedien- und Datenhaltungsregel – sie ändert keine Mengen, keine Preise und keinen Nachweis und ist jeder Muss-Regel nachgeordnet.</w:t>
      </w:r>
    </w:p>
    <w:p>
      <w:pPr>
        <w:pBdr>
          <w:left w:val="single" w:color="E0B400" w:sz="18" w:space="6"/>
        </w:pBdr>
        <w:shd w:fill="FFF8E6" w:val="clear"/>
        <w:spacing w:after="120" w:before="80"/>
      </w:pPr>
      <w:r>
        <w:t xml:space="preserve">Herkunft [P-16]: Issue #34 (Folge aus dem Live-Feedback zu #21). Die erste Katalogfassung führte eine einzige generische Eingabezeile unmittelbar über der Produktliste: Beschriftungen waren kategorieunabhängig, für Stein, Verbinder und Verbrauchsmaterial erschienen alle vier Maßfelder, und das Duplizieren schrieb die Kopie sofort in den Katalog, sodass ein anschließendes Abbrechen sie stehen ließ. Es fehlte eine Regel für die kategoriegerechte Maske und für die Reinheit des Bearbeitungsdialogs.</w:t>
      </w:r>
    </w:p>
    <w:p>
      <w:pPr>
        <w:pStyle w:val="ListParagraph"/>
        <w:numPr>
          <w:ilvl w:val="0"/>
          <w:numId w:val="2"/>
        </w:numPr>
        <w:spacing w:after="60"/>
      </w:pPr>
      <w:r>
        <w:rPr>
          <w:b/>
          <w:bCs/>
        </w:rPr>
        <w:t xml:space="preserve">[P-17]</w:t>
      </w:r>
      <w:r>
        <w:t xml:space="preserve"> </w:t>
      </w:r>
      <w:r>
        <w:rPr>
          <w:b/>
          <w:bCs/>
        </w:rPr>
        <w:t xml:space="preserve">Kompakte Rollenauswahl.</w:t>
      </w:r>
      <w:r>
        <w:t xml:space="preserve"> Die wandbezogene Produktauswahl nach </w:t>
      </w:r>
      <w:r>
        <w:rPr>
          <w:b/>
          <w:bCs/>
        </w:rPr>
        <w:t xml:space="preserve">[P-13]</w:t>
      </w:r>
      <w:r>
        <w:t xml:space="preserve"> zeigt je </w:t>
      </w:r>
      <w:r>
        <w:rPr>
          <w:b/>
          <w:bCs/>
        </w:rPr>
        <w:t xml:space="preserve">Verwendungsrolle genau eine kompakte Zeile</w:t>
      </w:r>
      <w:r>
        <w:t xml:space="preserve"> mit einem </w:t>
      </w:r>
      <w:r>
        <w:rPr>
          <w:b/>
          <w:bCs/>
        </w:rPr>
        <w:t xml:space="preserve">Mehrfachauswahl-Dropdown</w:t>
      </w:r>
      <w:r>
        <w:t xml:space="preserve">. Übergeordnete Kategorieblöcke, die nur Verwendungszeilen gruppieren und Bezeichnungen wiederholen, entfallen in der Oberfläche; die Gruppen/Kategorien bleiben intern für Filterung und Datenmodell bestehen. Die </w:t>
      </w:r>
      <w:r>
        <w:rPr>
          <w:b/>
          <w:bCs/>
        </w:rPr>
        <w:t xml:space="preserve">Zeilenüberschrift benennt die Verwendungsrolle</w:t>
      </w:r>
      <w:r>
        <w:t xml:space="preserve"> (i3-Stein, Gewindestange, Bodenblech, Lattenstange …), </w:t>
      </w:r>
      <w:r>
        <w:rPr>
          <w:b/>
          <w:bCs/>
        </w:rPr>
        <w:t xml:space="preserve">jede Option das konkrete Katalogprodukt mit unterscheidenden Merkmalen</w:t>
      </w:r>
      <w:r>
        <w:t xml:space="preserve"> (Maße/Gewinde, Preisbasis, Kennung); Rollen- und Optionsbeschriftung dürfen </w:t>
      </w:r>
      <w:r>
        <w:rPr>
          <w:b/>
          <w:bCs/>
        </w:rPr>
        <w:t xml:space="preserve">nicht denselben generischen Text wiederholen</w:t>
      </w:r>
      <w:r>
        <w:t xml:space="preserve">. Im geöffneten Dropdown erscheinen </w:t>
      </w:r>
      <w:r>
        <w:rPr>
          <w:b/>
          <w:bCs/>
        </w:rPr>
        <w:t xml:space="preserve">ausschließlich katalogseitig zur Rolle passende Produkte</w:t>
      </w:r>
      <w:r>
        <w:t xml:space="preserve">; geschlossen zeigt das Steuerelement eine kurze Zusammenfassung (keine Auswahl / ein Produkt mit Namen / n Produkte). Öffnen, Auswählen, Abwählen und Schließen sind </w:t>
      </w:r>
      <w:r>
        <w:rPr>
          <w:b/>
          <w:bCs/>
        </w:rPr>
        <w:t xml:space="preserve">per Tastatur bedienbar</w:t>
      </w:r>
      <w:r>
        <w:t xml:space="preserve">; Modul 1 und Modul 2 verwenden dasselbe Interaktionsmuster. Rollen-Ownership und gespeicherte Produkt-IDs bleiben unverändert. Priorität: Bedienregel (Hierarchiestufe 5) – sie ändert keine Mengen, keine Preise und keinen Nachweis.</w:t>
      </w:r>
    </w:p>
    <w:p>
      <w:pPr>
        <w:pBdr>
          <w:left w:val="single" w:color="E0B400" w:sz="18" w:space="6"/>
        </w:pBdr>
        <w:shd w:fill="FFF8E6" w:val="clear"/>
        <w:spacing w:after="120" w:before="80"/>
      </w:pPr>
      <w:r>
        <w:t xml:space="preserve">Herkunft [P-17]: Issue #35 (Live-Feedback). Die erste Fassung breitete alle Produkt-Checkboxen dauerhaft unter wiederholten Kategorieüberschriften aus; bei Steinen trug die Gruppe „Steine i3 – 37,5 cm“ zugleich eine praktisch gleichlautende Auswahloption, sodass Rolle und Produkt nicht unterscheidbar waren.</w:t>
      </w:r>
    </w:p>
    <w:p>
      <w:pPr>
        <w:pStyle w:val="Heading2"/>
      </w:pPr>
      <w:r>
        <w:t xml:space="preserve">15.7 Zuschnitt &amp; Kombination von Standardgrößen  [Z]</w:t>
      </w:r>
    </w:p>
    <w:p>
      <w:pPr>
        <w:spacing w:after="140"/>
      </w:pPr>
      <w:r>
        <w:rPr>
          <w:color w:val="33414F"/>
          <w:sz w:val="24"/>
          <w:szCs w:val="24"/>
        </w:rPr>
        <w:t xml:space="preserve">Grundlage ist die verbindliche Festlegung aus dem Live-Feedback zu #35 in Verbindung mit den bereits bestätigten Zuschnittentscheidungen zu #19: Die ausgewählten Katalogprodukte sind kein „eines von mehreren“, sondern ein Vorratssatz an Standardgrößen, die tatsächlich kombiniert werden. Leitfall: eine benötigte Strecke von 170 cm wird bei gewählten Standardgrößen 100 cm und 50 cm zu 100 + 50 + 20 cm aufgeteilt, wobei die 20 cm ein gekennzeichneter Sonderzuschnitt sind.</w:t>
      </w:r>
    </w:p>
    <w:p>
      <w:pPr>
        <w:pStyle w:val="ListParagraph"/>
        <w:numPr>
          <w:ilvl w:val="0"/>
          <w:numId w:val="2"/>
        </w:numPr>
        <w:spacing w:after="60"/>
      </w:pPr>
      <w:r>
        <w:rPr>
          <w:b/>
          <w:bCs/>
        </w:rPr>
        <w:t xml:space="preserve">[Z-1 · MUSS]</w:t>
      </w:r>
      <w:r>
        <w:t xml:space="preserve"> </w:t>
      </w:r>
      <w:r>
        <w:rPr>
          <w:b/>
          <w:bCs/>
        </w:rPr>
        <w:t xml:space="preserve">Katalog ist alleinige Maßquelle.</w:t>
      </w:r>
      <w:r>
        <w:t xml:space="preserve"> Ist für eine Verwendungsrolle ein Katalogprodukt gewählt, liefert </w:t>
      </w:r>
      <w:r>
        <w:rPr>
          <w:b/>
          <w:bCs/>
        </w:rPr>
        <w:t xml:space="preserve">ausschließlich</w:t>
      </w:r>
      <w:r>
        <w:t xml:space="preserve"> dieses Produkt seine Produktspezifikation: bei Gewindestangen die Standardlänge, bei Latten Querschnitt (Breite/Dicke) und Standardlänge. Modul 1 und Modul 2 dürfen daneben </w:t>
      </w:r>
      <w:r>
        <w:rPr>
          <w:b/>
          <w:bCs/>
        </w:rPr>
        <w:t xml:space="preserve">keine zweite wirksame</w:t>
      </w:r>
      <w:r>
        <w:t xml:space="preserve"> manuelle Produktlänge oder -breite führen: die betreffenden Eingabefelder sind dann </w:t>
      </w:r>
      <w:r>
        <w:rPr>
          <w:b/>
          <w:bCs/>
        </w:rPr>
        <w:t xml:space="preserve">nicht editierbar</w:t>
      </w:r>
      <w:r>
        <w:t xml:space="preserve"> und werden von der Berechnung </w:t>
      </w:r>
      <w:r>
        <w:rPr>
          <w:b/>
          <w:bCs/>
        </w:rPr>
        <w:t xml:space="preserve">nicht gelesen</w:t>
      </w:r>
      <w:r>
        <w:t xml:space="preserve"> – auch eine Manipulation des Feldwerts (DOM) bleibt wirkungslos. Ohne Produktauswahl gilt der </w:t>
      </w:r>
      <w:r>
        <w:rPr>
          <w:b/>
          <w:bCs/>
        </w:rPr>
        <w:t xml:space="preserve">klar gekennzeichnete, rückwärtskompatible Fallback</w:t>
      </w:r>
      <w:r>
        <w:t xml:space="preserve"> aus dem Altwert. Fehlende oder widersprüchliche Angaben (z. B. zwei Lattenprodukte mit unterschiedlicher Querschnittsbreite) werden </w:t>
      </w:r>
      <w:r>
        <w:rPr>
          <w:b/>
          <w:bCs/>
        </w:rPr>
        <w:t xml:space="preserve">sichtbar gemeldet</w:t>
      </w:r>
      <w:r>
        <w:t xml:space="preserve"> statt durch einen Default ersetzt (</w:t>
      </w:r>
      <w:r>
        <w:rPr>
          <w:b/>
          <w:bCs/>
        </w:rPr>
        <w:t xml:space="preserve">[P-6]</w:t>
      </w:r>
      <w:r>
        <w:t xml:space="preserve">/</w:t>
      </w:r>
      <w:r>
        <w:rPr>
          <w:b/>
          <w:bCs/>
        </w:rPr>
        <w:t xml:space="preserve">[P-9]</w:t>
      </w:r>
      <w:r>
        <w:t xml:space="preserve">). Der Längensatz reist als Planungsparameter (prestress.rod_lengths_mm) im Wandelement mit; Preise, Produkt-IDs und Bezeichnungen bleiben davon weiterhin ausgeschlossen (</w:t>
      </w:r>
      <w:r>
        <w:rPr>
          <w:b/>
          <w:bCs/>
        </w:rPr>
        <w:t xml:space="preserve">[P-13]</w:t>
      </w:r>
      <w:r>
        <w:t xml:space="preserve">).</w:t>
      </w:r>
    </w:p>
    <w:p>
      <w:pPr>
        <w:pStyle w:val="ListParagraph"/>
        <w:numPr>
          <w:ilvl w:val="0"/>
          <w:numId w:val="2"/>
        </w:numPr>
        <w:spacing w:after="60"/>
      </w:pPr>
      <w:r>
        <w:rPr>
          <w:b/>
          <w:bCs/>
        </w:rPr>
        <w:t xml:space="preserve">[Z-2 · MUSS]</w:t>
      </w:r>
      <w:r>
        <w:t xml:space="preserve"> </w:t>
      </w:r>
      <w:r>
        <w:rPr>
          <w:b/>
          <w:bCs/>
        </w:rPr>
        <w:t xml:space="preserve">Deterministische Kombination.</w:t>
      </w:r>
      <w:r>
        <w:t xml:space="preserve"> Der Bedarf wird gedeckt, indem die </w:t>
      </w:r>
      <w:r>
        <w:rPr>
          <w:b/>
          <w:bCs/>
        </w:rPr>
        <w:t xml:space="preserve">größte geeignete</w:t>
      </w:r>
      <w:r>
        <w:t xml:space="preserve"> ausgewählte Standardgröße zuerst eingesetzt und mit </w:t>
      </w:r>
      <w:r>
        <w:rPr>
          <w:b/>
          <w:bCs/>
        </w:rPr>
        <w:t xml:space="preserve">kleineren</w:t>
      </w:r>
      <w:r>
        <w:t xml:space="preserve"> ausgewählten Größen aufgefüllt wird; das </w:t>
      </w:r>
      <w:r>
        <w:rPr>
          <w:b/>
          <w:bCs/>
        </w:rPr>
        <w:t xml:space="preserve">verbleibende Fertigmaß</w:t>
      </w:r>
      <w:r>
        <w:t xml:space="preserve"> ist ein </w:t>
      </w:r>
      <w:r>
        <w:rPr>
          <w:b/>
          <w:bCs/>
        </w:rPr>
        <w:t xml:space="preserve">sichtbar gekennzeichneter Sonderzuschnitt</w:t>
      </w:r>
      <w:r>
        <w:t xml:space="preserve"> aus dem </w:t>
      </w:r>
      <w:r>
        <w:rPr>
          <w:b/>
          <w:bCs/>
        </w:rPr>
        <w:t xml:space="preserve">kleinsten geeigneten</w:t>
      </w:r>
      <w:r>
        <w:t xml:space="preserve"> ausgewählten Ausgangsprodukt. Es gibt </w:t>
      </w:r>
      <w:r>
        <w:rPr>
          <w:b/>
          <w:bCs/>
        </w:rPr>
        <w:t xml:space="preserve">keine Sägefuge/Schnittverlust</w:t>
      </w:r>
      <w:r>
        <w:t xml:space="preserve">, </w:t>
      </w:r>
      <w:r>
        <w:rPr>
          <w:b/>
          <w:bCs/>
        </w:rPr>
        <w:t xml:space="preserve">keine Reststück-Wiederverwendung</w:t>
      </w:r>
      <w:r>
        <w:t xml:space="preserve"> und </w:t>
      </w:r>
      <w:r>
        <w:rPr>
          <w:b/>
          <w:bCs/>
        </w:rPr>
        <w:t xml:space="preserve">keine Einkaufs-/Verschnittoptimierung</w:t>
      </w:r>
      <w:r>
        <w:t xml:space="preserve">. Tie-Breaks sind deterministisch: Größen werden dedupliziert und absteigend geordnet, die Eingabereihenfolge ist ohne Wirkung; gleiche Eingaben liefern dieselbe Zuordnung. Der geometrische Bedarf wird dabei </w:t>
      </w:r>
      <w:r>
        <w:rPr>
          <w:b/>
          <w:bCs/>
        </w:rPr>
        <w:t xml:space="preserve">nie verändert</w:t>
      </w:r>
      <w:r>
        <w:t xml:space="preserve"> (</w:t>
      </w:r>
      <w:r>
        <w:rPr>
          <w:b/>
          <w:bCs/>
        </w:rPr>
        <w:t xml:space="preserve">[P-14]</w:t>
      </w:r>
      <w:r>
        <w:t xml:space="preserve">).</w:t>
      </w:r>
    </w:p>
    <w:p>
      <w:pPr>
        <w:pStyle w:val="ListParagraph"/>
        <w:numPr>
          <w:ilvl w:val="0"/>
          <w:numId w:val="2"/>
        </w:numPr>
        <w:spacing w:after="60"/>
      </w:pPr>
      <w:r>
        <w:rPr>
          <w:b/>
          <w:bCs/>
        </w:rPr>
        <w:t xml:space="preserve">[Z-3]</w:t>
      </w:r>
      <w:r>
        <w:t xml:space="preserve"> </w:t>
      </w:r>
      <w:r>
        <w:rPr>
          <w:b/>
          <w:bCs/>
        </w:rPr>
        <w:t xml:space="preserve">Gewindestangen.</w:t>
      </w:r>
      <w:r>
        <w:t xml:space="preserve"> Die Stücke eines Vorspannsegments sind </w:t>
      </w:r>
      <w:r>
        <w:rPr>
          <w:b/>
          <w:bCs/>
        </w:rPr>
        <w:t xml:space="preserve">echte Standardlängen</w:t>
      </w:r>
      <w:r>
        <w:t xml:space="preserve"> plus höchstens </w:t>
      </w:r>
      <w:r>
        <w:rPr>
          <w:b/>
          <w:bCs/>
        </w:rPr>
        <w:t xml:space="preserve">ein</w:t>
      </w:r>
      <w:r>
        <w:t xml:space="preserve"> Sonderzuschnitt; ein Stoß ist eine Kopplung. Die so entstehende Stückliste je Segment ist die </w:t>
      </w:r>
      <w:r>
        <w:rPr>
          <w:b/>
          <w:bCs/>
        </w:rPr>
        <w:t xml:space="preserve">kanonische Ableitung</w:t>
      </w:r>
      <w:r>
        <w:t xml:space="preserve">: Stückzahl, Kopplungsanzahl, Kopplungshöhen der Montageunterlage und die Mengen der Stückliste lesen ausschließlich sie. Eine zweite Rechnung aus einer pauschalen Stangenlänge ist unzulässig (</w:t>
      </w:r>
      <w:r>
        <w:rPr>
          <w:b/>
          <w:bCs/>
        </w:rPr>
        <w:t xml:space="preserve">[P-6]</w:t>
      </w:r>
      <w:r>
        <w:t xml:space="preserve">); die Kopplungshöhen sind die Kumulativsummen der Stücke und daher nicht mehr zwingend gleichabständig.</w:t>
      </w:r>
    </w:p>
    <w:p>
      <w:pPr>
        <w:pStyle w:val="ListParagraph"/>
        <w:numPr>
          <w:ilvl w:val="0"/>
          <w:numId w:val="2"/>
        </w:numPr>
        <w:spacing w:after="60"/>
      </w:pPr>
      <w:r>
        <w:rPr>
          <w:b/>
          <w:bCs/>
        </w:rPr>
        <w:t xml:space="preserve">[Z-4]</w:t>
      </w:r>
      <w:r>
        <w:t xml:space="preserve"> </w:t>
      </w:r>
      <w:r>
        <w:rPr>
          <w:b/>
          <w:bCs/>
        </w:rPr>
        <w:t xml:space="preserve">Latten und Platten.</w:t>
      </w:r>
      <w:r>
        <w:t xml:space="preserve"> Bei Latten bestimmen die </w:t>
      </w:r>
      <w:r>
        <w:rPr>
          <w:b/>
          <w:bCs/>
        </w:rPr>
        <w:t xml:space="preserve">Muss-Regeln der Befestigung</w:t>
      </w:r>
      <w:r>
        <w:t xml:space="preserve"> das Fertigmaß: Stückgrenzen folgen [U-8]/[U-12] (Stoß mittig zwischen zwei Verbindern) und haben </w:t>
      </w:r>
      <w:r>
        <w:rPr>
          <w:b/>
          <w:bCs/>
        </w:rPr>
        <w:t xml:space="preserve">Vorrang</w:t>
      </w:r>
      <w:r>
        <w:t xml:space="preserve"> vor der Größenpräferenz aus [Z-2]. Die ausgewählten Standardlängen wirken deshalb als </w:t>
      </w:r>
      <w:r>
        <w:rPr>
          <w:b/>
          <w:bCs/>
        </w:rPr>
        <w:t xml:space="preserve">Obergrenze</w:t>
      </w:r>
      <w:r>
        <w:t xml:space="preserve"> der Stückbildung und als </w:t>
      </w:r>
      <w:r>
        <w:rPr>
          <w:b/>
          <w:bCs/>
        </w:rPr>
        <w:t xml:space="preserve">Ausgangsprodukt</w:t>
      </w:r>
      <w:r>
        <w:t xml:space="preserve"> je Stück (kleinste geeignete Größe); ein Stück, dessen Fertigmaß keiner Standardlänge entspricht, ist ein gekennzeichneter Sonderzuschnitt. Für </w:t>
      </w:r>
      <w:r>
        <w:rPr>
          <w:b/>
          <w:bCs/>
        </w:rPr>
        <w:t xml:space="preserve">Platten</w:t>
      </w:r>
      <w:r>
        <w:t xml:space="preserve"> wird die Auswahl nach [Z-1] als Datenquelle gespeichert und ist programmgesteuert lesbar; die </w:t>
      </w:r>
      <w:r>
        <w:rPr>
          <w:b/>
          <w:bCs/>
        </w:rPr>
        <w:t xml:space="preserve">2D-Belegungs-/Zuschnittableitung bleibt #19</w:t>
      </w:r>
      <w:r>
        <w:t xml:space="preserve"> – hier entsteht keine Plattenmenge und keine Kostenzeile.</w:t>
      </w:r>
    </w:p>
    <w:p>
      <w:pPr>
        <w:pStyle w:val="ListParagraph"/>
        <w:numPr>
          <w:ilvl w:val="0"/>
          <w:numId w:val="2"/>
        </w:numPr>
        <w:spacing w:after="60"/>
      </w:pPr>
      <w:r>
        <w:rPr>
          <w:b/>
          <w:bCs/>
        </w:rPr>
        <w:t xml:space="preserve">[Z-5 · MUSS]</w:t>
      </w:r>
      <w:r>
        <w:t xml:space="preserve"> </w:t>
      </w:r>
      <w:r>
        <w:rPr>
          <w:b/>
          <w:bCs/>
        </w:rPr>
        <w:t xml:space="preserve">Mindest-Fertigmaß.</w:t>
      </w:r>
      <w:r>
        <w:t xml:space="preserve"> Ein Zuschnitt unter </w:t>
      </w:r>
      <w:r>
        <w:rPr>
          <w:b/>
          <w:bCs/>
        </w:rPr>
        <w:t xml:space="preserve">200 mm</w:t>
      </w:r>
      <w:r>
        <w:t xml:space="preserve"> ist nicht einbaubar. Diese Baubarkeitsregel steht </w:t>
      </w:r>
      <w:r>
        <w:rPr>
          <w:b/>
          <w:bCs/>
        </w:rPr>
        <w:t xml:space="preserve">über</w:t>
      </w:r>
      <w:r>
        <w:t xml:space="preserve"> der Größenpräferenz aus [Z-2]: eine Standardgröße wird nur gewählt, wenn der danach verbleibende Rest 0 ist, mindestens das Mindest-Fertigmaß erreicht oder mit einer weiteren ausgewählten Größe auffüllbar ist. Lässt der Vorratssatz </w:t>
      </w:r>
      <w:r>
        <w:rPr>
          <w:b/>
          <w:bCs/>
        </w:rPr>
        <w:t xml:space="preserve">keine</w:t>
      </w:r>
      <w:r>
        <w:t xml:space="preserve"> solche Wahl zu (typisch: nur eine einzige Standardlänge), bleibt die Größenpräferenz erhalten und der Konflikt wird </w:t>
      </w:r>
      <w:r>
        <w:rPr>
          <w:b/>
          <w:bCs/>
        </w:rPr>
        <w:t xml:space="preserve">sichtbar gemeldet</w:t>
      </w:r>
      <w:r>
        <w:t xml:space="preserve"> (validation.zuschnitt_konflikte, Warnung in Modul 1/2) – es entsteht </w:t>
      </w:r>
      <w:r>
        <w:rPr>
          <w:b/>
          <w:bCs/>
        </w:rPr>
        <w:t xml:space="preserve">niemals still</w:t>
      </w:r>
      <w:r>
        <w:t xml:space="preserve"> ein nicht einbaubares Kurzstück und </w:t>
      </w:r>
      <w:r>
        <w:rPr>
          <w:b/>
          <w:bCs/>
        </w:rPr>
        <w:t xml:space="preserve">keine erfundene Länge</w:t>
      </w:r>
      <w:r>
        <w:t xml:space="preserve">. Der Konflikt ist </w:t>
      </w:r>
      <w:r>
        <w:rPr>
          <w:b/>
          <w:bCs/>
        </w:rPr>
        <w:t xml:space="preserve">kein</w:t>
      </w:r>
      <w:r>
        <w:t xml:space="preserve"> Baubarkeitsausschluss: Mengen und Geometrie bleiben unverändert, die Meldung benennt das betroffene Fertigmaß und den Weg (weitere Standardgröße wählen).</w:t>
      </w:r>
    </w:p>
    <w:p>
      <w:pPr>
        <w:pBdr>
          <w:left w:val="single" w:color="E0B400" w:sz="18" w:space="6"/>
        </w:pBdr>
        <w:shd w:fill="FFF8E6" w:val="clear"/>
        <w:spacing w:after="120" w:before="80"/>
      </w:pPr>
      <w:r>
        <w:t xml:space="preserve">Herkunft [Z-1]…[Z-5]: Issue #35 mit den bestätigten Zuschnittentscheidungen aus #19. Zuvor steuerten freie Eingabefelder (rodCm bzw. latten.stange_cm) die Stoß-/Kopplungsgeometrie parallel zum Katalog, und die Stückliste kannte nur EINE Standardlänge je Rolle – mehrere gewählte Größen erschienen dadurch als „mehrdeutig“ und blieben unbepreist. Es fehlten Regeln für die Maßquelle, für die Kombination und für das Mindest-Fertigmaß. Folge: Positionen entstehen jetzt je verwendeter Standardgröße bzw. je Ausgangsprodukt, damit die Preisauflösung nach </w:t>
      </w:r>
      <w:r>
        <w:rPr>
          <w:b/>
          <w:bCs/>
        </w:rPr>
        <w:t xml:space="preserve">[P-14]</w:t>
      </w:r>
      <w:r>
        <w:t xml:space="preserve"> wieder eindeutig ist; die vollständige Einbauteil-/ID-Kennzeichnung bleibt #22, die 2D-Plattenplanung #19.</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1AA"/>
        <w:sz w:val="16"/>
        <w:szCs w:val="16"/>
      </w:rPr>
      <w:t xml:space="preserve">Planungshilfe – Berechnungen vom Tragwerksplaner zu bestätigen · Seite </w:t>
    </w:r>
    <w:r>
      <w:rPr>
        <w:color w:val="9AA1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AA1AA"/>
        <w:sz w:val="16"/>
        <w:szCs w:val="16"/>
      </w:rPr>
      <w:t xml:space="preserve">SEMBLA Planungs-Suite – Handbuch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top w:val="single" w:color="13202E" w:sz="12" w:space="6"/>
      </w:pBdr>
      <w:spacing w:after="140" w:before="320"/>
      <w:outlineLvl w:val="0"/>
    </w:pPr>
    <w:rPr>
      <w:rFonts w:ascii="Arial" w:cs="Arial" w:eastAsia="Arial" w:hAnsi="Arial"/>
      <w:b/>
      <w:bCs/>
      <w:color w:val="13202E"/>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13202E"/>
      <w:sz w:val="25"/>
      <w:szCs w:val="25"/>
    </w:rPr>
  </w:style>
  <w:style w:type="paragraph" w:styleId="Heading3">
    <w:name w:val="Heading 3"/>
    <w:basedOn w:val="Normal"/>
    <w:next w:val="Normal"/>
    <w:qFormat/>
    <w:pPr>
      <w:spacing w:after="80" w:before="160"/>
      <w:outlineLvl w:val="2"/>
    </w:pPr>
    <w:rPr>
      <w:rFonts w:ascii="Arial" w:cs="Arial" w:eastAsia="Arial" w:hAnsi="Arial"/>
      <w:b/>
      <w:bCs/>
      <w:color w:val="33414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SEMBLA Planungs-Suite – Handbuch</dc:title>
  <dc:creator>SEMBLA Planungs-Suite</dc:creator>
  <cp:lastModifiedBy>Un-named</cp:lastModifiedBy>
  <cp:revision>1</cp:revision>
  <dcterms:created xsi:type="dcterms:W3CDTF">2026-08-05T14:52:13.314Z</dcterms:created>
  <dcterms:modified xsi:type="dcterms:W3CDTF">2026-08-05T14:52:13.315Z</dcterms:modified>
</cp:coreProperties>
</file>

<file path=docProps/custom.xml><?xml version="1.0" encoding="utf-8"?>
<Properties xmlns="http://schemas.openxmlformats.org/officeDocument/2006/custom-properties" xmlns:vt="http://schemas.openxmlformats.org/officeDocument/2006/docPropsVTypes"/>
</file>