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gehen in keine Auswahl, keine Kollisionsprüfung (</w:t>
      </w:r>
      <w:r>
        <w:rPr>
          <w:b/>
          <w:bCs/>
        </w:rPr>
        <w:t xml:space="preserve">[K-13]</w:t>
      </w:r>
      <w:r>
        <w:t xml:space="preserve">) und keine Bemaßung ein, ihre Sichtbarkeit wird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die Bemaßung unmittelbar in der Zeichnung bedienbar: der Doppelklick auf die Maßzahl öffnet das Eingabefeld nicht mehr nur in der Seitenleiste, sondern an Ort und Stelle – Enter übernimmt, Escape verwirft, ein Fokusverlust übernimmt einen gültigen Wert, ein ungültiger ändert nichts und wird begründet gemeldet, statt gerundet oder still verworfen zu werden (</w:t>
      </w:r>
      <w:r>
        <w:rPr>
          <w:b/>
          <w:bCs/>
        </w:rPr>
        <w:t xml:space="preserve">[K-12]</w:t>
      </w:r>
      <w:r>
        <w:t xml:space="preserve">, </w:t>
      </w:r>
      <w:r>
        <w:rPr>
          <w:b/>
          <w:bCs/>
        </w:rPr>
        <w:t xml:space="preserve">[P-9]</w:t>
      </w:r>
      <w:r>
        <w:t xml:space="preserve">). Geschrieben wird ausschließlich über den vorhandenen Weg, sodass die Bedeutung eines Maßes unverändert bleibt (</w:t>
      </w:r>
      <w:r>
        <w:rPr>
          <w:b/>
          <w:bCs/>
        </w:rPr>
        <w:t xml:space="preserve">[K-3]</w:t>
      </w:r>
      <w:r>
        <w:t xml:space="preserve">) und Längenmaß (</w:t>
      </w:r>
      <w:r>
        <w:rPr>
          <w:b/>
          <w:bCs/>
        </w:rPr>
        <w:t xml:space="preserve">[K-11]</w:t>
      </w:r>
      <w:r>
        <w:t xml:space="preserve">), Widerspruch (</w:t>
      </w:r>
      <w:r>
        <w:rPr>
          <w:b/>
          <w:bCs/>
        </w:rPr>
        <w:t xml:space="preserve">[K-6]</w:t>
      </w:r>
      <w:r>
        <w:t xml:space="preserve">), Redundanz (</w:t>
      </w:r>
      <w:r>
        <w:rPr>
          <w:b/>
          <w:bCs/>
        </w:rPr>
        <w:t xml:space="preserve">[K-7]</w:t>
      </w:r>
      <w:r>
        <w:t xml:space="preserve">) und Rückgängig (</w:t>
      </w:r>
      <w:r>
        <w:rPr>
          <w:b/>
          <w:bCs/>
        </w:rPr>
        <w:t xml:space="preserve">[K-10]</w:t>
      </w:r>
      <w:r>
        <w:t xml:space="preserve">) unverändert greifen. Zusätzlich lässt sich die dargestellte Maßzahl verschieben: das optionale Feld text_mm der Bemaßung ist ausschließlich ihre Beschriftungsposition, verschiebt weder Maßlinie noch Bezugspunkt, ändert keinen Maßwert und geht nicht in den Löser ein (</w:t>
      </w:r>
      <w:r>
        <w:rPr>
          <w:b/>
          <w:bCs/>
        </w:rPr>
        <w:t xml:space="preserve">[K-5]</w:t>
      </w:r>
      <w:r>
        <w:t xml:space="preserve">); fehlt es, gilt unverändert die automatisch berechnete Stelle. Auch das begründet keine neue Regel und keinen Schema- oder Formatversionsbump – das Feld war im Datenmodell bereits vorgesehen und im Bestand nie gesetzt.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2026-08-10T08:41:01.187Z</dcterms:created>
  <dcterms:modified xsi:type="dcterms:W3CDTF">2026-08-10T08:41:01.187Z</dcterms:modified>
</cp:coreProperties>
</file>

<file path=docProps/custom.xml><?xml version="1.0" encoding="utf-8"?>
<Properties xmlns="http://schemas.openxmlformats.org/officeDocument/2006/custom-properties" xmlns:vt="http://schemas.openxmlformats.org/officeDocument/2006/docPropsVTypes"/>
</file>