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die Höhe ist eine </w:t>
      </w:r>
      <w:r>
        <w:rPr>
          <w:b/>
          <w:bCs/>
        </w:rPr>
        <w:t xml:space="preserve">freie Zielhöhe</w:t>
      </w:r>
      <w:r>
        <w:t xml:space="preserve">, die in reguläre 200-mm-Lagen und bei Resthöhe in </w:t>
      </w:r>
      <w:r>
        <w:rPr>
          <w:b/>
          <w:bCs/>
        </w:rPr>
        <w:t xml:space="preserve">genau eine obere Ausgleichslage</w:t>
      </w:r>
      <w:r>
        <w:t xml:space="preserve"> zerlegt wird ([G-2], [G-13], [G-14]) – ist die Ausgleichslage nicht aktiviert, bleibt eine nicht durch 200 mm teilbare Höhe ein sichtbarer Konflikt. FORBIDDEN_N-Breiten sind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Abdichtung</w:t>
      </w:r>
    </w:p>
    <w:p>
      <w:pPr>
        <w:spacing w:after="120"/>
      </w:pPr>
      <w:r>
        <w:t xml:space="preserve">Die vertikalen Stoßfugen zwischen Steinen werden gezählt (bom.stossfugen). Für erhöhte Anforderungen (z. B. Schallschutz) wird in jede innere Stoßfuge ein Abdichtungsstreifen eingelegt – je nach gewähltem Produkt ein Dichtstreifen oder ein Gipsfaserstreifen, je Fuge über die </w:t>
      </w:r>
      <w:r>
        <w:rPr>
          <w:b/>
          <w:bCs/>
        </w:rPr>
        <w:t xml:space="preserve">reale Höhe der Lage</w:t>
      </w:r>
      <w:r>
        <w:t xml:space="preserve">, in der die Fuge liegt (in einer Regellage 20 cm, in einer Ausgleichslage nach [G-13] deren reales Maß, siehe [A-6]/[G-19]);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die Stoßfugen-Abdichtung führt, siehe [A-6]. WAS in die Fugen kommt, ist keine eigene Zeile und kein eigenes Merkmal, sondern allein die Produktwahl der Verwendungsstelle „Stoßfugen-Abdichtung – Einbauposition“ (Rolle dicht_stk, gewählt in Modul 1 bzw. im Sammel-Editor): der Standardkatalog führt dafür seit Fassung v6 neben dem vorbelegten Dichtstreifen den Gipsfaserstreifen 200 × 20 × 10 mm.</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unterkante_mm, oberkante_mm, hoehe_mm, stones:[{x0,x1,type}]} (mm); die Ausgleichslage trägt zusätzlich ausgleich=true ([G-13], [G-15])</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ausgleichslage_aktiv</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optional; nur ein ausdrückliches true erlaubt die obere Ausgleichslage einer freien Zielhöhe ([G-14])</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unter dem Gesamtmaß steht eine Maßkette der Bodenblechteile, die je Teil das Stücklistenmaß nennt (Standardblech Rastermaß, Sonderzuschnitt ◆ Fertigmaß) und eine Aussparung als Lücke zeigt – so ist ablesbar, welches Blech wo liegt;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regulär COURSE = 200 mm hoch. Jede Lage führt ihre realen Kanten (unterkante_mm, oberkante_mm, hoehe_mm)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Ausgleichslage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genau eine oberste Lage mit der Resthöhe einer freien Zielhöhe (ausgleich = true), siehe [G-13]</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w:t>
      </w:r>
      <w:r>
        <w:rPr>
          <w:b/>
          <w:bCs/>
        </w:rPr>
        <w:t xml:space="preserve">Lagenhöhe COURSE = 200 mm</w:t>
      </w:r>
      <w:r>
        <w:t xml:space="preserve"> – das ist und bleibt die </w:t>
      </w:r>
      <w:r>
        <w:rPr>
          <w:b/>
          <w:bCs/>
        </w:rPr>
        <w:t xml:space="preserve">reguläre</w:t>
      </w:r>
      <w:r>
        <w:t xml:space="preserve"> Lagenhöhe einer gemauerten Steinreihe. Die </w:t>
      </w:r>
      <w:r>
        <w:rPr>
          <w:b/>
          <w:bCs/>
        </w:rPr>
        <w:t xml:space="preserve">Wandhöhe</w:t>
      </w:r>
      <w:r>
        <w:t xml:space="preserve"> ist dagegen </w:t>
      </w:r>
      <w:r>
        <w:rPr>
          <w:b/>
          <w:bCs/>
        </w:rPr>
        <w:t xml:space="preserve">keine</w:t>
      </w:r>
      <w:r>
        <w:t xml:space="preserve"> an dieses Raster gebundene Größe mehr: sie ist eine </w:t>
      </w:r>
      <w:r>
        <w:rPr>
          <w:b/>
          <w:bCs/>
        </w:rPr>
        <w:t xml:space="preserve">freie Zielhöhe</w:t>
      </w:r>
      <w:r>
        <w:t xml:space="preserve"> und wird nach </w:t>
      </w:r>
      <w:r>
        <w:rPr>
          <w:b/>
          <w:bCs/>
        </w:rPr>
        <w:t xml:space="preserve">[G-13]</w:t>
      </w:r>
      <w:r>
        <w:t xml:space="preserve"> zerlegt. Die frühere Fassung „Wandhöhe = Vielfaches von 200 mm“ ist damit </w:t>
      </w:r>
      <w:r>
        <w:rPr>
          <w:b/>
          <w:bCs/>
        </w:rPr>
        <w:t xml:space="preserve">abgelöst</w:t>
      </w:r>
      <w:r>
        <w:t xml:space="preserve"> und ist </w:t>
      </w:r>
      <w:r>
        <w:rPr>
          <w:b/>
          <w:bCs/>
        </w:rPr>
        <w:t xml:space="preserve">keine</w:t>
      </w:r>
      <w:r>
        <w:t xml:space="preserve"> Eingabebedingung mehr; sie lebt allein als </w:t>
      </w:r>
      <w:r>
        <w:rPr>
          <w:b/>
          <w:bCs/>
        </w:rPr>
        <w:t xml:space="preserve">Folge von [G-14]</w:t>
      </w:r>
      <w:r>
        <w:t xml:space="preserve"> fort – nämlich dann, wenn die Ausgleichslage an einer Wand nicht ausdrücklich aktiviert ist. COURSE wird dabei </w:t>
      </w:r>
      <w:r>
        <w:rPr>
          <w:b/>
          <w:bCs/>
        </w:rPr>
        <w:t xml:space="preserve">nicht umgedeutet</w:t>
      </w:r>
      <w:r>
        <w:t xml:space="preserve">: eine Ausgleichslage ist eine </w:t>
      </w:r>
      <w:r>
        <w:rPr>
          <w:b/>
          <w:bCs/>
        </w:rPr>
        <w:t xml:space="preserve">zusätzliche</w:t>
      </w:r>
      <w:r>
        <w:t xml:space="preserve"> oberste Lage, keine andere Regellagenhöhe.</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ListParagraph"/>
        <w:numPr>
          <w:ilvl w:val="0"/>
          <w:numId w:val="2"/>
        </w:numPr>
        <w:spacing w:after="60"/>
      </w:pPr>
      <w:r>
        <w:rPr>
          <w:b/>
          <w:bCs/>
        </w:rPr>
        <w:t xml:space="preserve">[G-13 · MUSS]</w:t>
      </w:r>
      <w:r>
        <w:t xml:space="preserve"> </w:t>
      </w:r>
      <w:r>
        <w:rPr>
          <w:b/>
          <w:bCs/>
        </w:rPr>
        <w:t xml:space="preserve">Freie Zielhöhe, genau eine obere Ausgleichslage.</w:t>
      </w:r>
      <w:r>
        <w:t xml:space="preserve"> Die </w:t>
      </w:r>
      <w:r>
        <w:rPr>
          <w:b/>
          <w:bCs/>
        </w:rPr>
        <w:t xml:space="preserve">Zielhöhe H</w:t>
      </w:r>
      <w:r>
        <w:t xml:space="preserve"> einer Wand wird an </w:t>
      </w:r>
      <w:r>
        <w:rPr>
          <w:b/>
          <w:bCs/>
        </w:rPr>
        <w:t xml:space="preserve">genau einer</w:t>
      </w:r>
      <w:r>
        <w:t xml:space="preserve"> Stelle in Lagen zerlegt: </w:t>
      </w:r>
      <w:r>
        <w:rPr>
          <w:b/>
          <w:bCs/>
        </w:rPr>
        <w:t xml:space="preserve">n = ⌊H / COURSE⌋</w:t>
      </w:r>
      <w:r>
        <w:t xml:space="preserve"> reguläre Lagen zu COURSE, dazu die </w:t>
      </w:r>
      <w:r>
        <w:rPr>
          <w:b/>
          <w:bCs/>
        </w:rPr>
        <w:t xml:space="preserve">Resthöhe rest = H − n · COURSE</w:t>
      </w:r>
      <w:r>
        <w:t xml:space="preserve">. Ist </w:t>
      </w:r>
      <w:r>
        <w:rPr>
          <w:b/>
          <w:bCs/>
        </w:rPr>
        <w:t xml:space="preserve">rest &gt; 0</w:t>
      </w:r>
      <w:r>
        <w:t xml:space="preserve"> und die Ausgleichslage an dieser Wand nach </w:t>
      </w:r>
      <w:r>
        <w:rPr>
          <w:b/>
          <w:bCs/>
        </w:rPr>
        <w:t xml:space="preserve">[G-14]</w:t>
      </w:r>
      <w:r>
        <w:t xml:space="preserve"> aktiviert, entsteht </w:t>
      </w:r>
      <w:r>
        <w:rPr>
          <w:b/>
          <w:bCs/>
        </w:rPr>
        <w:t xml:space="preserve">genau eine</w:t>
      </w:r>
      <w:r>
        <w:t xml:space="preserve"> zusätzliche </w:t>
      </w:r>
      <w:r>
        <w:rPr>
          <w:b/>
          <w:bCs/>
        </w:rPr>
        <w:t xml:space="preserve">oberste</w:t>
      </w:r>
      <w:r>
        <w:t xml:space="preserve"> Lage mit der </w:t>
      </w:r>
      <w:r>
        <w:rPr>
          <w:b/>
          <w:bCs/>
        </w:rPr>
        <w:t xml:space="preserve">realen Höhe rest</w:t>
      </w:r>
      <w:r>
        <w:t xml:space="preserve">. Sie liegt </w:t>
      </w:r>
      <w:r>
        <w:rPr>
          <w:b/>
          <w:bCs/>
        </w:rPr>
        <w:t xml:space="preserve">immer an der globalen Oberkante</w:t>
      </w:r>
      <w:r>
        <w:t xml:space="preserve"> der Wand – </w:t>
      </w:r>
      <w:r>
        <w:rPr>
          <w:b/>
          <w:bCs/>
        </w:rPr>
        <w:t xml:space="preserve">nie tiefer</w:t>
      </w:r>
      <w:r>
        <w:t xml:space="preserve">, </w:t>
      </w:r>
      <w:r>
        <w:rPr>
          <w:b/>
          <w:bCs/>
        </w:rPr>
        <w:t xml:space="preserve">nie mehrfach</w:t>
      </w:r>
      <w:r>
        <w:t xml:space="preserve"> und </w:t>
      </w:r>
      <w:r>
        <w:rPr>
          <w:b/>
          <w:bCs/>
        </w:rPr>
        <w:t xml:space="preserve">nie</w:t>
      </w:r>
      <w:r>
        <w:t xml:space="preserve"> je Längsabschnitt verschieden. </w:t>
      </w:r>
      <w:r>
        <w:rPr>
          <w:b/>
          <w:bCs/>
        </w:rPr>
        <w:t xml:space="preserve">H wird in keinem Pfad gerundet</w:t>
      </w:r>
      <w:r>
        <w:t xml:space="preserve">, weder auf noch ab. Es wird </w:t>
      </w:r>
      <w:r>
        <w:rPr>
          <w:b/>
          <w:bCs/>
        </w:rPr>
        <w:t xml:space="preserve">keine</w:t>
      </w:r>
      <w:r>
        <w:t xml:space="preserve"> reguläre Lage entfernt, und es werden </w:t>
      </w:r>
      <w:r>
        <w:rPr>
          <w:b/>
          <w:bCs/>
        </w:rPr>
        <w:t xml:space="preserve">niemals mehrere niedrigere Lagen</w:t>
      </w:r>
      <w:r>
        <w:t xml:space="preserve"> zu der Resthöhe </w:t>
      </w:r>
      <w:r>
        <w:rPr>
          <w:b/>
          <w:bCs/>
        </w:rPr>
        <w:t xml:space="preserve">kombiniert</w:t>
      </w:r>
      <w:r>
        <w:t xml:space="preserve">: einen Optimierer über Steinhöhen gibt es ausdrücklich </w:t>
      </w:r>
      <w:r>
        <w:rPr>
          <w:b/>
          <w:bCs/>
        </w:rPr>
        <w:t xml:space="preserve">nicht</w:t>
      </w:r>
      <w:r>
        <w:t xml:space="preserve">. </w:t>
      </w:r>
      <w:r>
        <w:rPr>
          <w:b/>
          <w:bCs/>
        </w:rPr>
        <w:t xml:space="preserve">Staffelungen ([G-9]) bleiben im 200-mm-Raster</w:t>
      </w:r>
      <w:r>
        <w:t xml:space="preserve"> – eine Stufe ist eine Absenkung der Oberkante um ganze Regellagen und </w:t>
      </w:r>
      <w:r>
        <w:rPr>
          <w:b/>
          <w:bCs/>
        </w:rPr>
        <w:t xml:space="preserve">keine</w:t>
      </w:r>
      <w:r>
        <w:t xml:space="preserve"> zweite Ausgleichslage; die Ausgleichslage sitzt auf der Maximalhöhe der Wand. Priorität: </w:t>
      </w:r>
      <w:r>
        <w:rPr>
          <w:b/>
          <w:bCs/>
        </w:rPr>
        <w:t xml:space="preserve">Geometrieregel der Stufe 1</w:t>
      </w:r>
      <w:r>
        <w:t xml:space="preserve">, gleichrangig mit [G-1]/[G-3]. Stand: </w:t>
      </w:r>
      <w:r>
        <w:rPr>
          <w:b/>
          <w:bCs/>
        </w:rPr>
        <w:t xml:space="preserve">im Rechenkern und im Python-Orakel umgesetzt und regressionsgetestet</w:t>
      </w:r>
      <w:r>
        <w:t xml:space="preserve"> (hoehenZerlegung / hoehen_zerlegung, bit-genau gleich).</w:t>
      </w:r>
    </w:p>
    <w:p>
      <w:pPr>
        <w:pStyle w:val="ListParagraph"/>
        <w:numPr>
          <w:ilvl w:val="0"/>
          <w:numId w:val="2"/>
        </w:numPr>
        <w:spacing w:after="60"/>
      </w:pPr>
      <w:r>
        <w:rPr>
          <w:b/>
          <w:bCs/>
        </w:rPr>
        <w:t xml:space="preserve">[G-14 · MUSS]</w:t>
      </w:r>
      <w:r>
        <w:t xml:space="preserve"> </w:t>
      </w:r>
      <w:r>
        <w:rPr>
          <w:b/>
          <w:bCs/>
        </w:rPr>
        <w:t xml:space="preserve">Die Ausgleichslage wird ausdrücklich aktiviert; sonst sichtbarer Konflikt.</w:t>
      </w:r>
      <w:r>
        <w:t xml:space="preserve"> Eine Ausgleichslage entsteht </w:t>
      </w:r>
      <w:r>
        <w:rPr>
          <w:b/>
          <w:bCs/>
        </w:rPr>
        <w:t xml:space="preserve">nur</w:t>
      </w:r>
      <w:r>
        <w:t xml:space="preserve">, wenn sie am Wandelement </w:t>
      </w:r>
      <w:r>
        <w:rPr>
          <w:b/>
          <w:bCs/>
        </w:rPr>
        <w:t xml:space="preserve">ausdrücklich aktiviert</w:t>
      </w:r>
      <w:r>
        <w:t xml:space="preserve"> ist – optionales Feld </w:t>
      </w:r>
      <w:r>
        <w:rPr>
          <w:b/>
          <w:bCs/>
        </w:rPr>
        <w:t xml:space="preserve">wandelement.ausgleichslage_aktiv</w:t>
      </w:r>
      <w:r>
        <w:t xml:space="preserve">, und </w:t>
      </w:r>
      <w:r>
        <w:rPr>
          <w:b/>
          <w:bCs/>
        </w:rPr>
        <w:t xml:space="preserve">nur ein ausdrückliches true</w:t>
      </w:r>
      <w:r>
        <w:t xml:space="preserve"> aktiviert. Ein fehlendes Feld, ein leerer Wert oder eine bloß wahrheitsähnliche Angabe aktiviert </w:t>
      </w:r>
      <w:r>
        <w:rPr>
          <w:b/>
          <w:bCs/>
        </w:rPr>
        <w:t xml:space="preserve">nicht</w:t>
      </w:r>
      <w:r>
        <w:t xml:space="preserve">; </w:t>
      </w:r>
      <w:r>
        <w:rPr>
          <w:b/>
          <w:bCs/>
        </w:rPr>
        <w:t xml:space="preserve">Altbestand ohne das Feld verhält sich unverändert</w:t>
      </w:r>
      <w:r>
        <w:t xml:space="preserve">. Ist die Ausgleichslage </w:t>
      </w:r>
      <w:r>
        <w:rPr>
          <w:b/>
          <w:bCs/>
        </w:rPr>
        <w:t xml:space="preserve">nicht</w:t>
      </w:r>
      <w:r>
        <w:t xml:space="preserve"> aktiviert, bleibt eine nicht durch COURSE teilbare Zielhöhe ein </w:t>
      </w:r>
      <w:r>
        <w:rPr>
          <w:b/>
          <w:bCs/>
        </w:rPr>
        <w:t xml:space="preserve">benannter Konflikt</w:t>
      </w:r>
      <w:r>
        <w:t xml:space="preserve">: sie wird </w:t>
      </w:r>
      <w:r>
        <w:rPr>
          <w:b/>
          <w:bCs/>
        </w:rPr>
        <w:t xml:space="preserve">abgewiesen und gemeldet</w:t>
      </w:r>
      <w:r>
        <w:t xml:space="preserve"> – Grund </w:t>
      </w:r>
      <w:r>
        <w:rPr>
          <w:b/>
          <w:bCs/>
        </w:rPr>
        <w:t xml:space="preserve">hoehe_nicht_im_lagenraster</w:t>
      </w:r>
      <w:r>
        <w:t xml:space="preserve">, in den Ausgaben als </w:t>
      </w:r>
      <w:r>
        <w:rPr>
          <w:b/>
          <w:bCs/>
        </w:rPr>
        <w:t xml:space="preserve">AUSGLEICH_KONFLIKT</w:t>
      </w:r>
      <w:r>
        <w:t xml:space="preserve"> geführt –, </w:t>
      </w:r>
      <w:r>
        <w:rPr>
          <w:b/>
          <w:bCs/>
        </w:rPr>
        <w:t xml:space="preserve">nie still gerundet</w:t>
      </w:r>
      <w:r>
        <w:t xml:space="preserve">, </w:t>
      </w:r>
      <w:r>
        <w:rPr>
          <w:b/>
          <w:bCs/>
        </w:rPr>
        <w:t xml:space="preserve">nie still auf die nächste Lage gelegt</w:t>
      </w:r>
      <w:r>
        <w:t xml:space="preserve"> und </w:t>
      </w:r>
      <w:r>
        <w:rPr>
          <w:b/>
          <w:bCs/>
        </w:rPr>
        <w:t xml:space="preserve">nie stillschweigend durch eine Ausgleichslage ersetzt</w:t>
      </w:r>
      <w:r>
        <w:t xml:space="preserve"> (</w:t>
      </w:r>
      <w:r>
        <w:rPr>
          <w:b/>
          <w:bCs/>
        </w:rPr>
        <w:t xml:space="preserve">[P-6]</w:t>
      </w:r>
      <w:r>
        <w:t xml:space="preserve">/</w:t>
      </w:r>
      <w:r>
        <w:rPr>
          <w:b/>
          <w:bCs/>
        </w:rPr>
        <w:t xml:space="preserve">[P-9]</w:t>
      </w:r>
      <w:r>
        <w:t xml:space="preserve">). Priorität: </w:t>
      </w:r>
      <w:r>
        <w:rPr>
          <w:b/>
          <w:bCs/>
        </w:rPr>
        <w:t xml:space="preserve">Muss-Regel der Stufe 1</w:t>
      </w:r>
      <w:r>
        <w:t xml:space="preserve">; ein nicht auflösbarer Fall erzeugt den sichtbaren Konflikt statt eines stillen Fallbacks. Stand: </w:t>
      </w:r>
      <w:r>
        <w:rPr>
          <w:b/>
          <w:bCs/>
        </w:rPr>
        <w:t xml:space="preserve">umgesetzt und regressionsgetestet</w:t>
      </w:r>
      <w:r>
        <w:t xml:space="preserve">.</w:t>
      </w:r>
    </w:p>
    <w:p>
      <w:pPr>
        <w:pStyle w:val="ListParagraph"/>
        <w:numPr>
          <w:ilvl w:val="0"/>
          <w:numId w:val="2"/>
        </w:numPr>
        <w:spacing w:after="60"/>
      </w:pPr>
      <w:r>
        <w:rPr>
          <w:b/>
          <w:bCs/>
        </w:rPr>
        <w:t xml:space="preserve">[G-15 · MUSS]</w:t>
      </w:r>
      <w:r>
        <w:t xml:space="preserve"> </w:t>
      </w:r>
      <w:r>
        <w:rPr>
          <w:b/>
          <w:bCs/>
        </w:rPr>
        <w:t xml:space="preserve">Kanonische Lagenkanten.</w:t>
      </w:r>
      <w:r>
        <w:t xml:space="preserve"> Jede Lage in </w:t>
      </w:r>
      <w:r>
        <w:rPr>
          <w:b/>
          <w:bCs/>
        </w:rPr>
        <w:t xml:space="preserve">courses[]</w:t>
      </w:r>
      <w:r>
        <w:t xml:space="preserve"> trägt </w:t>
      </w:r>
      <w:r>
        <w:rPr>
          <w:b/>
          <w:bCs/>
        </w:rPr>
        <w:t xml:space="preserve">unterkante_mm</w:t>
      </w:r>
      <w:r>
        <w:t xml:space="preserve">, </w:t>
      </w:r>
      <w:r>
        <w:rPr>
          <w:b/>
          <w:bCs/>
        </w:rPr>
        <w:t xml:space="preserve">oberkante_mm</w:t>
      </w:r>
      <w:r>
        <w:t xml:space="preserve"> und </w:t>
      </w:r>
      <w:r>
        <w:rPr>
          <w:b/>
          <w:bCs/>
        </w:rPr>
        <w:t xml:space="preserve">hoehe_mm</w:t>
      </w:r>
      <w:r>
        <w:t xml:space="preserve">. Diese Felder sind die </w:t>
      </w:r>
      <w:r>
        <w:rPr>
          <w:b/>
          <w:bCs/>
        </w:rPr>
        <w:t xml:space="preserve">einzige</w:t>
      </w:r>
      <w:r>
        <w:t xml:space="preserve"> Quelle jeder Höhenaussage über eine Lage: </w:t>
      </w:r>
      <w:r>
        <w:rPr>
          <w:b/>
          <w:bCs/>
        </w:rPr>
        <w:t xml:space="preserve">keine</w:t>
      </w:r>
      <w:r>
        <w:t xml:space="preserve"> Ausgabe, </w:t>
      </w:r>
      <w:r>
        <w:rPr>
          <w:b/>
          <w:bCs/>
        </w:rPr>
        <w:t xml:space="preserve">keine</w:t>
      </w:r>
      <w:r>
        <w:t xml:space="preserve"> Mengenrechnung und </w:t>
      </w:r>
      <w:r>
        <w:rPr>
          <w:b/>
          <w:bCs/>
        </w:rPr>
        <w:t xml:space="preserve">keine</w:t>
      </w:r>
      <w:r>
        <w:t xml:space="preserve"> Zeichnung darf eine Lagenkante als „Lagenindex × 200 mm“ </w:t>
      </w:r>
      <w:r>
        <w:rPr>
          <w:b/>
          <w:bCs/>
        </w:rPr>
        <w:t xml:space="preserve">nachrechnen</w:t>
      </w:r>
      <w:r>
        <w:t xml:space="preserve"> (</w:t>
      </w:r>
      <w:r>
        <w:rPr>
          <w:b/>
          <w:bCs/>
        </w:rPr>
        <w:t xml:space="preserve">[P-6]</w:t>
      </w:r>
      <w:r>
        <w:t xml:space="preserve">). Die Kanten sind </w:t>
      </w:r>
      <w:r>
        <w:rPr>
          <w:b/>
          <w:bCs/>
        </w:rPr>
        <w:t xml:space="preserve">aufsteigend, lückenlos und überlappungsfrei</w:t>
      </w:r>
      <w:r>
        <w:t xml:space="preserve"> und enden </w:t>
      </w:r>
      <w:r>
        <w:rPr>
          <w:b/>
          <w:bCs/>
        </w:rPr>
        <w:t xml:space="preserve">exakt</w:t>
      </w:r>
      <w:r>
        <w:t xml:space="preserve"> auf der Zielhöhe. Das Feld </w:t>
      </w:r>
      <w:r>
        <w:rPr>
          <w:b/>
          <w:bCs/>
        </w:rPr>
        <w:t xml:space="preserve">ausgleich = true</w:t>
      </w:r>
      <w:r>
        <w:t xml:space="preserve"> steht </w:t>
      </w:r>
      <w:r>
        <w:rPr>
          <w:b/>
          <w:bCs/>
        </w:rPr>
        <w:t xml:space="preserve">ausschließlich</w:t>
      </w:r>
      <w:r>
        <w:t xml:space="preserve"> an der Ausgleichslage; eine reguläre Lage bekommt es nicht. Stand: </w:t>
      </w:r>
      <w:r>
        <w:rPr>
          <w:b/>
          <w:bCs/>
        </w:rPr>
        <w:t xml:space="preserve">umgesetzt und regressionsgetestet</w:t>
      </w:r>
      <w:r>
        <w:t xml:space="preserve">; alle Core-Leser beziehen ihre Kanten aus diesen Feldern.</w:t>
      </w:r>
    </w:p>
    <w:p>
      <w:pPr>
        <w:pStyle w:val="ListParagraph"/>
        <w:numPr>
          <w:ilvl w:val="0"/>
          <w:numId w:val="2"/>
        </w:numPr>
        <w:spacing w:after="60"/>
      </w:pPr>
      <w:r>
        <w:rPr>
          <w:b/>
          <w:bCs/>
        </w:rPr>
        <w:t xml:space="preserve">[G-16]</w:t>
      </w:r>
      <w:r>
        <w:t xml:space="preserve"> </w:t>
      </w:r>
      <w:r>
        <w:rPr>
          <w:b/>
          <w:bCs/>
        </w:rPr>
        <w:t xml:space="preserve">Ausgleichsstein aus dem Bauteilkatalog.</w:t>
      </w:r>
      <w:r>
        <w:t xml:space="preserve"> Die Steine der Ausgleichslage sind ein </w:t>
      </w:r>
      <w:r>
        <w:rPr>
          <w:b/>
          <w:bCs/>
        </w:rPr>
        <w:t xml:space="preserve">eigenes Katalogprodukt</w:t>
      </w:r>
      <w:r>
        <w:t xml:space="preserve"> – ein </w:t>
      </w:r>
      <w:r>
        <w:rPr>
          <w:b/>
          <w:bCs/>
        </w:rPr>
        <w:t xml:space="preserve">Ausgleichsstein</w:t>
      </w:r>
      <w:r>
        <w:t xml:space="preserve"> in den Systemlängen </w:t>
      </w:r>
      <w:r>
        <w:rPr>
          <w:b/>
          <w:bCs/>
        </w:rPr>
        <w:t xml:space="preserve">i2</w:t>
      </w:r>
      <w:r>
        <w:t xml:space="preserve"> und </w:t>
      </w:r>
      <w:r>
        <w:rPr>
          <w:b/>
          <w:bCs/>
        </w:rPr>
        <w:t xml:space="preserve">i3</w:t>
      </w:r>
      <w:r>
        <w:t xml:space="preserve"> –, dessen </w:t>
      </w:r>
      <w:r>
        <w:rPr>
          <w:b/>
          <w:bCs/>
        </w:rPr>
        <w:t xml:space="preserve">reale Höhe (hoehe_mm) ausschließlich aus dem Bauteilkatalog</w:t>
      </w:r>
      <w:r>
        <w:t xml:space="preserve"> kommt ([Z-1]-Muster); im Handbuch wird dafür </w:t>
      </w:r>
      <w:r>
        <w:rPr>
          <w:b/>
          <w:bCs/>
        </w:rPr>
        <w:t xml:space="preserve">keine Zahl</w:t>
      </w:r>
      <w:r>
        <w:t xml:space="preserve"> festgeschrieben. Deckt ein verfügbarer Ausgleichsstein die Resthöhe </w:t>
      </w:r>
      <w:r>
        <w:rPr>
          <w:b/>
          <w:bCs/>
        </w:rPr>
        <w:t xml:space="preserve">genau</w:t>
      </w:r>
      <w:r>
        <w:t xml:space="preserve">, wird er verwendet, und die Stückliste führt ihn als </w:t>
      </w:r>
      <w:r>
        <w:rPr>
          <w:b/>
          <w:bCs/>
        </w:rPr>
        <w:t xml:space="preserve">eigene Position mit seiner realen Höhe</w:t>
      </w:r>
      <w:r>
        <w:t xml:space="preserve"> (</w:t>
      </w:r>
      <w:r>
        <w:rPr>
          <w:b/>
          <w:bCs/>
        </w:rPr>
        <w:t xml:space="preserve">[P-19]</w:t>
      </w:r>
      <w:r>
        <w:t xml:space="preserve">) – </w:t>
      </w:r>
      <w:r>
        <w:rPr>
          <w:b/>
          <w:bCs/>
        </w:rPr>
        <w:t xml:space="preserve">nie</w:t>
      </w:r>
      <w:r>
        <w:t xml:space="preserve"> als Regelstein und </w:t>
      </w:r>
      <w:r>
        <w:rPr>
          <w:b/>
          <w:bCs/>
        </w:rPr>
        <w:t xml:space="preserve">nie</w:t>
      </w:r>
      <w:r>
        <w:t xml:space="preserve"> mit der Regellagenhöhe 200 mm. </w:t>
      </w:r>
      <w:r>
        <w:rPr>
          <w:b/>
          <w:bCs/>
        </w:rPr>
        <w:t xml:space="preserve">i3-Maximierung ([G-4])</w:t>
      </w:r>
      <w:r>
        <w:t xml:space="preserve">, </w:t>
      </w:r>
      <w:r>
        <w:rPr>
          <w:b/>
          <w:bCs/>
        </w:rPr>
        <w:t xml:space="preserve">Versatz ([G-5])</w:t>
      </w:r>
      <w:r>
        <w:t xml:space="preserve"> und die verbotenen Segmentbreiten ([G-6]) gelten in der Ausgleichslage </w:t>
      </w:r>
      <w:r>
        <w:rPr>
          <w:b/>
          <w:bCs/>
        </w:rPr>
        <w:t xml:space="preserve">unverändert</w:t>
      </w:r>
      <w:r>
        <w:t xml:space="preserve">. Stand: </w:t>
      </w:r>
      <w:r>
        <w:rPr>
          <w:b/>
          <w:bCs/>
        </w:rPr>
        <w:t xml:space="preserve">umgesetzt</w:t>
      </w:r>
      <w:r>
        <w:t xml:space="preserve"> (#136) – zwei wählbare Verwendungsrollen ausgl_i2/ausgl_i3, Maßbezug hoehe_mm gegen die reale Lagenhöhe, Auflösung nach </w:t>
      </w:r>
      <w:r>
        <w:rPr>
          <w:b/>
          <w:bCs/>
        </w:rPr>
        <w:t xml:space="preserve">[P-14]</w:t>
      </w:r>
      <w:r>
        <w:t xml:space="preserve">.</w:t>
      </w:r>
    </w:p>
    <w:p>
      <w:pPr>
        <w:pStyle w:val="ListParagraph"/>
        <w:numPr>
          <w:ilvl w:val="0"/>
          <w:numId w:val="2"/>
        </w:numPr>
        <w:spacing w:after="60"/>
      </w:pPr>
      <w:r>
        <w:rPr>
          <w:b/>
          <w:bCs/>
        </w:rPr>
        <w:t xml:space="preserve">[G-17]</w:t>
      </w:r>
      <w:r>
        <w:t xml:space="preserve"> </w:t>
      </w:r>
      <w:r>
        <w:rPr>
          <w:b/>
          <w:bCs/>
        </w:rPr>
        <w:t xml:space="preserve">Sonderzuschnitt der Ausgleichslage – ohne Mindesthöhe.</w:t>
      </w:r>
      <w:r>
        <w:t xml:space="preserve"> Deckt </w:t>
      </w:r>
      <w:r>
        <w:rPr>
          <w:b/>
          <w:bCs/>
        </w:rPr>
        <w:t xml:space="preserve">kein</w:t>
      </w:r>
      <w:r>
        <w:t xml:space="preserve"> Katalog-Ausgleichsstein die Resthöhe, entsteht die Ausgleichslage als ausdrücklich </w:t>
      </w:r>
      <w:r>
        <w:rPr>
          <w:b/>
          <w:bCs/>
        </w:rPr>
        <w:t xml:space="preserve">gekennzeichneter Sonderzuschnitt</w:t>
      </w:r>
      <w:r>
        <w:t xml:space="preserve"> auf das </w:t>
      </w:r>
      <w:r>
        <w:rPr>
          <w:b/>
          <w:bCs/>
        </w:rPr>
        <w:t xml:space="preserve">reale Maß</w:t>
      </w:r>
      <w:r>
        <w:t xml:space="preserve">; er trägt seine Höhe als Fertigmaß und erscheint als eigene Stücklistenposition (</w:t>
      </w:r>
      <w:r>
        <w:rPr>
          <w:b/>
          <w:bCs/>
        </w:rPr>
        <w:t xml:space="preserve">[P-19]</w:t>
      </w:r>
      <w:r>
        <w:t xml:space="preserve">). Für diesen Zuschnitt gilt </w:t>
      </w:r>
      <w:r>
        <w:rPr>
          <w:b/>
          <w:bCs/>
        </w:rPr>
        <w:t xml:space="preserve">keine Mindesthöhe</w:t>
      </w:r>
      <w:r>
        <w:t xml:space="preserve">: eine untere Schranke ist fachlich </w:t>
      </w:r>
      <w:r>
        <w:rPr>
          <w:b/>
          <w:bCs/>
        </w:rPr>
        <w:t xml:space="preserve">nicht festgelegt</w:t>
      </w:r>
      <w:r>
        <w:t xml:space="preserve"> und wird hier ausdrücklich </w:t>
      </w:r>
      <w:r>
        <w:rPr>
          <w:b/>
          <w:bCs/>
        </w:rPr>
        <w:t xml:space="preserve">nicht behauptet</w:t>
      </w:r>
      <w:r>
        <w:t xml:space="preserve"> – das Mindest-Fertigmaß </w:t>
      </w:r>
      <w:r>
        <w:rPr>
          <w:b/>
          <w:bCs/>
        </w:rPr>
        <w:t xml:space="preserve">[Z-5]</w:t>
      </w:r>
      <w:r>
        <w:t xml:space="preserve"> gilt für </w:t>
      </w:r>
      <w:r>
        <w:rPr>
          <w:b/>
          <w:bCs/>
        </w:rPr>
        <w:t xml:space="preserve">Gewindestangen</w:t>
      </w:r>
      <w:r>
        <w:t xml:space="preserve">-Zuschnitte und wird auf Steine </w:t>
      </w:r>
      <w:r>
        <w:rPr>
          <w:b/>
          <w:bCs/>
        </w:rPr>
        <w:t xml:space="preserve">nicht übertragen</w:t>
      </w:r>
      <w:r>
        <w:t xml:space="preserve">. Ebenso ausdrücklich </w:t>
      </w:r>
      <w:r>
        <w:rPr>
          <w:b/>
          <w:bCs/>
        </w:rPr>
        <w:t xml:space="preserve">nicht</w:t>
      </w:r>
      <w:r>
        <w:t xml:space="preserve"> Gegenstand dieser Regel: </w:t>
      </w:r>
      <w:r>
        <w:rPr>
          <w:b/>
          <w:bCs/>
        </w:rPr>
        <w:t xml:space="preserve">Verschnittrechnung</w:t>
      </w:r>
      <w:r>
        <w:t xml:space="preserve">, die Wahl eines </w:t>
      </w:r>
      <w:r>
        <w:rPr>
          <w:b/>
          <w:bCs/>
        </w:rPr>
        <w:t xml:space="preserve">Ausgangsprodukts</w:t>
      </w:r>
      <w:r>
        <w:t xml:space="preserve"> und jede </w:t>
      </w:r>
      <w:r>
        <w:rPr>
          <w:b/>
          <w:bCs/>
        </w:rPr>
        <w:t xml:space="preserve">Einkaufsoptimierung</w:t>
      </w:r>
      <w:r>
        <w:t xml:space="preserve"> für zugeschnittene Steine (</w:t>
      </w:r>
      <w:r>
        <w:rPr>
          <w:b/>
          <w:bCs/>
        </w:rPr>
        <w:t xml:space="preserve">[P-18]</w:t>
      </w:r>
      <w:r>
        <w:t xml:space="preserve">). Stand: </w:t>
      </w:r>
      <w:r>
        <w:rPr>
          <w:b/>
          <w:bCs/>
        </w:rPr>
        <w:t xml:space="preserve">umgesetzt</w:t>
      </w:r>
      <w:r>
        <w:t xml:space="preserve"> (#136) – eigene, nicht wählbare und nicht bepreiste Rollen ausgl_i2_sonder/ausgl_i3_sonder nach dem Muster von rod_sonder.</w:t>
      </w:r>
    </w:p>
    <w:p>
      <w:pPr>
        <w:pStyle w:val="ListParagraph"/>
        <w:numPr>
          <w:ilvl w:val="0"/>
          <w:numId w:val="2"/>
        </w:numPr>
        <w:spacing w:after="60"/>
      </w:pPr>
      <w:r>
        <w:rPr>
          <w:b/>
          <w:bCs/>
        </w:rPr>
        <w:t xml:space="preserve">[G-18]</w:t>
      </w:r>
      <w:r>
        <w:t xml:space="preserve"> </w:t>
      </w:r>
      <w:r>
        <w:rPr>
          <w:b/>
          <w:bCs/>
        </w:rPr>
        <w:t xml:space="preserve">Sichtbarer Prüfhinweis mit realem Maß.</w:t>
      </w:r>
      <w:r>
        <w:t xml:space="preserve"> Entsteht an einer Wand eine Ausgleichslage, weist </w:t>
      </w:r>
      <w:r>
        <w:rPr>
          <w:b/>
          <w:bCs/>
        </w:rPr>
        <w:t xml:space="preserve">Modul 1</w:t>
      </w:r>
      <w:r>
        <w:t xml:space="preserve"> und </w:t>
      </w:r>
      <w:r>
        <w:rPr>
          <w:b/>
          <w:bCs/>
        </w:rPr>
        <w:t xml:space="preserve">jede Ausgabe, die die Wandhöhe führt</w:t>
      </w:r>
      <w:r>
        <w:t xml:space="preserve">, sichtbar darauf hin und nennt dabei das </w:t>
      </w:r>
      <w:r>
        <w:rPr>
          <w:b/>
          <w:bCs/>
        </w:rPr>
        <w:t xml:space="preserve">reale Maß der obersten Lage in Millimetern</w:t>
      </w:r>
      <w:r>
        <w:t xml:space="preserve"> sowie, ob es aus einem </w:t>
      </w:r>
      <w:r>
        <w:rPr>
          <w:b/>
          <w:bCs/>
        </w:rPr>
        <w:t xml:space="preserve">Katalog-Ausgleichsstein</w:t>
      </w:r>
      <w:r>
        <w:t xml:space="preserve"> (</w:t>
      </w:r>
      <w:r>
        <w:rPr>
          <w:b/>
          <w:bCs/>
        </w:rPr>
        <w:t xml:space="preserve">[G-16]</w:t>
      </w:r>
      <w:r>
        <w:t xml:space="preserve">) oder aus einem </w:t>
      </w:r>
      <w:r>
        <w:rPr>
          <w:b/>
          <w:bCs/>
        </w:rPr>
        <w:t xml:space="preserve">Sonderzuschnitt</w:t>
      </w:r>
      <w:r>
        <w:t xml:space="preserve"> (</w:t>
      </w:r>
      <w:r>
        <w:rPr>
          <w:b/>
          <w:bCs/>
        </w:rPr>
        <w:t xml:space="preserve">[G-17]</w:t>
      </w:r>
      <w:r>
        <w:t xml:space="preserve">) gedeckt ist. Der Hinweis ist eine </w:t>
      </w:r>
      <w:r>
        <w:rPr>
          <w:b/>
          <w:bCs/>
        </w:rPr>
        <w:t xml:space="preserve">Prüfaufforderung an den Planer</w:t>
      </w:r>
      <w:r>
        <w:t xml:space="preserve">, </w:t>
      </w:r>
      <w:r>
        <w:rPr>
          <w:b/>
          <w:bCs/>
        </w:rPr>
        <w:t xml:space="preserve">kein</w:t>
      </w:r>
      <w:r>
        <w:t xml:space="preserve"> Baubarkeitsausschluss: er ändert </w:t>
      </w:r>
      <w:r>
        <w:rPr>
          <w:b/>
          <w:bCs/>
        </w:rPr>
        <w:t xml:space="preserve">keine</w:t>
      </w:r>
      <w:r>
        <w:t xml:space="preserve"> Menge und </w:t>
      </w:r>
      <w:r>
        <w:rPr>
          <w:b/>
          <w:bCs/>
        </w:rPr>
        <w:t xml:space="preserve">keine</w:t>
      </w:r>
      <w:r>
        <w:t xml:space="preserve"> Geometrie. Eine </w:t>
      </w:r>
      <w:r>
        <w:rPr>
          <w:b/>
          <w:bCs/>
        </w:rPr>
        <w:t xml:space="preserve">numerische Warnschwelle gibt es nicht</w:t>
      </w:r>
      <w:r>
        <w:t xml:space="preserve"> – der Hinweis erscheint bei </w:t>
      </w:r>
      <w:r>
        <w:rPr>
          <w:b/>
          <w:bCs/>
        </w:rPr>
        <w:t xml:space="preserve">jeder</w:t>
      </w:r>
      <w:r>
        <w:t xml:space="preserve"> Ausgleichslage, unabhängig von ihrer Höhe. Stand: </w:t>
      </w:r>
      <w:r>
        <w:rPr>
          <w:b/>
          <w:bCs/>
        </w:rPr>
        <w:t xml:space="preserve">umgesetzt</w:t>
      </w:r>
      <w:r>
        <w:t xml:space="preserve"> (#136) – je Steintyp ein Eintrag in validation.ausgleich_sonderzuschnitte mit realem Maß, Stückzahl und Wortlaut; derselbe Wortlaut steht in der Bezeichnung der Stücklistenposition.</w:t>
      </w:r>
    </w:p>
    <w:p>
      <w:pPr>
        <w:pStyle w:val="ListParagraph"/>
        <w:numPr>
          <w:ilvl w:val="0"/>
          <w:numId w:val="2"/>
        </w:numPr>
        <w:spacing w:after="60"/>
      </w:pPr>
      <w:r>
        <w:rPr>
          <w:b/>
          <w:bCs/>
        </w:rPr>
        <w:t xml:space="preserve">[G-19]</w:t>
      </w:r>
      <w:r>
        <w:t xml:space="preserve"> </w:t>
      </w:r>
      <w:r>
        <w:rPr>
          <w:b/>
          <w:bCs/>
        </w:rPr>
        <w:t xml:space="preserve">Reale Lagenkanten statt pauschaler 200 mm.</w:t>
      </w:r>
      <w:r>
        <w:t xml:space="preserve"> Jede Regel, die bisher stillschweigend „die 200 mm einer Lage“ voraussetzte, bezieht sich auf die </w:t>
      </w:r>
      <w:r>
        <w:rPr>
          <w:b/>
          <w:bCs/>
        </w:rPr>
        <w:t xml:space="preserve">realen Kanten aus [G-15]</w:t>
      </w:r>
      <w:r>
        <w:t xml:space="preserve">: die </w:t>
      </w:r>
      <w:r>
        <w:rPr>
          <w:b/>
          <w:bCs/>
        </w:rPr>
        <w:t xml:space="preserve">Lagen-Oberkanten</w:t>
      </w:r>
      <w:r>
        <w:t xml:space="preserve"> der Zwischenspannpunkte (</w:t>
      </w:r>
      <w:r>
        <w:rPr>
          <w:b/>
          <w:bCs/>
        </w:rPr>
        <w:t xml:space="preserve">[A-15]</w:t>
      </w:r>
      <w:r>
        <w:t xml:space="preserve">/</w:t>
      </w:r>
      <w:r>
        <w:rPr>
          <w:b/>
          <w:bCs/>
        </w:rPr>
        <w:t xml:space="preserve">[A-17]</w:t>
      </w:r>
      <w:r>
        <w:t xml:space="preserve">, </w:t>
      </w:r>
      <w:r>
        <w:rPr>
          <w:b/>
          <w:bCs/>
        </w:rPr>
        <w:t xml:space="preserve">[Z-7]</w:t>
      </w:r>
      <w:r>
        <w:t xml:space="preserve">), die </w:t>
      </w:r>
      <w:r>
        <w:rPr>
          <w:b/>
          <w:bCs/>
        </w:rPr>
        <w:t xml:space="preserve">Dichtstreifenlänge je Stoßfuge</w:t>
      </w:r>
      <w:r>
        <w:t xml:space="preserve"> (</w:t>
      </w:r>
      <w:r>
        <w:rPr>
          <w:b/>
          <w:bCs/>
        </w:rPr>
        <w:t xml:space="preserve">[A-6]</w:t>
      </w:r>
      <w:r>
        <w:t xml:space="preserve">), die </w:t>
      </w:r>
      <w:r>
        <w:rPr>
          <w:b/>
          <w:bCs/>
        </w:rPr>
        <w:t xml:space="preserve">Stücklistenpositionen der Steine</w:t>
      </w:r>
      <w:r>
        <w:t xml:space="preserve"> (</w:t>
      </w:r>
      <w:r>
        <w:rPr>
          <w:b/>
          <w:bCs/>
        </w:rPr>
        <w:t xml:space="preserve">[P-19]</w:t>
      </w:r>
      <w:r>
        <w:t xml:space="preserve">) sowie </w:t>
      </w:r>
      <w:r>
        <w:rPr>
          <w:b/>
          <w:bCs/>
        </w:rPr>
        <w:t xml:space="preserve">Wandansicht, technische Zeichnung, 3D und IFC</w:t>
      </w:r>
      <w:r>
        <w:t xml:space="preserve">, die die oberste Lage mit </w:t>
      </w:r>
      <w:r>
        <w:rPr>
          <w:b/>
          <w:bCs/>
        </w:rPr>
        <w:t xml:space="preserve">ihrer realen Höhe</w:t>
      </w:r>
      <w:r>
        <w:t xml:space="preserve"> zeichnen und rechnen. </w:t>
      </w:r>
      <w:r>
        <w:rPr>
          <w:b/>
          <w:bCs/>
        </w:rPr>
        <w:t xml:space="preserve">COURSE = 200 mm bleibt dabei die reguläre Lagenhöhe</w:t>
      </w:r>
      <w:r>
        <w:t xml:space="preserve"> und wird </w:t>
      </w:r>
      <w:r>
        <w:rPr>
          <w:b/>
          <w:bCs/>
        </w:rPr>
        <w:t xml:space="preserve">nicht umgedeutet</w:t>
      </w:r>
      <w:r>
        <w:t xml:space="preserve">. Priorität: </w:t>
      </w:r>
      <w:r>
        <w:rPr>
          <w:b/>
          <w:bCs/>
        </w:rPr>
        <w:t xml:space="preserve">Ausweisungsregel</w:t>
      </w:r>
      <w:r>
        <w:t xml:space="preserve"> – sie ändert </w:t>
      </w:r>
      <w:r>
        <w:rPr>
          <w:b/>
          <w:bCs/>
        </w:rPr>
        <w:t xml:space="preserve">keine</w:t>
      </w:r>
      <w:r>
        <w:t xml:space="preserve"> Geometrie und </w:t>
      </w:r>
      <w:r>
        <w:rPr>
          <w:b/>
          <w:bCs/>
        </w:rPr>
        <w:t xml:space="preserve">keine</w:t>
      </w:r>
      <w:r>
        <w:t xml:space="preserve"> Vorspannrechnung. Stand: </w:t>
      </w:r>
      <w:r>
        <w:rPr>
          <w:b/>
          <w:bCs/>
        </w:rPr>
        <w:t xml:space="preserve">im Rechenkern umgesetzt</w:t>
      </w:r>
      <w:r>
        <w:t xml:space="preserve"> (alle Leser beziehen die Kanten aus courses[]); die </w:t>
      </w:r>
      <w:r>
        <w:rPr>
          <w:b/>
          <w:bCs/>
        </w:rPr>
        <w:t xml:space="preserve">Mengenfolgen</w:t>
      </w:r>
      <w:r>
        <w:t xml:space="preserve"> in [A-6] und [P-19] sind mit </w:t>
      </w:r>
      <w:r>
        <w:rPr>
          <w:b/>
          <w:bCs/>
        </w:rPr>
        <w:t xml:space="preserve">[G-16]</w:t>
      </w:r>
      <w:r>
        <w:t xml:space="preserve">…</w:t>
      </w:r>
      <w:r>
        <w:rPr>
          <w:b/>
          <w:bCs/>
        </w:rPr>
        <w:t xml:space="preserve">[G-18]</w:t>
      </w:r>
      <w:r>
        <w:t xml:space="preserve"> </w:t>
      </w:r>
      <w:r>
        <w:rPr>
          <w:b/>
          <w:bCs/>
        </w:rPr>
        <w:t xml:space="preserve">umgesetzt</w:t>
      </w:r>
      <w:r>
        <w:t xml:space="preserve"> (#136), die </w:t>
      </w:r>
      <w:r>
        <w:rPr>
          <w:b/>
          <w:bCs/>
        </w:rPr>
        <w:t xml:space="preserve">Darstellungsfolgen</w:t>
      </w:r>
      <w:r>
        <w:t xml:space="preserve"> in Wandansicht, technischer Zeichnung, 3D und IFC stehen noch aus.</w:t>
      </w:r>
    </w:p>
    <w:p>
      <w:pPr>
        <w:pBdr>
          <w:left w:val="single" w:color="E0B400" w:sz="18" w:space="6"/>
        </w:pBdr>
        <w:shd w:fill="FFF8E6" w:val="clear"/>
        <w:spacing w:after="120" w:before="80"/>
      </w:pPr>
      <w:r>
        <w:t xml:space="preserve">Herkunft [G-13]…[G-19]: Issue #136 (Bearbeitung 2026-09-17). Bis dahin galt </w:t>
      </w:r>
      <w:r>
        <w:rPr>
          <w:b/>
          <w:bCs/>
        </w:rPr>
        <w:t xml:space="preserve">[G-2]</w:t>
      </w:r>
      <w:r>
        <w:t xml:space="preserve"> in der Fassung „Wandhöhe = Vielfaches von 200 mm“; jede andere Höhe wurde abgewiesen. Das war für den realen Bau unbrauchbar: die lichte Höhe eines Geschosses ist kein Vielfaches von 200 mm, und die Suite zwang den Planer, die Wandhöhe auf das Raster zu verbiegen – oder die Restfuge außerhalb der Planung zu lösen. Bewusst </w:t>
      </w:r>
      <w:r>
        <w:rPr>
          <w:b/>
          <w:bCs/>
        </w:rPr>
        <w:t xml:space="preserve">nicht</w:t>
      </w:r>
      <w:r>
        <w:t xml:space="preserve"> gewählt wurde das stille Runden der Zielhöhe (das hätte eine andere Wand gebaut als die geplante, </w:t>
      </w:r>
      <w:r>
        <w:rPr>
          <w:b/>
          <w:bCs/>
        </w:rPr>
        <w:t xml:space="preserve">[P-9]</w:t>
      </w:r>
      <w:r>
        <w:t xml:space="preserve">) und ebenso die Kombination </w:t>
      </w:r>
      <w:r>
        <w:rPr>
          <w:b/>
          <w:bCs/>
        </w:rPr>
        <w:t xml:space="preserve">mehrerer</w:t>
      </w:r>
      <w:r>
        <w:t xml:space="preserve"> niedrigerer Lagen zur Resthöhe (ein Optimierer über Steinhöhen wäre eine zweite, nicht nachvollziehbare Geometriequelle). Umgesetzt ist mit diesem Stand die </w:t>
      </w:r>
      <w:r>
        <w:rPr>
          <w:b/>
          <w:bCs/>
        </w:rPr>
        <w:t xml:space="preserve">Zerlegung selbst</w:t>
      </w:r>
      <w:r>
        <w:t xml:space="preserve"> – kanonische Lagenkanten (</w:t>
      </w:r>
      <w:r>
        <w:rPr>
          <w:b/>
          <w:bCs/>
        </w:rPr>
        <w:t xml:space="preserve">[G-15]</w:t>
      </w:r>
      <w:r>
        <w:t xml:space="preserve">), die Zerlegung mit genau einer oberen Ausgleichslage (</w:t>
      </w:r>
      <w:r>
        <w:rPr>
          <w:b/>
          <w:bCs/>
        </w:rPr>
        <w:t xml:space="preserve">[G-13]</w:t>
      </w:r>
      <w:r>
        <w:t xml:space="preserve">) und der benannte Konflikt bei deaktivierter Ausgleichslage (</w:t>
      </w:r>
      <w:r>
        <w:rPr>
          <w:b/>
          <w:bCs/>
        </w:rPr>
        <w:t xml:space="preserve">[G-14]</w:t>
      </w:r>
      <w:r>
        <w:t xml:space="preserve">). </w:t>
      </w:r>
      <w:r>
        <w:rPr>
          <w:b/>
          <w:bCs/>
        </w:rPr>
        <w:t xml:space="preserve">Katalogprodukt</w:t>
      </w:r>
      <w:r>
        <w:t xml:space="preserve"> (</w:t>
      </w:r>
      <w:r>
        <w:rPr>
          <w:b/>
          <w:bCs/>
        </w:rPr>
        <w:t xml:space="preserve">[G-16]</w:t>
      </w:r>
      <w:r>
        <w:t xml:space="preserve">), </w:t>
      </w:r>
      <w:r>
        <w:rPr>
          <w:b/>
          <w:bCs/>
        </w:rPr>
        <w:t xml:space="preserve">Sonderzuschnitt</w:t>
      </w:r>
      <w:r>
        <w:t xml:space="preserve"> (</w:t>
      </w:r>
      <w:r>
        <w:rPr>
          <w:b/>
          <w:bCs/>
        </w:rPr>
        <w:t xml:space="preserve">[G-17]</w:t>
      </w:r>
      <w:r>
        <w:t xml:space="preserve">) und </w:t>
      </w:r>
      <w:r>
        <w:rPr>
          <w:b/>
          <w:bCs/>
        </w:rPr>
        <w:t xml:space="preserve">Prüfhinweis</w:t>
      </w:r>
      <w:r>
        <w:t xml:space="preserve"> (</w:t>
      </w:r>
      <w:r>
        <w:rPr>
          <w:b/>
          <w:bCs/>
        </w:rPr>
        <w:t xml:space="preserve">[G-18]</w:t>
      </w:r>
      <w:r>
        <w:t xml:space="preserve">) sind mit dem Folgepaket zu #136 ebenfalls umgesetzt; offen bleibt allein die </w:t>
      </w:r>
      <w:r>
        <w:rPr>
          <w:b/>
          <w:bCs/>
        </w:rPr>
        <w:t xml:space="preserve">Darstellung</w:t>
      </w:r>
      <w:r>
        <w:t xml:space="preserve"> der Ausgleichslage in Wandansicht, technischer Zeichnung, 3D und IFC. Ausdrücklich </w:t>
      </w:r>
      <w:r>
        <w:rPr>
          <w:b/>
          <w:bCs/>
        </w:rPr>
        <w:t xml:space="preserve">nicht</w:t>
      </w:r>
      <w:r>
        <w:t xml:space="preserve"> Gegenstand von #136: Verschnitt-, Ausgangsprodukt- und Einkaufsoptimierung für zugeschnittene Steine (</w:t>
      </w:r>
      <w:r>
        <w:rPr>
          <w:b/>
          <w:bCs/>
        </w:rPr>
        <w:t xml:space="preserve">[P-18]</w:t>
      </w:r>
      <w:r>
        <w:t xml:space="preserve">) und jede statische Betrachtung der Ausgleichslage.</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der Dichtstreifen einer Fuge ist so lang wie die </w:t>
      </w:r>
      <w:r>
        <w:rPr>
          <w:b/>
          <w:bCs/>
        </w:rPr>
        <w:t xml:space="preserve">reale Höhe der Lage</w:t>
      </w:r>
      <w:r>
        <w:t xml:space="preserve">, in der die Fuge liegt (</w:t>
      </w:r>
      <w:r>
        <w:rPr>
          <w:b/>
          <w:bCs/>
        </w:rPr>
        <w:t xml:space="preserve">[G-15]</w:t>
      </w:r>
      <w:r>
        <w:t xml:space="preserve">/</w:t>
      </w:r>
      <w:r>
        <w:rPr>
          <w:b/>
          <w:bCs/>
        </w:rPr>
        <w:t xml:space="preserve">[G-19]</w:t>
      </w:r>
      <w:r>
        <w:t xml:space="preserve">) – in einer Regellage sind das die </w:t>
      </w:r>
      <w:r>
        <w:rPr>
          <w:b/>
          <w:bCs/>
        </w:rPr>
        <w:t xml:space="preserve">20 cm</w:t>
      </w:r>
      <w:r>
        <w:t xml:space="preserve"> aus COURSE, in einer </w:t>
      </w:r>
      <w:r>
        <w:rPr>
          <w:b/>
          <w:bCs/>
        </w:rPr>
        <w:t xml:space="preserve">Ausgleichslage</w:t>
      </w:r>
      <w:r>
        <w:t xml:space="preserve"> nach </w:t>
      </w:r>
      <w:r>
        <w:rPr>
          <w:b/>
          <w:bCs/>
        </w:rPr>
        <w:t xml:space="preserve">[G-13]</w:t>
      </w:r>
      <w:r>
        <w:t xml:space="preserve"> deren </w:t>
      </w:r>
      <w:r>
        <w:rPr>
          <w:b/>
          <w:bCs/>
        </w:rPr>
        <w:t xml:space="preserve">reales Maß</w:t>
      </w:r>
      <w:r>
        <w:t xml:space="preserve">; eine pauschale Rechnung „Fugen × 200 mm“ ist damit unzulässig (</w:t>
      </w:r>
      <w:r>
        <w:rPr>
          <w:b/>
          <w:bCs/>
        </w:rPr>
        <w:t xml:space="preserve">[P-6]</w:t>
      </w:r>
      <w:r>
        <w:t xml:space="preserve">). *Gerechnet wird das seit #136 so: die BOM summiert je Lage Stoßfugen × reale Lagenhöhe.* Die Gesamtlänge steht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Positionen der Stoßfugen-Abdichtung; sonst entfallen sie vollständig. </w:t>
      </w:r>
      <w:r>
        <w:rPr>
          <w:b/>
          <w:bCs/>
        </w:rPr>
        <w:t xml:space="preserve">Das Material ist eine Produktwahl, keine eigene Zeile:</w:t>
      </w:r>
      <w:r>
        <w:t xml:space="preserve"> welches Produkt in die inneren Stoßfugen kommt (z. B. Dichtstreifen oder Gipsfaserstreifen), entscheidet allein die gewählte Produktzuordnung der Verwendungsstelle „Stoßfugen-Abdichtung – Einbauposition“ (dicht_stk, </w:t>
      </w:r>
      <w:r>
        <w:rPr>
          <w:b/>
          <w:bCs/>
        </w:rPr>
        <w:t xml:space="preserve">[P-13]</w:t>
      </w:r>
      <w:r>
        <w:t xml:space="preserve">); die Einbauposition heißt dann „Stoßfugen: ‹Produktbezeichnung›“ bei unveränderter Menge (Zahl der inneren Stoßfugen) und unveränderter Stelle in der Liste. Ohne eindeutig aufgelöstes Produkt (kein Katalog, keine oder mehrdeutige Wahl, </w:t>
      </w:r>
      <w:r>
        <w:rPr>
          <w:b/>
          <w:bCs/>
        </w:rPr>
        <w:t xml:space="preserve">[P-14]</w:t>
      </w:r>
      <w:r>
        <w:t xml:space="preserve">) steht die neutrale Bezeichnung „Stoßfugen-Abdichtung 20 cm“ – es wird kein Material geraten. Die Gesamtlänge heißt neutral „Stoßfugen-Abdichtung – Gesamtlänge“.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Maßgebend sind die </w:t>
      </w:r>
      <w:r>
        <w:rPr>
          <w:b/>
          <w:bCs/>
        </w:rPr>
        <w:t xml:space="preserve">realen Lagen-Oberkanten</w:t>
      </w:r>
      <w:r>
        <w:t xml:space="preserve"> aus </w:t>
      </w:r>
      <w:r>
        <w:rPr>
          <w:b/>
          <w:bCs/>
        </w:rPr>
        <w:t xml:space="preserve">[G-15]</w:t>
      </w:r>
      <w:r>
        <w:t xml:space="preserve"> (oberkante_mm), </w:t>
      </w:r>
      <w:r>
        <w:rPr>
          <w:b/>
          <w:bCs/>
        </w:rPr>
        <w:t xml:space="preserve">nicht</w:t>
      </w:r>
      <w:r>
        <w:t xml:space="preserve"> ein aus dem Lagenindex gerechnetes Vielfaches von 200 mm; trägt die Wand eine </w:t>
      </w:r>
      <w:r>
        <w:rPr>
          <w:b/>
          <w:bCs/>
        </w:rPr>
        <w:t xml:space="preserve">Ausgleichslage</w:t>
      </w:r>
      <w:r>
        <w:t xml:space="preserve"> (</w:t>
      </w:r>
      <w:r>
        <w:rPr>
          <w:b/>
          <w:bCs/>
        </w:rPr>
        <w:t xml:space="preserve">[G-13]</w:t>
      </w:r>
      <w:r>
        <w:t xml:space="preserve">), ist deren Unterkante ebenso eine reale Oberkante wie jede andere.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im Sinne von </w:t>
      </w:r>
      <w:r>
        <w:rPr>
          <w:b/>
          <w:bCs/>
        </w:rPr>
        <w:t xml:space="preserve">[G-15]</w:t>
      </w:r>
      <w:r>
        <w:t xml:space="preserve"> (ein Wert aus oberkante_mm der realen Lagenkanten, nie aus Lagenindex × 200 mm abgeleitet)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begann dabei zunächst </w:t>
      </w:r>
      <w:r>
        <w:rPr>
          <w:b/>
          <w:bCs/>
        </w:rPr>
        <w:t xml:space="preserve">weiterhin an der Steinunterkante</w:t>
      </w:r>
      <w:r>
        <w:t xml:space="preserve">; der Fußoffset war ausdrücklich nur eine </w:t>
      </w:r>
      <w:r>
        <w:rPr>
          <w:b/>
          <w:bCs/>
        </w:rPr>
        <w:t xml:space="preserve">Mengengröße</w:t>
      </w:r>
      <w:r>
        <w:t xml:space="preserve"> und nicht Zeichengröße. Mit Issue #128 ist das </w:t>
      </w:r>
      <w:r>
        <w:rPr>
          <w:b/>
          <w:bCs/>
        </w:rPr>
        <w:t xml:space="preserve">aufgehoben</w:t>
      </w:r>
      <w:r>
        <w:t xml:space="preserve"> – die Rückmeldung aus der Planung war, dass die unterste Gewindestange sichtbar auf </w:t>
      </w:r>
      <w:r>
        <w:rPr>
          <w:b/>
          <w:bCs/>
        </w:rPr>
        <w:t xml:space="preserve">halber Kopplungsmutterhöhe</w:t>
      </w:r>
      <w:r>
        <w:t xml:space="preserve"> beginnen muss, weil das Blatt sonst eine Einbaulage zeigt, die es nicht gibt. Seither stapeln </w:t>
      </w:r>
      <w:r>
        <w:rPr>
          <w:b/>
          <w:bCs/>
        </w:rPr>
        <w:t xml:space="preserve">auch die zeichnenden Leser ab dem realen Stangenbeginn</w:t>
      </w:r>
      <w:r>
        <w:t xml:space="preserve">: Stangenstücke, Stöße und die Kopplungsmuttern an diesen Stößen wandern um </w:t>
      </w:r>
      <w:r>
        <w:rPr>
          <w:b/>
          <w:bCs/>
        </w:rPr>
        <w:t xml:space="preserve">genau den Offset</w:t>
      </w:r>
      <w:r>
        <w:t xml:space="preserve"> nach oben, während die </w:t>
      </w:r>
      <w:r>
        <w:rPr>
          <w:b/>
          <w:bCs/>
        </w:rPr>
        <w:t xml:space="preserve">Anker am Fuß</w:t>
      </w:r>
      <w:r>
        <w:t xml:space="preserve"> – Sechskantschraube, Bodenblech und die darauf </w:t>
      </w:r>
      <w:r>
        <w:rPr>
          <w:b/>
          <w:bCs/>
        </w:rPr>
        <w:t xml:space="preserve">aufliegende</w:t>
      </w:r>
      <w:r>
        <w:t xml:space="preserve"> Kopplungsmutter – </w:t>
      </w:r>
      <w:r>
        <w:rPr>
          <w:b/>
          <w:bCs/>
        </w:rPr>
        <w:t xml:space="preserve">unverändert</w:t>
      </w:r>
      <w:r>
        <w:t xml:space="preserve"> an ihrer Position bleiben; ebenso unverändert bleiben Steingeometrie, Bemaßung, Maßstab und alle </w:t>
      </w:r>
      <w:r>
        <w:rPr>
          <w:b/>
          <w:bCs/>
        </w:rPr>
        <w:t xml:space="preserve">Mengen</w:t>
      </w:r>
      <w:r>
        <w:t xml:space="preserve">, denn der Offset ist Einbaulage und kein Material. Der Fußoffset ist damit </w:t>
      </w:r>
      <w:r>
        <w:rPr>
          <w:b/>
          <w:bCs/>
        </w:rPr>
        <w:t xml:space="preserve">Mengen- und Zeichengröße</w:t>
      </w:r>
      <w:r>
        <w:t xml:space="preserve"> und stammt für beides aus </w:t>
      </w:r>
      <w:r>
        <w:rPr>
          <w:b/>
          <w:bCs/>
        </w:rPr>
        <w:t xml:space="preserve">derselben einen Quelle</w:t>
      </w:r>
      <w:r>
        <w:t xml:space="preserve"> (Verwendungsrolle Kopplungsmutter über prestress.rod_fuss_offset_mm, </w:t>
      </w:r>
      <w:r>
        <w:rPr>
          <w:b/>
          <w:bCs/>
        </w:rPr>
        <w:t xml:space="preserve">[P-6]</w:t>
      </w:r>
      <w:r>
        <w:t xml:space="preserve">); ohne geführtes Katalogmaß ist er </w:t>
      </w:r>
      <w:r>
        <w:rPr>
          <w:b/>
          <w:bCs/>
        </w:rPr>
        <w:t xml:space="preserve">0</w:t>
      </w:r>
      <w:r>
        <w:t xml:space="preserve">, und die Darstellung bleibt dann </w:t>
      </w:r>
      <w:r>
        <w:rPr>
          <w:b/>
          <w:bCs/>
        </w:rPr>
        <w:t xml:space="preserve">bit-genau</w:t>
      </w:r>
      <w:r>
        <w:t xml:space="preserve"> die bisherige. Weil die Kopplungsmutter im </w:t>
      </w:r>
      <w:r>
        <w:rPr>
          <w:b/>
          <w:bCs/>
        </w:rPr>
        <w:t xml:space="preserve">Vordergrund</w:t>
      </w:r>
      <w:r>
        <w:t xml:space="preserve"> liegt (</w:t>
      </w:r>
      <w:r>
        <w:rPr>
          <w:b/>
          <w:bCs/>
        </w:rPr>
        <w:t xml:space="preserve">[D-9]</w:t>
      </w:r>
      <w:r>
        <w:t xml:space="preserve">), deckt sie die untere Hälfte des Stangenanfangs ab, und man sieht die Stange aus der Mutter austreten – die Teilung „je zur Hälfte“ ist damit gezeichnet </w:t>
      </w:r>
      <w:r>
        <w:rPr>
          <w:b/>
          <w:bCs/>
        </w:rPr>
        <w:t xml:space="preserve">und</w:t>
      </w:r>
      <w:r>
        <w:t xml:space="preserve"> gerechnet.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w:t>
      </w:r>
      <w:r>
        <w:rPr>
          <w:b/>
          <w:bCs/>
        </w:rPr>
        <w:t xml:space="preserve">Maßgebende Länge ist nach [A-31] die Länge des jeweiligen belegten Bodenblechbereichs</w:t>
      </w:r>
      <w:r>
        <w:t xml:space="preserve">; ohne Aussparungen ist das die Wandlänge.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Liegen </w:t>
      </w:r>
      <w:r>
        <w:rPr>
          <w:b/>
          <w:bCs/>
        </w:rPr>
        <w:t xml:space="preserve">Aussparungen</w:t>
      </w:r>
      <w:r>
        <w:t xml:space="preserve"> vor, treten nach </w:t>
      </w:r>
      <w:r>
        <w:rPr>
          <w:b/>
          <w:bCs/>
        </w:rPr>
        <w:t xml:space="preserve">[A-31]</w:t>
      </w:r>
      <w:r>
        <w:t xml:space="preserve"> die </w:t>
      </w:r>
      <w:r>
        <w:rPr>
          <w:b/>
          <w:bCs/>
        </w:rPr>
        <w:t xml:space="preserve">Enden jedes belegten Bereichs</w:t>
      </w:r>
      <w:r>
        <w:t xml:space="preserve"> an die Stelle der Wandenden – die Wandenden selbst bleiben Pflichtpunkte, solange sie belegt sind.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Bezugslänge – der </w:t>
      </w:r>
      <w:r>
        <w:rPr>
          <w:b/>
          <w:bCs/>
        </w:rPr>
        <w:t xml:space="preserve">Bereichslänge</w:t>
      </w:r>
      <w:r>
        <w:t xml:space="preserve"> nach </w:t>
      </w:r>
      <w:r>
        <w:rPr>
          <w:b/>
          <w:bCs/>
        </w:rPr>
        <w:t xml:space="preserve">[A-31]</w:t>
      </w:r>
      <w:r>
        <w:t xml:space="preserve">, ohne Aussparungen also der Wandlänge –,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[A-28 · MUSS]</w:t>
      </w:r>
      <w:r>
        <w:t xml:space="preserve"> </w:t>
      </w:r>
      <w:r>
        <w:rPr>
          <w:b/>
          <w:bCs/>
        </w:rPr>
        <w:t xml:space="preserve">Bodenblech-Aussparungen als manuell gewählte Rasterfelder.</w:t>
      </w:r>
      <w:r>
        <w:t xml:space="preserve"> Eine Wand darf Bereiche </w:t>
      </w:r>
      <w:r>
        <w:rPr>
          <w:b/>
          <w:bCs/>
        </w:rPr>
        <w:t xml:space="preserve">ohne Bodenblech</w:t>
      </w:r>
      <w:r>
        <w:t xml:space="preserve"> führen. Ein </w:t>
      </w:r>
      <w:r>
        <w:rPr>
          <w:b/>
          <w:bCs/>
        </w:rPr>
        <w:t xml:space="preserve">Aussparungseintrag bezeichnet genau ein vollständiges 125-mm-Rasterfeld</w:t>
      </w:r>
      <w:r>
        <w:t xml:space="preserve"> – </w:t>
      </w:r>
      <w:r>
        <w:rPr>
          <w:b/>
          <w:bCs/>
        </w:rPr>
        <w:t xml:space="preserve">einzelne, mehrere und benachbarte</w:t>
      </w:r>
      <w:r>
        <w:t xml:space="preserve"> Felder sind zulässig, eine </w:t>
      </w:r>
      <w:r>
        <w:rPr>
          <w:b/>
          <w:bCs/>
        </w:rPr>
        <w:t xml:space="preserve">freie millimetergenaue oder polygonale</w:t>
      </w:r>
      <w:r>
        <w:t xml:space="preserve"> Geometrie ausdrücklich </w:t>
      </w:r>
      <w:r>
        <w:rPr>
          <w:b/>
          <w:bCs/>
        </w:rPr>
        <w:t xml:space="preserve">nicht</w:t>
      </w:r>
      <w:r>
        <w:t xml:space="preserve">. – </w:t>
      </w:r>
      <w:r>
        <w:rPr>
          <w:b/>
          <w:bCs/>
        </w:rPr>
        <w:t xml:space="preserve">Gewählt wird ausschließlich von Hand</w:t>
      </w:r>
      <w:r>
        <w:t xml:space="preserve"> (Modul 1): der Rechenkern </w:t>
      </w:r>
      <w:r>
        <w:rPr>
          <w:b/>
          <w:bCs/>
        </w:rPr>
        <w:t xml:space="preserve">leitet keine Aussparung ab</w:t>
      </w:r>
      <w:r>
        <w:t xml:space="preserve">, </w:t>
      </w:r>
      <w:r>
        <w:rPr>
          <w:b/>
          <w:bCs/>
        </w:rPr>
        <w:t xml:space="preserve">wählt keine</w:t>
      </w:r>
      <w:r>
        <w:t xml:space="preserve"> und </w:t>
      </w:r>
      <w:r>
        <w:rPr>
          <w:b/>
          <w:bCs/>
        </w:rPr>
        <w:t xml:space="preserve">verschiebt keine</w:t>
      </w:r>
      <w:r>
        <w:t xml:space="preserve">. – </w:t>
      </w:r>
      <w:r>
        <w:rPr>
          <w:b/>
          <w:bCs/>
        </w:rPr>
        <w:t xml:space="preserve">Kanonisch geführt wird die Wahl als Planungseingabe am Wandelement</w:t>
      </w:r>
      <w:r>
        <w:t xml:space="preserve"> im Vorspannblock (prestress.base_plate_aussparungen_grid) als </w:t>
      </w:r>
      <w:r>
        <w:rPr>
          <w:b/>
          <w:bCs/>
        </w:rPr>
        <w:t xml:space="preserve">Rasterindizes</w:t>
      </w:r>
      <w:r>
        <w:t xml:space="preserve"> – derselbe Ort, an dem schon der </w:t>
      </w:r>
      <w:r>
        <w:rPr>
          <w:b/>
          <w:bCs/>
        </w:rPr>
        <w:t xml:space="preserve">Vorratssatz der Bodenblechlängen</w:t>
      </w:r>
      <w:r>
        <w:t xml:space="preserve"> (</w:t>
      </w:r>
      <w:r>
        <w:rPr>
          <w:b/>
          <w:bCs/>
        </w:rPr>
        <w:t xml:space="preserve">[A-10]</w:t>
      </w:r>
      <w:r>
        <w:t xml:space="preserve">) und die übrigen Overrides stehen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Eine Wand </w:t>
      </w:r>
      <w:r>
        <w:rPr>
          <w:b/>
          <w:bCs/>
        </w:rPr>
        <w:t xml:space="preserve">ohne</w:t>
      </w:r>
      <w:r>
        <w:t xml:space="preserve"> Aussparungen bekommt </w:t>
      </w:r>
      <w:r>
        <w:rPr>
          <w:b/>
          <w:bCs/>
        </w:rPr>
        <w:t xml:space="preserve">kein</w:t>
      </w:r>
      <w:r>
        <w:t xml:space="preserve"> Feld, das es vorher nicht gab. – </w:t>
      </w:r>
      <w:r>
        <w:rPr>
          <w:b/>
          <w:bCs/>
        </w:rPr>
        <w:t xml:space="preserve">Der Rechenkern normalisiert die Einträge deterministisch:</w:t>
      </w:r>
      <w:r>
        <w:t xml:space="preserve"> dedupliziert, aufsteigend und </w:t>
      </w:r>
      <w:r>
        <w:rPr>
          <w:b/>
          <w:bCs/>
        </w:rPr>
        <w:t xml:space="preserve">benachbarte Felder zu genau einem Intervall zusammengefasst</w:t>
      </w:r>
      <w:r>
        <w:t xml:space="preserve">. Ergebnis sind </w:t>
      </w:r>
      <w:r>
        <w:rPr>
          <w:b/>
          <w:bCs/>
        </w:rPr>
        <w:t xml:space="preserve">disjunkte, innerhalb der Wand liegende Intervalle</w:t>
      </w:r>
      <w:r>
        <w:t xml:space="preserve">; belegte und ausgesparte Intervalle sind das </w:t>
      </w:r>
      <w:r>
        <w:rPr>
          <w:b/>
          <w:bCs/>
        </w:rPr>
        <w:t xml:space="preserve">Komplement</w:t>
      </w:r>
      <w:r>
        <w:t xml:space="preserve"> voneinander – </w:t>
      </w:r>
      <w:r>
        <w:rPr>
          <w:b/>
          <w:bCs/>
        </w:rPr>
        <w:t xml:space="preserve">überdeckungsfrei</w:t>
      </w:r>
      <w:r>
        <w:t xml:space="preserve">, in der Summe </w:t>
      </w:r>
      <w:r>
        <w:rPr>
          <w:b/>
          <w:bCs/>
        </w:rPr>
        <w:t xml:space="preserve">exakt die Wandlänge</w:t>
      </w:r>
      <w:r>
        <w:t xml:space="preserve"> und </w:t>
      </w:r>
      <w:r>
        <w:rPr>
          <w:b/>
          <w:bCs/>
        </w:rPr>
        <w:t xml:space="preserve">unabhängig von der Eingabereihenfolge</w:t>
      </w:r>
      <w:r>
        <w:t xml:space="preserve">. Die Lücken werden am Bodenblech </w:t>
      </w:r>
      <w:r>
        <w:rPr>
          <w:b/>
          <w:bCs/>
        </w:rPr>
        <w:t xml:space="preserve">ausgewiesen</w:t>
      </w:r>
      <w:r>
        <w:t xml:space="preserve"> (base_plate.aussparungen, je Lücke Rasterintervall, x-Intervall und Länge). Priorität: Eingabe-/Definitionsregel der Stufe 2 – sie ändert </w:t>
      </w:r>
      <w:r>
        <w:rPr>
          <w:b/>
          <w:bCs/>
        </w:rPr>
        <w:t xml:space="preserve">keinen</w:t>
      </w:r>
      <w:r>
        <w:t xml:space="preserve"> Steinverband, </w:t>
      </w:r>
      <w:r>
        <w:rPr>
          <w:b/>
          <w:bCs/>
        </w:rPr>
        <w:t xml:space="preserve">keine</w:t>
      </w:r>
      <w:r>
        <w:t xml:space="preserve"> Spannachse und </w:t>
      </w:r>
      <w:r>
        <w:rPr>
          <w:b/>
          <w:bCs/>
        </w:rPr>
        <w:t xml:space="preserve">keinen</w:t>
      </w:r>
      <w:r>
        <w:t xml:space="preserve"> Nachweis.</w:t>
      </w:r>
    </w:p>
    <w:p>
      <w:pPr>
        <w:pStyle w:val="ListParagraph"/>
        <w:numPr>
          <w:ilvl w:val="0"/>
          <w:numId w:val="2"/>
        </w:numPr>
        <w:spacing w:after="60"/>
      </w:pPr>
      <w:r>
        <w:rPr>
          <w:b/>
          <w:bCs/>
        </w:rPr>
        <w:t xml:space="preserve">[A-29 · MUSS]</w:t>
      </w:r>
      <w:r>
        <w:t xml:space="preserve"> </w:t>
      </w:r>
      <w:r>
        <w:rPr>
          <w:b/>
          <w:bCs/>
        </w:rPr>
        <w:t xml:space="preserve">Jeder verbleibende Bereich wird unabhängig gesliced.</w:t>
      </w:r>
      <w:r>
        <w:t xml:space="preserve"> Jeder zusammenhängende </w:t>
      </w:r>
      <w:r>
        <w:rPr>
          <w:b/>
          <w:bCs/>
        </w:rPr>
        <w:t xml:space="preserve">belegte</w:t>
      </w:r>
      <w:r>
        <w:t xml:space="preserve"> Bereich zwischen zwei Aussparungen (und zu den Wandenden hin) wird </w:t>
      </w:r>
      <w:r>
        <w:rPr>
          <w:b/>
          <w:bCs/>
        </w:rPr>
        <w:t xml:space="preserve">für sich allein</w:t>
      </w:r>
      <w:r>
        <w:t xml:space="preserve"> mit den bestehenden Bodenblechregeln </w:t>
      </w:r>
      <w:r>
        <w:rPr>
          <w:b/>
          <w:bCs/>
        </w:rPr>
        <w:t xml:space="preserve">[A-10]</w:t>
      </w:r>
      <w:r>
        <w:t xml:space="preserve">…</w:t>
      </w:r>
      <w:r>
        <w:rPr>
          <w:b/>
          <w:bCs/>
        </w:rPr>
        <w:t xml:space="preserve">[A-12]</w:t>
      </w:r>
      <w:r>
        <w:t xml:space="preserve"> in Standardteile und gekennzeichnete Sonderzuschnitte zerlegt. </w:t>
      </w:r>
      <w:r>
        <w:rPr>
          <w:b/>
          <w:bCs/>
        </w:rPr>
        <w:t xml:space="preserve">Kein Bodenblechteil überbrückt eine Aussparung</w:t>
      </w:r>
      <w:r>
        <w:t xml:space="preserve">, und </w:t>
      </w:r>
      <w:r>
        <w:rPr>
          <w:b/>
          <w:bCs/>
        </w:rPr>
        <w:t xml:space="preserve">kein Teil reicht über sein Bereichsende hinaus</w:t>
      </w:r>
      <w:r>
        <w:t xml:space="preserve">. – </w:t>
      </w:r>
      <w:r>
        <w:rPr>
          <w:b/>
          <w:bCs/>
        </w:rPr>
        <w:t xml:space="preserve">Die Bereichsenden sind freie Blechenden und keine Blechstöße:</w:t>
      </w:r>
      <w:r>
        <w:t xml:space="preserve"> die Stoßregel </w:t>
      </w:r>
      <w:r>
        <w:rPr>
          <w:b/>
          <w:bCs/>
        </w:rPr>
        <w:t xml:space="preserve">[A-11]</w:t>
      </w:r>
      <w:r>
        <w:t xml:space="preserve"> gilt innerhalb jedes Bereichs unverändert, greift an seinen Enden aber nicht – dort steht kein zweites Blech. Aus demselben Grund ist die Kante einer Aussparung </w:t>
      </w:r>
      <w:r>
        <w:rPr>
          <w:b/>
          <w:bCs/>
        </w:rPr>
        <w:t xml:space="preserve">kein</w:t>
      </w:r>
      <w:r>
        <w:t xml:space="preserve"> Bodenblech-Stoß im Sinne von </w:t>
      </w:r>
      <w:r>
        <w:rPr>
          <w:b/>
          <w:bCs/>
        </w:rPr>
        <w:t xml:space="preserve">[A-21]</w:t>
      </w:r>
      <w:r>
        <w:t xml:space="preserve"> und erzeugt dort </w:t>
      </w:r>
      <w:r>
        <w:rPr>
          <w:b/>
          <w:bCs/>
        </w:rPr>
        <w:t xml:space="preserve">keinen</w:t>
      </w:r>
      <w:r>
        <w:t xml:space="preserve"> Stoßpunkt – als </w:t>
      </w:r>
      <w:r>
        <w:rPr>
          <w:b/>
          <w:bCs/>
        </w:rPr>
        <w:t xml:space="preserve">Bereichsende</w:t>
      </w:r>
      <w:r>
        <w:t xml:space="preserve"> trägt sie nach </w:t>
      </w:r>
      <w:r>
        <w:rPr>
          <w:b/>
          <w:bCs/>
        </w:rPr>
        <w:t xml:space="preserve">[A-31]</w:t>
      </w:r>
      <w:r>
        <w:t xml:space="preserve"> gleichwohl ein </w:t>
      </w:r>
      <w:r>
        <w:rPr>
          <w:b/>
          <w:bCs/>
        </w:rPr>
        <w:t xml:space="preserve">Pflichtauflager</w:t>
      </w:r>
      <w:r>
        <w:t xml:space="preserve">. – </w:t>
      </w:r>
      <w:r>
        <w:rPr>
          <w:b/>
          <w:bCs/>
        </w:rPr>
        <w:t xml:space="preserve">Ausgesparte Länge erzeugt weder Teile noch Mengen:</w:t>
      </w:r>
      <w:r>
        <w:t xml:space="preserve"> das Bodenblech ist genau so lang wie die </w:t>
      </w:r>
      <w:r>
        <w:rPr>
          <w:b/>
          <w:bCs/>
        </w:rPr>
        <w:t xml:space="preserve">Summe seiner belegten Bereiche</w:t>
      </w:r>
      <w:r>
        <w:t xml:space="preserve"> (base_plate.laenge_mm), und nur die </w:t>
      </w:r>
      <w:r>
        <w:rPr>
          <w:b/>
          <w:bCs/>
        </w:rPr>
        <w:t xml:space="preserve">wirklich vorhandenen Teile</w:t>
      </w:r>
      <w:r>
        <w:t xml:space="preserve"> gehen in die Stückliste und in bom.stahlblech_mm ein. Die </w:t>
      </w:r>
      <w:r>
        <w:rPr>
          <w:b/>
          <w:bCs/>
        </w:rPr>
        <w:t xml:space="preserve">Summe der Rastermaße aller Teile zuzüglich der ausgesparten Länge ist exakt die Wandlänge</w:t>
      </w:r>
      <w:r>
        <w:t xml:space="preserve">. – </w:t>
      </w:r>
      <w:r>
        <w:rPr>
          <w:b/>
          <w:bCs/>
        </w:rPr>
        <w:t xml:space="preserve">Ein verbleibender Bereich, der kürzer ist als die kleinste zulässige Bodenblech-Standardlänge (250 mm), ist mit diesen Regeln nicht baubar.</w:t>
      </w:r>
      <w:r>
        <w:t xml:space="preserve"> Das wird </w:t>
      </w:r>
      <w:r>
        <w:rPr>
          <w:b/>
          <w:bCs/>
        </w:rPr>
        <w:t xml:space="preserve">benannt</w:t>
      </w:r>
      <w:r>
        <w:t xml:space="preserve"> (validation.blech_konflikte, grund bereich_unbaubar, mit Bereichsgrenzen und Länge) – </w:t>
      </w:r>
      <w:r>
        <w:rPr>
          <w:b/>
          <w:bCs/>
        </w:rPr>
        <w:t xml:space="preserve">kein Baubarkeitsausschluss</w:t>
      </w:r>
      <w:r>
        <w:t xml:space="preserve">, aber die Aussparung wird dafür </w:t>
      </w:r>
      <w:r>
        <w:rPr>
          <w:b/>
          <w:bCs/>
        </w:rPr>
        <w:t xml:space="preserve">nie still fallengelassen</w:t>
      </w:r>
      <w:r>
        <w:t xml:space="preserve">, der Bereich </w:t>
      </w:r>
      <w:r>
        <w:rPr>
          <w:b/>
          <w:bCs/>
        </w:rPr>
        <w:t xml:space="preserve">nie</w:t>
      </w:r>
      <w:r>
        <w:t xml:space="preserve"> mit dem Nachbarn überbrückt und die Mindestlänge </w:t>
      </w:r>
      <w:r>
        <w:rPr>
          <w:b/>
          <w:bCs/>
        </w:rPr>
        <w:t xml:space="preserve">nie stillschweigend</w:t>
      </w:r>
      <w:r>
        <w:t xml:space="preserve"> verletzt (</w:t>
      </w:r>
      <w:r>
        <w:rPr>
          <w:b/>
          <w:bCs/>
        </w:rPr>
        <w:t xml:space="preserve">[P-9]</w:t>
      </w:r>
      <w:r>
        <w:t xml:space="preserve">). Priorität: Baubarkeits- und Mengenregel – </w:t>
      </w:r>
      <w:r>
        <w:rPr>
          <w:b/>
          <w:bCs/>
        </w:rPr>
        <w:t xml:space="preserve">[A-11]</w:t>
      </w:r>
      <w:r>
        <w:t xml:space="preserve"> bleibt ihr innerhalb jedes Bereichs übergeordnet, </w:t>
      </w:r>
      <w:r>
        <w:rPr>
          <w:b/>
          <w:bCs/>
        </w:rPr>
        <w:t xml:space="preserve">[A-10]</w:t>
      </w:r>
      <w:r>
        <w:t xml:space="preserve"> gilt je Bereich unverändert. </w:t>
      </w:r>
      <w:r>
        <w:rPr>
          <w:b/>
          <w:bCs/>
        </w:rPr>
        <w:t xml:space="preserve">Ohne Aussparungen ist der einzige Bereich die ganze Wand; das Ergebnis ist dann bit-genau das bisherige.</w:t>
      </w:r>
    </w:p>
    <w:p>
      <w:pPr>
        <w:pStyle w:val="ListParagraph"/>
        <w:numPr>
          <w:ilvl w:val="0"/>
          <w:numId w:val="2"/>
        </w:numPr>
        <w:spacing w:after="60"/>
      </w:pPr>
      <w:r>
        <w:rPr>
          <w:b/>
          <w:bCs/>
        </w:rPr>
        <w:t xml:space="preserve">[A-30 · MUSS]</w:t>
      </w:r>
      <w:r>
        <w:t xml:space="preserve"> </w:t>
      </w:r>
      <w:r>
        <w:rPr>
          <w:b/>
          <w:bCs/>
        </w:rPr>
        <w:t xml:space="preserve">Unzulässige Aussparungsfelder werden verworfen und benannt.</w:t>
      </w:r>
      <w:r>
        <w:t xml:space="preserve"> Zulässig ist ausschließlich der </w:t>
      </w:r>
      <w:r>
        <w:rPr>
          <w:b/>
          <w:bCs/>
        </w:rPr>
        <w:t xml:space="preserve">ganzzahlige Rasterindex eines Feldes innerhalb der Wand</w:t>
      </w:r>
      <w:r>
        <w:t xml:space="preserve">. Ein </w:t>
      </w:r>
      <w:r>
        <w:rPr>
          <w:b/>
          <w:bCs/>
        </w:rPr>
        <w:t xml:space="preserve">nicht ganzzahliger</w:t>
      </w:r>
      <w:r>
        <w:t xml:space="preserve"> Wert und ein Feld </w:t>
      </w:r>
      <w:r>
        <w:rPr>
          <w:b/>
          <w:bCs/>
        </w:rPr>
        <w:t xml:space="preserve">außerhalb der Wand</w:t>
      </w:r>
      <w:r>
        <w:t xml:space="preserve"> – insbesondere eines, das nach einer </w:t>
      </w:r>
      <w:r>
        <w:rPr>
          <w:b/>
          <w:bCs/>
        </w:rPr>
        <w:t xml:space="preserve">nachträglichen Kürzung</w:t>
      </w:r>
      <w:r>
        <w:t xml:space="preserve"> der Wand außerhalb liegt – werden </w:t>
      </w:r>
      <w:r>
        <w:rPr>
          <w:b/>
          <w:bCs/>
        </w:rPr>
        <w:t xml:space="preserve">deterministisch verworfen</w:t>
      </w:r>
      <w:r>
        <w:t xml:space="preserve"> und dabei </w:t>
      </w:r>
      <w:r>
        <w:rPr>
          <w:b/>
          <w:bCs/>
        </w:rPr>
        <w:t xml:space="preserve">benannt</w:t>
      </w:r>
      <w:r>
        <w:t xml:space="preserve"> (validation.aussparung_fehler mit Grund und Wert). Sie werden </w:t>
      </w:r>
      <w:r>
        <w:rPr>
          <w:b/>
          <w:bCs/>
        </w:rPr>
        <w:t xml:space="preserve">nie</w:t>
      </w:r>
      <w:r>
        <w:t xml:space="preserve"> auf ein anderes Feld </w:t>
      </w:r>
      <w:r>
        <w:rPr>
          <w:b/>
          <w:bCs/>
        </w:rPr>
        <w:t xml:space="preserve">verschoben</w:t>
      </w:r>
      <w:r>
        <w:t xml:space="preserve"> und </w:t>
      </w:r>
      <w:r>
        <w:rPr>
          <w:b/>
          <w:bCs/>
        </w:rPr>
        <w:t xml:space="preserve">nie</w:t>
      </w:r>
      <w:r>
        <w:t xml:space="preserve"> stillschweigend übernommen: verschoben entstünde eine andere Aussparung als die gesetzte (</w:t>
      </w:r>
      <w:r>
        <w:rPr>
          <w:b/>
          <w:bCs/>
        </w:rPr>
        <w:t xml:space="preserve">[P-9]</w:t>
      </w:r>
      <w:r>
        <w:t xml:space="preserve">). </w:t>
      </w:r>
      <w:r>
        <w:rPr>
          <w:b/>
          <w:bCs/>
        </w:rPr>
        <w:t xml:space="preserve">Doppelte</w:t>
      </w:r>
      <w:r>
        <w:t xml:space="preserve"> Werte sind dagegen kein Befund, sondern werden nach </w:t>
      </w:r>
      <w:r>
        <w:rPr>
          <w:b/>
          <w:bCs/>
        </w:rPr>
        <w:t xml:space="preserve">[A-28]</w:t>
      </w:r>
      <w:r>
        <w:t xml:space="preserve"> deterministisch zusammengefasst. Der Schlüssel entsteht </w:t>
      </w:r>
      <w:r>
        <w:rPr>
          <w:b/>
          <w:bCs/>
        </w:rPr>
        <w:t xml:space="preserve">nur im Fehlerfall</w:t>
      </w:r>
      <w:r>
        <w:t xml:space="preserve">. Priorität: Eingaberegel – sie geht </w:t>
      </w:r>
      <w:r>
        <w:rPr>
          <w:b/>
          <w:bCs/>
        </w:rPr>
        <w:t xml:space="preserve">[A-28]</w:t>
      </w:r>
      <w:r>
        <w:t xml:space="preserve"> voran und ändert </w:t>
      </w:r>
      <w:r>
        <w:rPr>
          <w:b/>
          <w:bCs/>
        </w:rPr>
        <w:t xml:space="preserve">keine</w:t>
      </w:r>
      <w:r>
        <w:t xml:space="preserve"> Geometrie und </w:t>
      </w:r>
      <w:r>
        <w:rPr>
          <w:b/>
          <w:bCs/>
        </w:rPr>
        <w:t xml:space="preserve">keine</w:t>
      </w:r>
      <w:r>
        <w:t xml:space="preserve"> Menge.</w:t>
      </w:r>
    </w:p>
    <w:p>
      <w:pPr>
        <w:pBdr>
          <w:left w:val="single" w:color="E0B400" w:sz="18" w:space="6"/>
        </w:pBdr>
        <w:shd w:fill="FFF8E6" w:val="clear"/>
        <w:spacing w:after="120" w:before="80"/>
      </w:pPr>
      <w:r>
        <w:t xml:space="preserve">Herkunft [A-28]…[A-30]: Issue #138. Zuvor kannte das Modell überhaupt keinen Bereich ohne Bodenblech: das Bodenblech lag zwingend über die volle Wandlänge, und eine gewollte Lücke – etwa für einen Bodeneinbau – ließ sich weder planen noch rechnen noch melden. Festgelegt ist mit diesem Paket die </w:t>
      </w:r>
      <w:r>
        <w:rPr>
          <w:b/>
          <w:bCs/>
        </w:rPr>
        <w:t xml:space="preserve">Rechengrundlage</w:t>
      </w:r>
      <w:r>
        <w:t xml:space="preserve">: kanonische Rasterintervalle, unabhängiges Slicing jedes verbleibenden Bereichs, die Mengenbasis und die benannten Konflikte, gleichlautend im Rechenkern und im Python-Orakel. Bewusst </w:t>
      </w:r>
      <w:r>
        <w:rPr>
          <w:b/>
          <w:bCs/>
        </w:rPr>
        <w:t xml:space="preserve">nicht</w:t>
      </w:r>
      <w:r>
        <w:t xml:space="preserve"> Gegenstand: der </w:t>
      </w:r>
      <w:r>
        <w:rPr>
          <w:b/>
          <w:bCs/>
        </w:rPr>
        <w:t xml:space="preserve">Auswahlmodus und der Persistenzpfad in Modul 1</w:t>
      </w:r>
      <w:r>
        <w:t xml:space="preserve"> sowie die </w:t>
      </w:r>
      <w:r>
        <w:rPr>
          <w:b/>
          <w:bCs/>
        </w:rPr>
        <w:t xml:space="preserve">Darstellung</w:t>
      </w:r>
      <w:r>
        <w:t xml:space="preserve"> der Lücken in Stückliste, Montage und technischer Zeichnung – beides ist als Folgearbeit zu #138 vermerkt. Ebenfalls unberührt bleiben Steinverband und Spannachsen. Die zunächst mitgeschriebene Aussage, auch die Verteilung der Ausgleichsbleche bleibe unberührt, ist mit der Nutzerabnahme vom 2026-09-21 als </w:t>
      </w:r>
      <w:r>
        <w:rPr>
          <w:b/>
          <w:bCs/>
        </w:rPr>
        <w:t xml:space="preserve">falsch</w:t>
      </w:r>
      <w:r>
        <w:t xml:space="preserve"> erkannt und durch </w:t>
      </w:r>
      <w:r>
        <w:rPr>
          <w:b/>
          <w:bCs/>
        </w:rPr>
        <w:t xml:space="preserve">[A-31]</w:t>
      </w:r>
      <w:r>
        <w:t xml:space="preserve"> abgelöst.</w:t>
      </w:r>
    </w:p>
    <w:p>
      <w:pPr>
        <w:pStyle w:val="ListParagraph"/>
        <w:numPr>
          <w:ilvl w:val="0"/>
          <w:numId w:val="2"/>
        </w:numPr>
        <w:spacing w:after="60"/>
      </w:pPr>
      <w:r>
        <w:rPr>
          <w:b/>
          <w:bCs/>
        </w:rPr>
        <w:t xml:space="preserve">[A-31 · MUSS]</w:t>
      </w:r>
      <w:r>
        <w:t xml:space="preserve"> </w:t>
      </w:r>
      <w:r>
        <w:rPr>
          <w:b/>
          <w:bCs/>
        </w:rPr>
        <w:t xml:space="preserve">Ausgleichspunkte je real belegtem Bodenblechbereich.</w:t>
      </w:r>
      <w:r>
        <w:t xml:space="preserve"> Die Verteilung der Ausgleichspunkte nach </w:t>
      </w:r>
      <w:r>
        <w:rPr>
          <w:b/>
          <w:bCs/>
        </w:rPr>
        <w:t xml:space="preserve">[A-20]</w:t>
      </w:r>
      <w:r>
        <w:t xml:space="preserve">…</w:t>
      </w:r>
      <w:r>
        <w:rPr>
          <w:b/>
          <w:bCs/>
        </w:rPr>
        <w:t xml:space="preserve">[A-23]</w:t>
      </w:r>
      <w:r>
        <w:t xml:space="preserve"> läuft </w:t>
      </w:r>
      <w:r>
        <w:rPr>
          <w:b/>
          <w:bCs/>
        </w:rPr>
        <w:t xml:space="preserve">nicht</w:t>
      </w:r>
      <w:r>
        <w:t xml:space="preserve"> über die Wandlänge, sondern </w:t>
      </w:r>
      <w:r>
        <w:rPr>
          <w:b/>
          <w:bCs/>
        </w:rPr>
        <w:t xml:space="preserve">je zusammenhängendem belegtem Bodenblechbereich</w:t>
      </w:r>
      <w:r>
        <w:t xml:space="preserve"> nach </w:t>
      </w:r>
      <w:r>
        <w:rPr>
          <w:b/>
          <w:bCs/>
        </w:rPr>
        <w:t xml:space="preserve">[A-29]</w:t>
      </w:r>
      <w:r>
        <w:t xml:space="preserve"> – und </w:t>
      </w:r>
      <w:r>
        <w:rPr>
          <w:b/>
          <w:bCs/>
        </w:rPr>
        <w:t xml:space="preserve">jeder Bereich wird unabhängig</w:t>
      </w:r>
      <w:r>
        <w:t xml:space="preserve"> behandelt. – </w:t>
      </w:r>
      <w:r>
        <w:rPr>
          <w:b/>
          <w:bCs/>
        </w:rPr>
        <w:t xml:space="preserve">Pflichtauflager</w:t>
      </w:r>
      <w:r>
        <w:t xml:space="preserve"> sind </w:t>
      </w:r>
      <w:r>
        <w:rPr>
          <w:b/>
          <w:bCs/>
        </w:rPr>
        <w:t xml:space="preserve">Anfang und Ende jedes belegten Bereichs</w:t>
      </w:r>
      <w:r>
        <w:t xml:space="preserve"> sowie </w:t>
      </w:r>
      <w:r>
        <w:rPr>
          <w:b/>
          <w:bCs/>
        </w:rPr>
        <w:t xml:space="preserve">nur die wirklich vorhandenen inneren Blechstöße darin</w:t>
      </w:r>
      <w:r>
        <w:t xml:space="preserve"> ([A-21]). Ein Bereichsende, das zugleich ein Wandende ist, bleibt ein </w:t>
      </w:r>
      <w:r>
        <w:rPr>
          <w:b/>
          <w:bCs/>
        </w:rPr>
        <w:t xml:space="preserve">Wandende</w:t>
      </w:r>
      <w:r>
        <w:t xml:space="preserve">; die Kante einer Aussparung ist ein </w:t>
      </w:r>
      <w:r>
        <w:rPr>
          <w:b/>
          <w:bCs/>
        </w:rPr>
        <w:t xml:space="preserve">Bereichsende</w:t>
      </w:r>
      <w:r>
        <w:t xml:space="preserve"> und kein Blechstoß. Ein Stoßpunkt, den eine neu gesetzte Aussparung </w:t>
      </w:r>
      <w:r>
        <w:rPr>
          <w:b/>
          <w:bCs/>
        </w:rPr>
        <w:t xml:space="preserve">überholt</w:t>
      </w:r>
      <w:r>
        <w:t xml:space="preserve"> hat, verschwindet damit vollständig – ein </w:t>
      </w:r>
      <w:r>
        <w:rPr>
          <w:b/>
          <w:bCs/>
        </w:rPr>
        <w:t xml:space="preserve">verwaistes Ausgleichsblech an einem nicht mehr vorhandenen Stoß gibt es nicht</w:t>
      </w:r>
      <w:r>
        <w:t xml:space="preserve">. – </w:t>
      </w:r>
      <w:r>
        <w:rPr>
          <w:b/>
          <w:bCs/>
        </w:rPr>
        <w:t xml:space="preserve">In einer Aussparung liegt kein Ausgleichspunkt</w:t>
      </w:r>
      <w:r>
        <w:t xml:space="preserve">, weder als Pflichtpunkt noch als Auffüllung: dort liegt kein Blech, das aufliegen könnte. – </w:t>
      </w:r>
      <w:r>
        <w:rPr>
          <w:b/>
          <w:bCs/>
        </w:rPr>
        <w:t xml:space="preserve">Zielpunktzahl ([A-20]), Auffüllung ([A-22]) und Achsversatz ([A-23]) gelten innerhalb des Bereichs</w:t>
      </w:r>
      <w:r>
        <w:t xml:space="preserve">: maßgebende Länge ist die </w:t>
      </w:r>
      <w:r>
        <w:rPr>
          <w:b/>
          <w:bCs/>
        </w:rPr>
        <w:t xml:space="preserve">Bereichslänge</w:t>
      </w:r>
      <w:r>
        <w:t xml:space="preserve">, und die Restverteilung nach Längenanteil rechnet gegen sie. Die Gesamtpunktzahl einer Wand ist damit die </w:t>
      </w:r>
      <w:r>
        <w:rPr>
          <w:b/>
          <w:bCs/>
        </w:rPr>
        <w:t xml:space="preserve">Summe</w:t>
      </w:r>
      <w:r>
        <w:t xml:space="preserve"> der Bereichsergebnisse und </w:t>
      </w:r>
      <w:r>
        <w:rPr>
          <w:b/>
          <w:bCs/>
        </w:rPr>
        <w:t xml:space="preserve">keine</w:t>
      </w:r>
      <w:r>
        <w:t xml:space="preserve"> eigene Größe. – Gerechnet wird bei </w:t>
      </w:r>
      <w:r>
        <w:rPr>
          <w:b/>
          <w:bCs/>
        </w:rPr>
        <w:t xml:space="preserve">jeder</w:t>
      </w:r>
      <w:r>
        <w:t xml:space="preserve"> Rechnung </w:t>
      </w:r>
      <w:r>
        <w:rPr>
          <w:b/>
          <w:bCs/>
        </w:rPr>
        <w:t xml:space="preserve">frisch</w:t>
      </w:r>
      <w:r>
        <w:t xml:space="preserve">, als </w:t>
      </w:r>
      <w:r>
        <w:rPr>
          <w:b/>
          <w:bCs/>
        </w:rPr>
        <w:t xml:space="preserve">reine Funktion</w:t>
      </w:r>
      <w:r>
        <w:t xml:space="preserve"> ohne Zufall, Iteration, Startwert und Zustand, in Rechenkern und Python-Orakel </w:t>
      </w:r>
      <w:r>
        <w:rPr>
          <w:b/>
          <w:bCs/>
        </w:rPr>
        <w:t xml:space="preserve">bit-gleich</w:t>
      </w:r>
      <w:r>
        <w:t xml:space="preserve">; gespeichert wird </w:t>
      </w:r>
      <w:r>
        <w:rPr>
          <w:b/>
          <w:bCs/>
        </w:rPr>
        <w:t xml:space="preserve">nichts</w:t>
      </w:r>
      <w:r>
        <w:t xml:space="preserve">. Ein Override nach </w:t>
      </w:r>
      <w:r>
        <w:rPr>
          <w:b/>
          <w:bCs/>
        </w:rPr>
        <w:t xml:space="preserve">[A-24]</w:t>
      </w:r>
      <w:r>
        <w:t xml:space="preserve"> sperrt auch diese Regel vollständig. </w:t>
      </w:r>
      <w:r>
        <w:rPr>
          <w:b/>
          <w:bCs/>
        </w:rPr>
        <w:t xml:space="preserve">Maßgebend ist allein die eine so gerechnete Punktliste</w:t>
      </w:r>
      <w:r>
        <w:t xml:space="preserve">: Stückliste, Wandansicht, Zeichnung und Montage lesen sie und rechnen </w:t>
      </w:r>
      <w:r>
        <w:rPr>
          <w:b/>
          <w:bCs/>
        </w:rPr>
        <w:t xml:space="preserve">keine</w:t>
      </w:r>
      <w:r>
        <w:t xml:space="preserve"> Position nach ([P-6]). </w:t>
      </w:r>
      <w:r>
        <w:rPr>
          <w:b/>
          <w:bCs/>
        </w:rPr>
        <w:t xml:space="preserve">Ohne Aussparungen ist der einzige Bereich die ganze Wand; das Ergebnis ist dann bit-genau das bisherige.</w:t>
      </w:r>
      <w:r>
        <w:t xml:space="preserve"> Priorität: </w:t>
      </w:r>
      <w:r>
        <w:rPr>
          <w:b/>
          <w:bCs/>
        </w:rPr>
        <w:t xml:space="preserve">Muss</w:t>
      </w:r>
      <w:r>
        <w:t xml:space="preserve"> – sie geht der wandweiten Lesart von [A-20]…[A-22] vor und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[A-31]: Issue #138, Nachtrag aus der Nutzerabnahme vom 2026-09-21. Mit [A-28]…[A-30] war die Aussparung gerechnet, die Ausgleichspunkte aber weiter über die </w:t>
      </w:r>
      <w:r>
        <w:rPr>
          <w:b/>
          <w:bCs/>
        </w:rPr>
        <w:t xml:space="preserve">ganze Wandlänge</w:t>
      </w:r>
      <w:r>
        <w:t xml:space="preserve"> verteilt – [A-29] hatte das mit dem Satz „die Verteilung der Ausgleichsbleche bleibt unverändert“ sogar ausdrücklich festgeschrieben. Das war </w:t>
      </w:r>
      <w:r>
        <w:rPr>
          <w:b/>
          <w:bCs/>
        </w:rPr>
        <w:t xml:space="preserve">fachlich falsch</w:t>
      </w:r>
      <w:r>
        <w:t xml:space="preserve"> und in der Abnahme sichtbar: ein Ausgleichsblech blieb an einem durch die Aussparung überholten früheren Stoß liegen, während das neue reale Segmentende </w:t>
      </w:r>
      <w:r>
        <w:rPr>
          <w:b/>
          <w:bCs/>
        </w:rPr>
        <w:t xml:space="preserve">ohne</w:t>
      </w:r>
      <w:r>
        <w:t xml:space="preserve"> Auflager blieb. [A-31] ersetzt diese Aussage; der Satz in [A-29] ist entsprechend korrigiert. Bewusst </w:t>
      </w:r>
      <w:r>
        <w:rPr>
          <w:b/>
          <w:bCs/>
        </w:rPr>
        <w:t xml:space="preserve">nicht</w:t>
      </w:r>
      <w:r>
        <w:t xml:space="preserve"> Gegenstand: eine statische Betrachtung der Auflagerpunkte – die Punkte bleiben eine Planungs- und Montageangabe ([A-18]) – und die Berechnung realer Dickenkombinationen aus einem Laser-Aufmaß.</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 stehen aber nach Einbaustelle getrennt:</w:t>
      </w:r>
      <w:r>
        <w:t xml:space="preserve"> Stangenstoß und Fußanschluss verwenden dasselbe Produkt – es gibt </w:t>
      </w:r>
      <w:r>
        <w:rPr>
          <w:b/>
          <w:bCs/>
        </w:rPr>
        <w:t xml:space="preserve">eine</w:t>
      </w:r>
      <w:r>
        <w:t xml:space="preserve"> Verwendungsrolle, </w:t>
      </w:r>
      <w:r>
        <w:rPr>
          <w:b/>
          <w:bCs/>
        </w:rPr>
        <w:t xml:space="preserve">keine</w:t>
      </w:r>
      <w:r>
        <w:t xml:space="preserve"> gesonderte Fuß- oder Kopf-Kopplungsmutter und keinen zweiten Katalogeintrag. In der Stückliste stehen die beiden Einbaustellen jedoch als </w:t>
      </w:r>
      <w:r>
        <w:rPr>
          <w:b/>
          <w:bCs/>
        </w:rPr>
        <w:t xml:space="preserve">zwei</w:t>
      </w:r>
      <w:r>
        <w:t xml:space="preserve"> Positionen: „Kopplungsmutter Stangenstoß (vorkonfektioniert)“ mit der Zahl der Stangenstöße und „Kopplungsmutter Fuß (Bodenblech)“ mit der Zahl der Fußkopplungen. Beide werden über dieselbe Rolle aufgelöst und bepreist (</w:t>
      </w:r>
      <w:r>
        <w:rPr>
          <w:b/>
          <w:bCs/>
        </w:rPr>
        <w:t xml:space="preserve">[P-14]</w:t>
      </w:r>
      <w:r>
        <w:t xml:space="preserve">); die Summe beider Mengen ist die bisherige Gesamtmenge. Eine Einbaustelle ohne Menge erzeugt </w:t>
      </w:r>
      <w:r>
        <w:rPr>
          <w:b/>
          <w:bCs/>
        </w:rPr>
        <w:t xml:space="preserve">keine</w:t>
      </w:r>
      <w:r>
        <w:t xml:space="preserve"> Zeile.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 Nachtrag (Entscheid nach dem Fachgespräch vom 2026-09-28): Die Kopplungsmuttern am Stangenstoß werden </w:t>
      </w:r>
      <w:r>
        <w:rPr>
          <w:b/>
          <w:bCs/>
        </w:rPr>
        <w:t xml:space="preserve">vorkonfektioniert</w:t>
      </w:r>
      <w:r>
        <w:t xml:space="preserve"> – an die Gewindestange geklebt –, auf der Baustelle wird nur die </w:t>
      </w:r>
      <w:r>
        <w:rPr>
          <w:b/>
          <w:bCs/>
        </w:rPr>
        <w:t xml:space="preserve">unterste Mutter am Bodenblech</w:t>
      </w:r>
      <w:r>
        <w:t xml:space="preserve"> gesetzt. Die Baustellenliste weist die Fußmutter deshalb als eigene Position aus; Produkt, Rolle, Preis und Gesamtmenge bleiben unverändert, die Zeichnung ebenso.</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Höhenbezogene Positionen nennen reale Maße:</w:t>
      </w:r>
      <w:r>
        <w:t xml:space="preserve"> Steine und Dichtstreifen werden nach den </w:t>
      </w:r>
      <w:r>
        <w:rPr>
          <w:b/>
          <w:bCs/>
        </w:rPr>
        <w:t xml:space="preserve">realen Lagenkanten</w:t>
      </w:r>
      <w:r>
        <w:t xml:space="preserve"> aus </w:t>
      </w:r>
      <w:r>
        <w:rPr>
          <w:b/>
          <w:bCs/>
        </w:rPr>
        <w:t xml:space="preserve">[G-15]</w:t>
      </w:r>
      <w:r>
        <w:t xml:space="preserve"> ausgewiesen, nicht nach einem pauschalen 200-mm-Ansatz; die Steine einer </w:t>
      </w:r>
      <w:r>
        <w:rPr>
          <w:b/>
          <w:bCs/>
        </w:rPr>
        <w:t xml:space="preserve">Ausgleichslage</w:t>
      </w:r>
      <w:r>
        <w:t xml:space="preserve"> (</w:t>
      </w:r>
      <w:r>
        <w:rPr>
          <w:b/>
          <w:bCs/>
        </w:rPr>
        <w:t xml:space="preserve">[G-13]</w:t>
      </w:r>
      <w:r>
        <w:t xml:space="preserve">) stehen als </w:t>
      </w:r>
      <w:r>
        <w:rPr>
          <w:b/>
          <w:bCs/>
        </w:rPr>
        <w:t xml:space="preserve">eigene Position</w:t>
      </w:r>
      <w:r>
        <w:t xml:space="preserve"> mit ihrer </w:t>
      </w:r>
      <w:r>
        <w:rPr>
          <w:b/>
          <w:bCs/>
        </w:rPr>
        <w:t xml:space="preserve">realen Höhe</w:t>
      </w:r>
      <w:r>
        <w:t xml:space="preserve"> – als Katalog-Ausgleichsstein (</w:t>
      </w:r>
      <w:r>
        <w:rPr>
          <w:b/>
          <w:bCs/>
        </w:rPr>
        <w:t xml:space="preserve">[G-16]</w:t>
      </w:r>
      <w:r>
        <w:t xml:space="preserve">) oder als gekennzeichneter Sonderzuschnitt (</w:t>
      </w:r>
      <w:r>
        <w:rPr>
          <w:b/>
          <w:bCs/>
        </w:rPr>
        <w:t xml:space="preserve">[G-17]</w:t>
      </w:r>
      <w:r>
        <w:t xml:space="preserve">) – und werden </w:t>
      </w:r>
      <w:r>
        <w:rPr>
          <w:b/>
          <w:bCs/>
        </w:rPr>
        <w:t xml:space="preserve">nie</w:t>
      </w:r>
      <w:r>
        <w:t xml:space="preserve"> mit den Regelsteinen zusammengelegt. *Diese Ausweisung ist mit </w:t>
      </w:r>
      <w:r>
        <w:rPr>
          <w:b/>
          <w:bCs/>
        </w:rPr>
        <w:t xml:space="preserve">[G-16]</w:t>
      </w:r>
      <w:r>
        <w:t xml:space="preserve">/</w:t>
      </w:r>
      <w:r>
        <w:rPr>
          <w:b/>
          <w:bCs/>
        </w:rPr>
        <w:t xml:space="preserve">[G-17]</w:t>
      </w:r>
      <w:r>
        <w:t xml:space="preserve"> seit #136 umgesetzt.*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Im </w:t>
      </w:r>
      <w:r>
        <w:rPr>
          <w:b/>
          <w:bCs/>
        </w:rPr>
        <w:t xml:space="preserve">Zeichnungsblatt (Modul 7)</w:t>
      </w:r>
      <w:r>
        <w:t xml:space="preserve"> und damit im Zeichnungs-PDF steht zusätzlich die </w:t>
      </w:r>
      <w:r>
        <w:rPr>
          <w:b/>
          <w:bCs/>
        </w:rPr>
        <w:t xml:space="preserve">Bodenblech-Maßkette</w:t>
      </w:r>
      <w:r>
        <w:t xml:space="preserve"> – </w:t>
      </w:r>
      <w:r>
        <w:rPr>
          <w:b/>
          <w:bCs/>
        </w:rPr>
        <w:t xml:space="preserve">unter</w:t>
      </w:r>
      <w:r>
        <w:t xml:space="preserve"> dem Gesamtmaß, damit sie weder dieses noch die Ausgleichspunktmarken verdeckt: je </w:t>
      </w:r>
      <w:r>
        <w:rPr>
          <w:b/>
          <w:bCs/>
        </w:rPr>
        <w:t xml:space="preserve">realem Bodenblechteil</w:t>
      </w:r>
      <w:r>
        <w:t xml:space="preserve"> aus der Zerlegung des Rechenkerns (</w:t>
      </w:r>
      <w:r>
        <w:rPr>
          <w:b/>
          <w:bCs/>
        </w:rPr>
        <w:t xml:space="preserve">[A-10]</w:t>
      </w:r>
      <w:r>
        <w:t xml:space="preserve">…</w:t>
      </w:r>
      <w:r>
        <w:rPr>
          <w:b/>
          <w:bCs/>
        </w:rPr>
        <w:t xml:space="preserve">[A-12]</w:t>
      </w:r>
      <w:r>
        <w:t xml:space="preserve">, gelesen, nie nachgerechnet) </w:t>
      </w:r>
      <w:r>
        <w:rPr>
          <w:b/>
          <w:bCs/>
        </w:rPr>
        <w:t xml:space="preserve">ein Glied</w:t>
      </w:r>
      <w:r>
        <w:t xml:space="preserve"> an seiner </w:t>
      </w:r>
      <w:r>
        <w:rPr>
          <w:b/>
          <w:bCs/>
        </w:rPr>
        <w:t xml:space="preserve">Rasterlage</w:t>
      </w:r>
      <w:r>
        <w:t xml:space="preserve"> (die Teilstriche stehen auf den gezeichneten Blechgrenzen), angeschrieben mit dem Maß, </w:t>
      </w:r>
      <w:r>
        <w:rPr>
          <w:b/>
          <w:bCs/>
        </w:rPr>
        <w:t xml:space="preserve">unter dem das Teil in der Stückliste steht</w:t>
      </w:r>
      <w:r>
        <w:t xml:space="preserve"> – beim Standardblech das </w:t>
      </w:r>
      <w:r>
        <w:rPr>
          <w:b/>
          <w:bCs/>
        </w:rPr>
        <w:t xml:space="preserve">Rastermaß</w:t>
      </w:r>
      <w:r>
        <w:t xml:space="preserve">, beim Sonderzuschnitt sein </w:t>
      </w:r>
      <w:r>
        <w:rPr>
          <w:b/>
          <w:bCs/>
        </w:rPr>
        <w:t xml:space="preserve">Fertigmaß</w:t>
      </w:r>
      <w:r>
        <w:t xml:space="preserve"> mit dem Teileartzeichen ◆ (</w:t>
      </w:r>
      <w:r>
        <w:rPr>
          <w:b/>
          <w:bCs/>
        </w:rPr>
        <w:t xml:space="preserve">[P-19]</w:t>
      </w:r>
      <w:r>
        <w:t xml:space="preserve">). Eine </w:t>
      </w:r>
      <w:r>
        <w:rPr>
          <w:b/>
          <w:bCs/>
        </w:rPr>
        <w:t xml:space="preserve">Aussparung</w:t>
      </w:r>
      <w:r>
        <w:t xml:space="preserve"> (</w:t>
      </w:r>
      <w:r>
        <w:rPr>
          <w:b/>
          <w:bCs/>
        </w:rPr>
        <w:t xml:space="preserve">[A-28]</w:t>
      </w:r>
      <w:r>
        <w:t xml:space="preserve">) hat kein Teil und bleibt eine </w:t>
      </w:r>
      <w:r>
        <w:rPr>
          <w:b/>
          <w:bCs/>
        </w:rPr>
        <w:t xml:space="preserve">Lücke</w:t>
      </w:r>
      <w:r>
        <w:t xml:space="preserve"> der Kette. Die Kette geht damit </w:t>
      </w:r>
      <w:r>
        <w:rPr>
          <w:b/>
          <w:bCs/>
        </w:rPr>
        <w:t xml:space="preserve">geometrisch</w:t>
      </w:r>
      <w:r>
        <w:t xml:space="preserve"> immer mit der Wandlänge auf (Glieder + Aussparungen = Wandlänge, </w:t>
      </w:r>
      <w:r>
        <w:rPr>
          <w:b/>
          <w:bCs/>
        </w:rPr>
        <w:t xml:space="preserve">[A-29]</w:t>
      </w:r>
      <w:r>
        <w:t xml:space="preserve">); die angeschriebenen Zahlen weichen davon gewollt um die Aussparungen und um das Blechspiel des Sonderzuschnitts (</w:t>
      </w:r>
      <w:r>
        <w:rPr>
          <w:b/>
          <w:bCs/>
        </w:rPr>
        <w:t xml:space="preserve">[A-12]</w:t>
      </w:r>
      <w:r>
        <w:t xml:space="preserve">) ab – die Kette beantwortet, </w:t>
      </w:r>
      <w:r>
        <w:rPr>
          <w:b/>
          <w:bCs/>
        </w:rPr>
        <w:t xml:space="preserve">welches Blech wo liegt</w:t>
      </w:r>
      <w:r>
        <w:t xml:space="preserve">, die Wandlänge steht als Gesamtmaß daneben. Passt eine Zahl nicht zwischen ihre Teilstriche, weicht sie deterministisch in eine Zeile unter die Kette aus; der Blattmaßstab (</w:t>
      </w:r>
      <w:r>
        <w:rPr>
          <w:b/>
          <w:bCs/>
        </w:rPr>
        <w:t xml:space="preserve">[D-2]</w:t>
      </w:r>
      <w:r>
        <w:t xml:space="preserve">) bleibt unberührt. Ein Altstand ohne reale Teilzerlegung bekommt </w:t>
      </w:r>
      <w:r>
        <w:rPr>
          <w:b/>
          <w:bCs/>
        </w:rPr>
        <w:t xml:space="preserve">keine</w:t>
      </w:r>
      <w:r>
        <w:t xml:space="preserve"> Kette.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w:t>
      </w:r>
      <w:r>
        <w:rPr>
          <w:b/>
          <w:bCs/>
        </w:rPr>
        <w:t xml:space="preserve">Jede Standardlänge trägt ihre eigene Farbe:</w:t>
      </w:r>
      <w:r>
        <w:t xml:space="preserve"> maßgebend ist der </w:t>
      </w:r>
      <w:r>
        <w:rPr>
          <w:b/>
          <w:bCs/>
        </w:rPr>
        <w:t xml:space="preserve">Rang der Länge in den Standardlängen des zugeordneten Bauteilkatalogs</w:t>
      </w:r>
      <w:r>
        <w:t xml:space="preserve"> (absteigend, die längste zuerst; Produkte, die ausdrücklich nur eine andere Rolle benennen – etwa das Reststück –, zählen nicht) und </w:t>
      </w:r>
      <w:r>
        <w:rPr>
          <w:b/>
          <w:bCs/>
        </w:rPr>
        <w:t xml:space="preserve">nicht</w:t>
      </w:r>
      <w:r>
        <w:t xml:space="preserve"> ihr Rang in den Stücken der einzelnen Wand – dieselbe Länge trägt damit in </w:t>
      </w:r>
      <w:r>
        <w:rPr>
          <w:b/>
          <w:bCs/>
        </w:rPr>
        <w:t xml:space="preserve">jeder</w:t>
      </w:r>
      <w:r>
        <w:t xml:space="preserve"> Wand des Projekts und in </w:t>
      </w:r>
      <w:r>
        <w:rPr>
          <w:b/>
          <w:bCs/>
        </w:rPr>
        <w:t xml:space="preserve">jeder</w:t>
      </w:r>
      <w:r>
        <w:t xml:space="preserve"> Ansicht dieselbe Farbe. Längen stehen dafür </w:t>
      </w:r>
      <w:r>
        <w:rPr>
          <w:b/>
          <w:bCs/>
        </w:rPr>
        <w:t xml:space="preserve">nie</w:t>
      </w:r>
      <w:r>
        <w:t xml:space="preserve"> im Code: kommt eine Standardlänge in den Katalog, bekommt sie ohne Codeänderung ihre Farbe aus einer </w:t>
      </w:r>
      <w:r>
        <w:rPr>
          <w:b/>
          <w:bCs/>
        </w:rPr>
        <w:t xml:space="preserve">festen, geordneten Palette</w:t>
      </w:r>
      <w:r>
        <w:t xml:space="preserve"> (die längste Blau, die zweite Grün) bzw. aus deren </w:t>
      </w:r>
      <w:r>
        <w:rPr>
          <w:b/>
          <w:bCs/>
        </w:rPr>
        <w:t xml:space="preserve">deterministischer Fortsetzung</w:t>
      </w:r>
      <w:r>
        <w:t xml:space="preserve">, die zu allen übrigen Kennfarben und zu den bereits vergebenen Stangenfarben einen Mindestabstand hält. Ohne Katalog gilt die im Wandelement geführte Auswahl der Standardlängen, bei einem Altstand ohne Längenliste die vorhandenen Längen der Wand; eine Länge, die in der maßgebenden Folge fehlt, wird </w:t>
      </w:r>
      <w:r>
        <w:rPr>
          <w:b/>
          <w:bCs/>
        </w:rPr>
        <w:t xml:space="preserve">hinten</w:t>
      </w:r>
      <w:r>
        <w:t xml:space="preserve"> angehängt und verschiebt die Katalogränge nicht. </w:t>
      </w:r>
      <w:r>
        <w:rPr>
          <w:b/>
          <w:bCs/>
        </w:rPr>
        <w:t xml:space="preserve">Orange bleibt allein dem Sonderzuschnitt vorbehalten</w:t>
      </w:r>
      <w:r>
        <w:t xml:space="preserve">, das Reststück trägt eine </w:t>
      </w:r>
      <w:r>
        <w:rPr>
          <w:b/>
          <w:bCs/>
        </w:rPr>
        <w:t xml:space="preserve">eigene dritte Farbe</w:t>
      </w:r>
      <w:r>
        <w:t xml:space="preserve"> (Pink – das frühere Violett war vom Violett der Verzahnungskennzeichnung nicht unterscheidbar), und </w:t>
      </w:r>
      <w:r>
        <w:rPr>
          <w:b/>
          <w:bCs/>
        </w:rPr>
        <w:t xml:space="preserve">Kopplungsmuttern</w:t>
      </w:r>
      <w:r>
        <w:t xml:space="preserve"> tragen </w:t>
      </w:r>
      <w:r>
        <w:rPr>
          <w:b/>
          <w:bCs/>
        </w:rPr>
        <w:t xml:space="preserve">keine</w:t>
      </w:r>
      <w:r>
        <w:t xml:space="preserve"> Stangenfarbe.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 </w:t>
      </w:r>
      <w:r>
        <w:rPr>
          <w:b/>
          <w:bCs/>
        </w:rPr>
        <w:t xml:space="preserve">jede gezeichnete Standardlänge mit ihrer Länge</w:t>
      </w:r>
      <w:r>
        <w:t xml:space="preserve"> (etwa „Gewindestange 1050 mm“), dann Sonderzuschnitt, dann Reststück mit seiner Länge – und nennt </w:t>
      </w:r>
      <w:r>
        <w:rPr>
          <w:b/>
          <w:bCs/>
        </w:rPr>
        <w:t xml:space="preserve">nur</w:t>
      </w:r>
      <w:r>
        <w:t xml:space="preserve">, was im Bild bzw. Blatt auch vorkommt;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 – </w:t>
      </w:r>
      <w:r>
        <w:rPr>
          <w:b/>
          <w:bCs/>
        </w:rPr>
        <w:t xml:space="preserve">Fortgeschrieben am 2026-10-07</w:t>
      </w:r>
      <w:r>
        <w:t xml:space="preserve"> (Entscheidung Tibor): bis dahin trugen </w:t>
      </w:r>
      <w:r>
        <w:rPr>
          <w:b/>
          <w:bCs/>
        </w:rPr>
        <w:t xml:space="preserve">alle</w:t>
      </w:r>
      <w:r>
        <w:t xml:space="preserve"> Standardlängen dieselbe Farbe, sodass 1050 mm und 820 mm im Bild nicht zu unterscheiden waren, und die Legende nannte die Stangenarten auch dann, wenn sie gar nicht gezeichnet waren. Neu sind die Farbe </w:t>
      </w:r>
      <w:r>
        <w:rPr>
          <w:b/>
          <w:bCs/>
        </w:rPr>
        <w:t xml:space="preserve">je Standardlänge</w:t>
      </w:r>
      <w:r>
        <w:t xml:space="preserve"> nach ihrem </w:t>
      </w:r>
      <w:r>
        <w:rPr>
          <w:b/>
          <w:bCs/>
        </w:rPr>
        <w:t xml:space="preserve">Katalograng</w:t>
      </w:r>
      <w:r>
        <w:t xml:space="preserve"> (bewusst nicht nach den Stücken der Wand, sonst wechselte dieselbe Länge je Wand die Farbe), die Legende </w:t>
      </w:r>
      <w:r>
        <w:rPr>
          <w:b/>
          <w:bCs/>
        </w:rPr>
        <w:t xml:space="preserve">mit Längen und nur für Gezeichnetes</w:t>
      </w:r>
      <w:r>
        <w:t xml:space="preserve"> und die neue Reststückfarbe; Sonderzuschnitt-Orange, Stückableitung, Mengen und Geometrie sind unverändert.</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die Bleche und die </w:t>
      </w:r>
      <w:r>
        <w:rPr>
          <w:b/>
          <w:bCs/>
        </w:rPr>
        <w:t xml:space="preserve">Breite des Einlegeblechs in Wandrichtung</w:t>
      </w:r>
      <w:r>
        <w:t xml:space="preserve"> (Katalogfeld breite_mm, ab Standardkatalog v5 30 mm; </w:t>
      </w:r>
      <w:r>
        <w:rPr>
          <w:b/>
          <w:bCs/>
        </w:rPr>
        <w:t xml:space="preserve">ohne</w:t>
      </w:r>
      <w:r>
        <w:t xml:space="preserve"> Untergrenze, ohne eindeutiges Katalogmaß bleibt es beim Symbolmaß)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w:t>
      </w:r>
      <w:r>
        <w:rPr>
          <w:b/>
          <w:bCs/>
        </w:rPr>
        <w:t xml:space="preserve">Maßstäblich</w:t>
      </w:r>
      <w:r>
        <w:t xml:space="preserve"> ist seit dem 2026-10-07 auch die </w:t>
      </w:r>
      <w:r>
        <w:rPr>
          <w:b/>
          <w:bCs/>
        </w:rPr>
        <w:t xml:space="preserve">Sechskantschraube am Fuß</w:t>
      </w:r>
      <w:r>
        <w:t xml:space="preserve">, sobald ihre Maße vorliegen: der </w:t>
      </w:r>
      <w:r>
        <w:rPr>
          <w:b/>
          <w:bCs/>
        </w:rPr>
        <w:t xml:space="preserve">Schaft</w:t>
      </w:r>
      <w:r>
        <w:t xml:space="preserve"> ist so breit wie der </w:t>
      </w:r>
      <w:r>
        <w:rPr>
          <w:b/>
          <w:bCs/>
        </w:rPr>
        <w:t xml:space="preserve">Gewinde-Nenndurchmesser</w:t>
      </w:r>
      <w:r>
        <w:t xml:space="preserve"> des gewählten Katalogprodukts (M10 → 10 mm), der </w:t>
      </w:r>
      <w:r>
        <w:rPr>
          <w:b/>
          <w:bCs/>
        </w:rPr>
        <w:t xml:space="preserve">Kopf</w:t>
      </w:r>
      <w:r>
        <w:t xml:space="preserve"> so breit wie die </w:t>
      </w:r>
      <w:r>
        <w:rPr>
          <w:b/>
          <w:bCs/>
        </w:rPr>
        <w:t xml:space="preserve">Schlüsselweite</w:t>
      </w:r>
      <w:r>
        <w:t xml:space="preserve"> (17 mm) und so hoch wie das </w:t>
      </w:r>
      <w:r>
        <w:rPr>
          <w:b/>
          <w:bCs/>
        </w:rPr>
        <w:t xml:space="preserve">Normmaß DIN 933 M10</w:t>
      </w:r>
      <w:r>
        <w:t xml:space="preserve"> (7 mm) – der Kopf ist also breiter als der Schaft. Fehlt ein Katalogmaß, bleibt das betroffene Teil Symbol, der Kopf dabei immer </w:t>
      </w:r>
      <w:r>
        <w:rPr>
          <w:b/>
          <w:bCs/>
        </w:rPr>
        <w:t xml:space="preserve">ganz</w:t>
      </w:r>
      <w:r>
        <w:t xml:space="preserve"> (Breite und Höhe). Schraube und Kopplungsmutter tragen </w:t>
      </w:r>
      <w:r>
        <w:rPr>
          <w:b/>
          <w:bCs/>
        </w:rPr>
        <w:t xml:space="preserve">eigene Kennfarben</w:t>
      </w:r>
      <w:r>
        <w:t xml:space="preserve">: die Kopplungsmutter ein </w:t>
      </w:r>
      <w:r>
        <w:rPr>
          <w:b/>
          <w:bCs/>
        </w:rPr>
        <w:t xml:space="preserve">kräftiges Pink</w:t>
      </w:r>
      <w:r>
        <w:t xml:space="preserve">, damit sie sich klar von den Gewindestangen abhebt – unterscheidbar vom Pink des Reststücks und vom Magenta des Ausgleichspunkts –, die Schraube ein dunkles Braun.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war in keinem dieser Issues umgestellt worden; </w:t>
      </w:r>
      <w:r>
        <w:rPr>
          <w:b/>
          <w:bCs/>
        </w:rPr>
        <w:t xml:space="preserve">seit dem 2026-10-07</w:t>
      </w:r>
      <w:r>
        <w:t xml:space="preserve"> zeichnet es Sechskantschraube, Kopplungsmutter, Spannplatte samt Spannmutter, die Spannmutter unter dem Kopfblech und das Einlegeblech samt Mutter mit </w:t>
      </w:r>
      <w:r>
        <w:rPr>
          <w:b/>
          <w:bCs/>
        </w:rPr>
        <w:t xml:space="preserve">denselben</w:t>
      </w:r>
      <w:r>
        <w:t xml:space="preserve"> Bausteinen und </w:t>
      </w:r>
      <w:r>
        <w:rPr>
          <w:b/>
          <w:bCs/>
        </w:rPr>
        <w:t xml:space="preserve">denselben</w:t>
      </w:r>
      <w:r>
        <w:t xml:space="preserve"> Bauteilmaßen wie Modul 1 und Modul 7, die Gewindestange maßstäblich; ein Vergleichstest prüft die drei Ausgaben gegeneinander. Deckenanschluss und Ausgleichspunkt fehlen dort weiterhin, und der Maßstab des Baugruppenbilds hängt weiter an der Bildfläche – beides bleibt benannter Nachziehpunkt (</w:t>
      </w:r>
      <w:r>
        <w:rPr>
          <w:b/>
          <w:bCs/>
        </w:rPr>
        <w:t xml:space="preserve">[P-6]</w:t>
      </w:r>
      <w:r>
        <w:t xml:space="preserve">). Ebenfalls am 2026-10-07 festgehalten und </w:t>
      </w:r>
      <w:r>
        <w:rPr>
          <w:b/>
          <w:bCs/>
        </w:rPr>
        <w:t xml:space="preserve">offen</w:t>
      </w:r>
      <w:r>
        <w:t xml:space="preserve">: Teile </w:t>
      </w:r>
      <w:r>
        <w:rPr>
          <w:b/>
          <w:bCs/>
        </w:rPr>
        <w:t xml:space="preserve">ohne</w:t>
      </w:r>
      <w:r>
        <w:t xml:space="preserve"> Katalogmaß (sowie Schenkel und Strich des Einlegeblechs) sind nach dieser Regel in Papier-mm fest und deshalb – relativ zur Wand – in Modul 1 und Modul 7 verschieden groß, sobald der Blattmaßstab vom Ansichtsmaßstab abweicht; eine gleiche Größe relativ zur Wand verlangte, diese Regel zu ändern.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Bearbeitung [D-3] (Bodenblech-Maßkette, 2026-10-07): Die Zeichnung zeigte die Bodenblechteile nur als Fläche mit Stoßmarken – welches Stücklistenblech wo liegt, war für die Montage nicht ablesbar. Entschieden wurde eine </w:t>
      </w:r>
      <w:r>
        <w:rPr>
          <w:b/>
          <w:bCs/>
        </w:rPr>
        <w:t xml:space="preserve">Maßkette statt Nummernblasen</w:t>
      </w:r>
      <w:r>
        <w:t xml:space="preserve"> (Entscheid Tibor 2026-10-07): sie braucht keinen zweiten Schlüssel zur Stückliste, weil sie deren Maß selbst nennt. Die Kette ist rein additiv – Gesamtmaß, Ausgleichspunktmarken, Maßstab und Blattgröße bleiben unverändert.</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Der Wert ist eine </w:t>
      </w:r>
      <w:r>
        <w:rPr>
          <w:b/>
          <w:bCs/>
        </w:rPr>
        <w:t xml:space="preserve">freie Zielhöhe</w:t>
      </w:r>
      <w:r>
        <w:t xml:space="preserve"> (</w:t>
      </w:r>
      <w:r>
        <w:rPr>
          <w:b/>
          <w:bCs/>
        </w:rPr>
        <w:t xml:space="preserve">[G-2]</w:t>
      </w:r>
      <w:r>
        <w:t xml:space="preserve">) und wird </w:t>
      </w:r>
      <w:r>
        <w:rPr>
          <w:b/>
          <w:bCs/>
        </w:rPr>
        <w:t xml:space="preserve">in keinem Fall still gerundet</w:t>
      </w:r>
      <w:r>
        <w:t xml:space="preserve">: ist er kein Vielfaches von COURSE = 200 mm, entsteht bei aktivierter Ausgleichslage </w:t>
      </w:r>
      <w:r>
        <w:rPr>
          <w:b/>
          <w:bCs/>
        </w:rPr>
        <w:t xml:space="preserve">genau eine obere Ausgleichslage</w:t>
      </w:r>
      <w:r>
        <w:t xml:space="preserve"> (</w:t>
      </w:r>
      <w:r>
        <w:rPr>
          <w:b/>
          <w:bCs/>
        </w:rPr>
        <w:t xml:space="preserve">[G-13]</w:t>
      </w:r>
      <w:r>
        <w:t xml:space="preserve">), sonst wird die Abweichung beim Anlegen </w:t>
      </w:r>
      <w:r>
        <w:rPr>
          <w:b/>
          <w:bCs/>
        </w:rPr>
        <w:t xml:space="preserve">benannt</w:t>
      </w:r>
      <w:r>
        <w:t xml:space="preserve"> (</w:t>
      </w:r>
      <w:r>
        <w:rPr>
          <w:b/>
          <w:bCs/>
        </w:rPr>
        <w:t xml:space="preserve">[G-14]</w:t>
      </w:r>
      <w:r>
        <w:t xml:space="preserve">)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2026-10-07T11:48:09.137Z</dcterms:created>
  <dcterms:modified xsi:type="dcterms:W3CDTF">2026-10-07T11:48:09.137Z</dcterms:modified>
</cp:coreProperties>
</file>

<file path=docProps/custom.xml><?xml version="1.0" encoding="utf-8"?>
<Properties xmlns="http://schemas.openxmlformats.org/officeDocument/2006/custom-properties" xmlns:vt="http://schemas.openxmlformats.org/officeDocument/2006/docPropsVTypes"/>
</file>