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besitzt eine wählbare Startachse (1. oder 2. Rasterachse), verteilt danach balanciert und hält den maximalen Achsabstand ein. Für Sonderkonstruktionen können die Achsen in Modul 1 manuell gesetzt werden (prestress.columns_grid) – dann gilt exakt dieser Achsen-Satz.</w:t>
      </w:r>
    </w:p>
    <w:p>
      <w:pPr>
        <w:pBdr>
          <w:left w:val="single" w:color="E0B400" w:sz="18" w:space="6"/>
        </w:pBdr>
        <w:shd w:fill="FFF8E6" w:val="clear"/>
        <w:spacing w:after="120" w:before="80"/>
      </w:pPr>
      <w:r>
        <w:t xml:space="preserve">Neu bestätigte Zielregeln: Jeder Stein muss von mindestens einer Spannachse gehalten werden; in der untersten Steinreihe sollen automatisch gesetzte Achsen möglichst mittig in i3-Steinen liegen. Diese Muss-/Optimierungsregeln gehen der bloßen Abstandsverteilung vor. Die vollständige Implementierung und Regressionstests sind noch als offener Entwicklungsstand gekennzeichnet (Kap. 16.2).</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ZIEL – OFFEN]</w:t>
      </w:r>
      <w:r>
        <w:t xml:space="preserve"> Jeder einzelne Stein muss in seinem belegten Höhenabschnitt von mindestens einer Spannachse gehalten werden. Ein eingehaltenes Maximalraster allein beweist diese Steinabdeckung nicht.</w:t>
      </w:r>
    </w:p>
    <w:p>
      <w:pPr>
        <w:pStyle w:val="ListParagraph"/>
        <w:numPr>
          <w:ilvl w:val="0"/>
          <w:numId w:val="2"/>
        </w:numPr>
        <w:spacing w:after="60"/>
      </w:pPr>
      <w:r>
        <w:rPr>
          <w:b/>
          <w:bCs/>
        </w:rPr>
        <w:t xml:space="preserve">[V-3 · ZIEL – OFFEN]</w:t>
      </w:r>
      <w:r>
        <w:t xml:space="preserve"> In der untersten Steinreihe sollen automatisch gesetzte Spannachsen – nach Erfüllung aller Muss-Regeln – möglichst mittig in den i3-Steinen liegen.</w:t>
      </w:r>
    </w:p>
    <w:p>
      <w:pPr>
        <w:pStyle w:val="ListParagraph"/>
        <w:numPr>
          <w:ilvl w:val="0"/>
          <w:numId w:val="2"/>
        </w:numPr>
        <w:spacing w:after="60"/>
      </w:pPr>
      <w:r>
        <w:rPr>
          <w:b/>
          <w:bCs/>
        </w:rPr>
        <w:t xml:space="preserve">[V-4]</w:t>
      </w:r>
      <w:r>
        <w:t xml:space="preserve"> Vorspannung höchstens alle 3 Raster (MAX_SPAN_GRID = 3 = 375 mm); diese Obergrenze ist zusätzlich zur Steinabdeckung einzuhalten und nicht alleinige Verteilungsregel.</w:t>
      </w:r>
    </w:p>
    <w:p>
      <w:pPr>
        <w:pStyle w:val="ListParagraph"/>
        <w:numPr>
          <w:ilvl w:val="0"/>
          <w:numId w:val="2"/>
        </w:numPr>
        <w:spacing w:after="60"/>
      </w:pPr>
      <w:r>
        <w:rPr>
          <w:b/>
          <w:bCs/>
        </w:rPr>
        <w:t xml:space="preserve">[V-5]</w:t>
      </w:r>
      <w:r>
        <w:t xml:space="preserve"> Die Auto-Verteilung startet wahlweise auf der 1. oder 2. Rasterachse (prestress.start_axis_grid) und verteilt danach innerhalb der Muss-Regeln balanciert bis zur letzten Achse.</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müssen aber als Sonderkonstruktion gegen die Muss-Regeln validiert werden.</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w:t>
      </w:r>
      <w:r>
        <w:t xml:space="preserve"> </w:t>
      </w:r>
      <w:r>
        <w:rPr>
          <w:b/>
          <w:bCs/>
        </w:rPr>
        <w:t xml:space="preserve">Darstellungsschlüssel.</w:t>
      </w:r>
      <w:r>
        <w:t xml:space="preserve"> Das Blatt zeigt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sowie je Spannachse die </w:t>
      </w:r>
      <w:r>
        <w:rPr>
          <w:b/>
          <w:bCs/>
        </w:rPr>
        <w:t xml:space="preserve">realen Stangenstücke</w:t>
      </w:r>
      <w:r>
        <w:t xml:space="preserve"> mit Kopplungen, Verankerung (Bodenblech/Spannplatte/Kopfblech) und </w:t>
      </w:r>
      <w:r>
        <w:rPr>
          <w:b/>
          <w:bCs/>
        </w:rPr>
        <w:t xml:space="preserve">eigens gekennzeichneter Sonderlänge</w:t>
      </w:r>
      <w:r>
        <w:t xml:space="preserve"> (</w:t>
      </w:r>
      <w:r>
        <w:rPr>
          <w:b/>
          <w:bCs/>
        </w:rPr>
        <w:t xml:space="preserve">[Z-2]</w:t>
      </w:r>
      <w:r>
        <w:t xml:space="preserve">/</w:t>
      </w:r>
      <w:r>
        <w:rPr>
          <w:b/>
          <w:bCs/>
        </w:rPr>
        <w:t xml:space="preserve">[Z-3]</w:t>
      </w:r>
      <w:r>
        <w:t xml:space="preserve">). </w:t>
      </w:r>
      <w:r>
        <w:rPr>
          <w:b/>
          <w:bCs/>
        </w:rPr>
        <w:t xml:space="preserve">Alle drei Stückarten sind optisch unterscheidbar</w:t>
      </w:r>
      <w:r>
        <w:t xml:space="preserve">: Standardlänge, Sonderzuschnitt und das </w:t>
      </w:r>
      <w:r>
        <w:rPr>
          <w:b/>
          <w:bCs/>
        </w:rPr>
        <w:t xml:space="preserve">Reststück am oberen Wandabschluss</w:t>
      </w:r>
      <w:r>
        <w:t xml:space="preserve"> (</w:t>
      </w:r>
      <w:r>
        <w:rPr>
          <w:b/>
          <w:bCs/>
        </w:rPr>
        <w:t xml:space="preserve">[Z-6]</w:t>
      </w:r>
      <w:r>
        <w:t xml:space="preserve">) tragen je eine eigene Farbe mit eigenem Legendeneintrag – sonst wäre auf dem Blatt nicht erkennbar, dass an der Wandoberkante ein eigenes Bauteil sitzt. Die Vorspann-Kennzahlen weisen das Reststück </w:t>
      </w:r>
      <w:r>
        <w:rPr>
          <w:b/>
          <w:bCs/>
        </w:rPr>
        <w:t xml:space="preserve">getrennt</w:t>
      </w:r>
      <w:r>
        <w:t xml:space="preserve"> von den Sonderlängen aus; ist keines gewählt, bleibt die Zeile leer statt eine Standardlänge zu unterstellen.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Style w:val="ListParagraph"/>
        <w:numPr>
          <w:ilvl w:val="0"/>
          <w:numId w:val="2"/>
        </w:numPr>
        <w:spacing w:after="60"/>
      </w:pPr>
      <w:r>
        <w:rPr>
          <w:b/>
          <w:bCs/>
        </w:rPr>
        <w:t xml:space="preserve">[D-5 · MUSS]</w:t>
      </w:r>
      <w:r>
        <w:t xml:space="preserve"> </w:t>
      </w:r>
      <w:r>
        <w:rPr>
          <w:b/>
          <w:bCs/>
        </w:rPr>
        <w:t xml:space="preserve">Zielregeln nur als Hinweis.</w:t>
      </w:r>
      <w:r>
        <w:t xml:space="preserve"> Die vier Vorspann-Zielregeln (jeder Stein von mindestens einer Spannachse gehalten; automatische Achsen möglichst mittig im i3-Stein der untersten Reihe; bei Öffnungen über 750 mm beidseitig zwei Achsen; jedes Blech von mindestens zwei Achsen gehalten) dürfen auf dem Blatt </w:t>
      </w:r>
      <w:r>
        <w:rPr>
          <w:b/>
          <w:bCs/>
        </w:rPr>
        <w:t xml:space="preserve">ausschließlich als Planungshinweis/Zielregel mit ausdrücklichem Vermerk „nicht automatisch geprüft“</w:t>
      </w:r>
      <w:r>
        <w:t xml:space="preserve"> erscheinen. Eine Darstellung als erfüllte, geprüfte oder eingehaltene Eigenschaft der gezeichneten Wand ist </w:t>
      </w:r>
      <w:r>
        <w:rPr>
          <w:b/>
          <w:bCs/>
        </w:rPr>
        <w:t xml:space="preserve">unzulässig</w:t>
      </w:r>
      <w:r>
        <w:t xml:space="preserve">, solange die Suite diese Regeln nicht prüft.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2026-08-06T09:12:43.613Z</dcterms:created>
  <dcterms:modified xsi:type="dcterms:W3CDTF">2026-08-06T09:12:43.614Z</dcterms:modified>
</cp:coreProperties>
</file>

<file path=docProps/custom.xml><?xml version="1.0" encoding="utf-8"?>
<Properties xmlns="http://schemas.openxmlformats.org/officeDocument/2006/custom-properties" xmlns:vt="http://schemas.openxmlformats.org/officeDocument/2006/docPropsVTypes"/>
</file>