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Pflichtpunkt; die Verteilung der Ausgleichspunkte selbst bleibt </w:t>
      </w:r>
      <w:r>
        <w:rPr>
          <w:b/>
          <w:bCs/>
        </w:rPr>
        <w:t xml:space="preserve">unverändert</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Spannachsen und die Verteilung der Ausgleichsbleche.</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2026-09-18T11:47:14.949Z</dcterms:created>
  <dcterms:modified xsi:type="dcterms:W3CDTF">2026-09-18T11:47:14.949Z</dcterms:modified>
</cp:coreProperties>
</file>

<file path=docProps/custom.xml><?xml version="1.0" encoding="utf-8"?>
<Properties xmlns="http://schemas.openxmlformats.org/officeDocument/2006/custom-properties" xmlns:vt="http://schemas.openxmlformats.org/officeDocument/2006/docPropsVTypes"/>
</file>