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C2430"/>
          <w:sz w:val="52"/>
          <w:szCs w:val="52"/>
        </w:rPr>
        <w:t xml:space="preserve">SEMBLA Planungs-Suite</w:t>
      </w:r>
    </w:p>
    <w:p>
      <w:pPr>
        <w:spacing w:after="60"/>
      </w:pPr>
      <w:r>
        <w:rPr>
          <w:b/>
          <w:bCs/>
          <w:color w:val="1F6FEB"/>
          <w:sz w:val="36"/>
          <w:szCs w:val="36"/>
        </w:rPr>
        <w:t xml:space="preserve">Handbuch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Verbindliche, hierarchische Grundlage für den vollständig regelbasierten Planungsprozess sowie Funktionsbeschreibung aller Module und nachvollziehbare Aufbereitung der Berechnungen (Statik, Verbinder-Bemessung, Mengen). Für die interne Produktentwicklung und zur Prüfung durch Statiker.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Zur Einordnung: Die Suite ist eine Planungshilfe, kein prüffähiger Standsicherheitsnachweis. Material-, Prüf- und Sicherheitswerte stammen aus dem Gutachten Prof. Schermer bzw. der Bibliothek der Arbeitsmappe (Kap. 5.12) und sind projektbezogen vom Tragwerksplaner / von Polycare zu bestätigen. Der Statik-Nachweis (Kap. 5) folgt dem Gutachten Prof. Schermer, Az. 2025_7001 Rev 01 vom 18.05.2026 (nicht öffentlich), i. V. m. Z-3.15-2157, DIN EN 1996-1-1, DIN 4103-1 und DIN EN 1991-1-4.</w:t>
      </w:r>
    </w:p>
    <w:p>
      <w:pPr>
        <w:spacing w:after="60" w:before="120"/>
      </w:pPr>
      <w:r>
        <w:rPr>
          <w:b/>
          <w:bCs/>
          <w:sz w:val="24"/>
          <w:szCs w:val="24"/>
        </w:rP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· Überblick &amp; Zielgruppe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 SEMBLA Planungs-Suite plant vorgespannte Trockenmauerwerks-Wände aus den Systemsteinen i2 und i3 – vom ersten Entwurf über Statik, Wandaufbau und Stückliste bis zu Montage, 3D und BIM.</w:t>
      </w:r>
    </w:p>
    <w:p>
      <w:pPr>
        <w:spacing w:after="120"/>
      </w:pPr>
      <w:r>
        <w:t xml:space="preserve">Sieben Module (0–6) greifen auf ein gemeinsames Datenmodell zu (das „Wandelement”). Modul 0 legt ein Element mit Wandtyp an; Modul 1 erzeugt daraus die geprüfte Wandgeometrie. Alle weiteren Module lesen das Wandelement. So bleibt die Planung über alle Gewerke konsistent.</w:t>
      </w:r>
    </w:p>
    <w:p>
      <w:pPr>
        <w:spacing w:after="120"/>
      </w:pPr>
      <w:r>
        <w:t xml:space="preserve">Die Suite ist eine gehostete Web-App (GitHub Pages): live unter p0lycare.github.io/SEMBLA-planning-suite. Einstieg ist Modul 0 (index.html). Jedes Modul ist eine eigenständige HTML-Seite und läuft ohne Installation im Browser; das aktive Wandelement liegt im localStorage und ist für alle Module sichtbar.</w:t>
      </w:r>
    </w:p>
    <w:p>
      <w:pPr>
        <w:spacing w:after="120"/>
      </w:pPr>
      <w:r>
        <w:t xml:space="preserve">Dieses Handbuch richtet sich an (a) Statiker, die die Berechnungsansätze prüfen wollen (Kap. 5 + 9), und (b) das interne Entwicklungsteam, das die Suite ohne Programmier-Hintergrund weiterentwickelt (Kap. 4 + 13). Kapitel 15 ist die verbindliche fachliche Grundlage: Planung, Fehlerkorrekturen und Weiterentwicklung müssen auf ausdrücklich benannten Regeln beruhen.</w:t>
      </w:r>
    </w:p>
    <w:p>
      <w:pPr>
        <w:pStyle w:val="Heading1"/>
      </w:pPr>
      <w:r>
        <w:t xml:space="preserve">2 · Grundlagen, Raster &amp; Bausteine</w:t>
      </w:r>
    </w:p>
    <w:p>
      <w:pPr>
        <w:pStyle w:val="Heading2"/>
      </w:pPr>
      <w:r>
        <w:t xml:space="preserve">2.1 Systemraster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2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Größe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Wert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GRID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125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Längsraster (Steine, Nuten, Verbinderachsen)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COURSE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200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Lagenhöhe (eine Steinreihe)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THICK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125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Wandstärke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CHAMBER_OFFSET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62,5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Kammer-/Strangmitte ab Steinanfang → Achsen bei x = 62,5 + 125·k mm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ROD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1100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Standard-Gewindestange (in Modul 1 überschreibbar)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MAX_SPAN_GRID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Vorspannung höchstens alle 3 Raster (375 mm)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FORBIDDEN_N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{1, 4}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nicht baubare / nicht versetzbare Segmentbreiten (Raster)</w:t>
            </w:r>
          </w:p>
        </w:tc>
      </w:tr>
    </w:tbl>
    <w:p>
      <w:pPr>
        <w:pStyle w:val="Heading2"/>
      </w:pPr>
      <w:r>
        <w:t xml:space="preserve">2.2 Steine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1200"/>
        <w:gridCol w:w="1100"/>
        <w:gridCol w:w="41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Stein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Länge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Raster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Kammern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Nuten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Rolle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375 mm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Regelstein – wird maximiert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250 mm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nur zum Auffüllen der Wandenden</w:t>
            </w:r>
          </w:p>
        </w:tc>
      </w:tr>
    </w:tbl>
    <w:p>
      <w:pPr>
        <w:spacing w:after="120"/>
      </w:pPr>
      <w:r>
        <w:t xml:space="preserve">Nuten sind die innenliegenden Stege im 12,5-cm-Raster, in denen Verbinder befestigt werden – nie auf einer Steinkante/Stoßfuge. Kammern sind die durchgehenden Hohlräume (vertikal) für Gewindestangen/Lattice.</w:t>
      </w:r>
    </w:p>
    <w:p>
      <w:pPr>
        <w:pStyle w:val="Heading2"/>
      </w:pPr>
      <w:r>
        <w:t xml:space="preserve">2.3 Aufbau-Regeln (Verband)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i3-Maximierung:</w:t>
      </w:r>
      <w:r>
        <w:t xml:space="preserve"> jede Lage wird mit möglichst vielen i3 belegt; i2 nur als Endsteine.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Versatz:</w:t>
      </w:r>
      <w:r>
        <w:t xml:space="preserve"> Stoßfugen benachbarter Lagen müssen mindestens 1 Raster versetzt sein (gemeldet in validation.versatz_ok, in Modul 1 als Warnung).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Öffnungen</w:t>
      </w:r>
      <w:r>
        <w:t xml:space="preserve"> (Tür, Fenster, Durchbruch) lassen die Steine aus; der Sturz darüber wird wieder aufgefüllt.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Maße:</w:t>
      </w:r>
      <w:r>
        <w:t xml:space="preserve"> Länge = Vielfaches von 125 mm, Höhe = Vielfaches von 200 mm; FORBIDDEN_N-Breiten unzulässig.</w:t>
      </w:r>
    </w:p>
    <w:p>
      <w:pPr>
        <w:pStyle w:val="Heading2"/>
      </w:pPr>
      <w:r>
        <w:t xml:space="preserve">2.4 Vorspannstränge &amp; Anschlüsse (Bauteil-Logik)</w:t>
      </w:r>
    </w:p>
    <w:p>
      <w:pPr>
        <w:spacing w:after="120"/>
      </w:pPr>
      <w:r>
        <w:t xml:space="preserve">Vorspannstränge sitzen auf den Kammerachsen (x = 62,5 + 125·k). Pro durchgehend gefülltem vertikalen Abschnitt entsteht ein Strang-Segment. Über/unter Öffnungen wird der Strang unterbrochen (mehrere Segmente). Nur durchgehende Stränge (volle Wandhöhe) zählen statisch. Die Auto-Verteilung besitzt eine wählbare Startachse (1. oder 2. Rasterachse), verteilt danach balanciert und hält den maximalen Achsabstand ein. Für Sonderkonstruktionen können die Achsen in Modul 1 manuell gesetzt werden (prestress.columns_grid) – dann gilt exakt dieser Achsen-Satz.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Neu bestätigte Zielregeln: Jeder Stein muss von mindestens einer Spannachse gehalten werden; in der untersten Steinreihe sollen automatisch gesetzte Achsen möglichst mittig in i3-Steinen liegen. Diese Muss-/Optimierungsregeln gehen der bloßen Abstandsverteilung vor. Die vollständige Implementierung und Regressionstests sind noch als offener Entwicklungsstand gekennzeichnet (Kap. 15.2).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gewindestangen = ceil( h / rod )      verbindungsmuttern = gewindestangen - 1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letzte_stange  = h - (gewindestangen-1)*rod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verschnitt     = gewindestangen*rod - h</w:t>
      </w:r>
    </w:p>
    <w:p>
      <w:pPr>
        <w:pStyle w:val="Heading2"/>
      </w:pPr>
      <w:r>
        <w:t xml:space="preserve">2.5 Anschlüsse (Bodenblech / Kopfblech / Spannplatte)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Fuß immer Bodenblech</w:t>
      </w:r>
      <w:r>
        <w:t xml:space="preserve"> (Stahlblech 15 mm, so lang/breit wie die Wand, in Modulen der Blechlänge). Je Strang von unten eine </w:t>
      </w:r>
      <w:r>
        <w:rPr>
          <w:b/>
          <w:bCs/>
        </w:rPr>
        <w:t xml:space="preserve">Senkkopfschraube</w:t>
      </w:r>
      <w:r>
        <w:t xml:space="preserve">, oben eine </w:t>
      </w:r>
      <w:r>
        <w:rPr>
          <w:b/>
          <w:bCs/>
        </w:rPr>
        <w:t xml:space="preserve">Kopplungsmutter</w:t>
      </w:r>
      <w:r>
        <w:t xml:space="preserve">, in die die Gewindestange eingeschraubt wird.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Oberer Anschluss</w:t>
      </w:r>
      <w:r>
        <w:t xml:space="preserve"> wahlweise </w:t>
      </w:r>
      <w:r>
        <w:rPr>
          <w:b/>
          <w:bCs/>
        </w:rPr>
        <w:t xml:space="preserve">Kopfblech</w:t>
      </w:r>
      <w:r>
        <w:t xml:space="preserve"> (Blechmodule wie unten, Standard) oder </w:t>
      </w:r>
      <w:r>
        <w:rPr>
          <w:b/>
          <w:bCs/>
        </w:rPr>
        <w:t xml:space="preserve">Spannplatte</w:t>
      </w:r>
      <w:r>
        <w:t xml:space="preserve"> je Strang auf der oberen Steinkante (prestress.top_connection = blech | spannplatte).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Zwischenanker</w:t>
      </w:r>
      <w:r>
        <w:t xml:space="preserve"> (Segmentenden an Öffnungen) sind Spannplatten auf der Steinkante.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BOM je Wand: senkkopfschrauben, kopplungsmuttern_basis, spannplatten, spannmuttern, stahlblech_module (+ stahlblech_mm, dicke), Gewindestangen (Standard + Sonderlänge).</w:t>
      </w:r>
    </w:p>
    <w:p>
      <w:pPr>
        <w:pStyle w:val="Heading2"/>
      </w:pPr>
      <w:r>
        <w:t xml:space="preserve">2.6 Stoßfugen &amp; Dichtstreifen</w:t>
      </w:r>
    </w:p>
    <w:p>
      <w:pPr>
        <w:spacing w:after="120"/>
      </w:pPr>
      <w:r>
        <w:t xml:space="preserve">Die vertikalen Stoßfugen zwischen Steinen werden gezählt (bom.stossfugen). Für erhöhte Anforderungen (z. B. Schallschutz) werden Dichtstreifen eingelegt (je Fuge 20 cm = 1 Steinreihe); die Stückliste weist die Gesamtlänge aus (bom.dichtstreifen_mm).</w:t>
      </w:r>
    </w:p>
    <w:p>
      <w:pPr>
        <w:pStyle w:val="Heading2"/>
      </w:pPr>
      <w:r>
        <w:t xml:space="preserve">2.7 Staffelung (getreppter Aufbau)</w:t>
      </w:r>
    </w:p>
    <w:p>
      <w:pPr>
        <w:spacing w:after="120"/>
      </w:pPr>
      <w:r>
        <w:t xml:space="preserve">Eine Wand muss nicht rechteckig sein: über Stufen lässt sich die Oberkante bereichsweise absenken (getreppte Kontur, z. B. Musterwände). Jede Stufe ist ein Längsbereich [x0, x1] mit reduzierter Höhe; die eingegebene „Höhe” bleibt die Maximalhöhe. Stufen sind keine Öffnungen (kein Loch), sondern Teil der Außenkontur – daher keine Öffnungs-Überlappungen.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Steine werden je Längsabschnitt nur bis zur lokalen Oberkante gemauert (i3-Maximierung, Versatz gelten weiter).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Vorspannung läuft an der Treppe entlang:</w:t>
      </w:r>
      <w:r>
        <w:t xml:space="preserve"> an jeder Höhenstufe wird beidseitig der Kante ein Strang gesetzt (hohe und niedrige Seite) – analog zu den Laibungen an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Stränge sind je Abschnitt nur so hoch wie die lokale Oberkante (segmentiert); nur volle-Höhe-Stränge zählen statisch als durchgehend.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Modul 1 werden Stufen bemaßt: Breite an der Stufen-Oberkante und Höhe ab Boden (türkis, getrennt von Öffnungs-/Gesamtmaßen).</w:t>
      </w:r>
    </w:p>
    <w:p>
      <w:pPr>
        <w:pStyle w:val="Heading1"/>
      </w:pPr>
      <w:r>
        <w:t xml:space="preserve">3 · Datenmodell „Wandelement” &amp; Projekt-Bundle</w:t>
      </w:r>
    </w:p>
    <w:p>
      <w:pPr>
        <w:spacing w:after="120"/>
      </w:pPr>
      <w:r>
        <w:t xml:space="preserve">Das Wandelement ist eine JSON-Struktur und die „Single Source of Truth”. Wichtigste Felder: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Feld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length_mm, height_mm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Wandmaße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grid_mm, course_mm, thickness_mm, rod_mm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verwendete Raster / Stangenlänge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N_grid, lagen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Raster- und Lagenanzahl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courses[]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je Lage {lage, stones:[{x0,x1,type}]} (mm)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openings[]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{g0,g1,l0,l1,art}; art = tuer · fenster · durchbruch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steps[]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Staffelung/getreppte Kontur: {x0_mm,x1_mm,height_mm}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tension_columns[]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Stränge: {k,x_mm,durchgehend,segments[],gewindestangen,…}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sides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Vorder-/Rückseite je Funktion (fassade · innenausbau · sicht · installation)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base_plate, top_plate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Boden-/Kopfblech: {laenge_mm, breite_mm, dicke_mm(15), modul_mm, module}; top_plate=null bei Spannplatten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wandtyp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mit_wind | ohne_wind; wird ausschließlich in Modul 0 gewählt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prestress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{max_span_grid, start_axis_grid, force_kN, rod_mm, blech_mm, top_connection, columns_grid}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bom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i2/i3, gewindestangen, verbindungsmuttern, senkkopfschrauben, kopplungsmuttern_basis, spannplatten, spannmuttern, stahlblech_module/_mm, stossfugen, dichtstreifen_mm, verschnitt_mm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validation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{buildable, versatz_ok, versatz_violations, …}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verification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Statik-Status, Auslegung, Nachweise (von der Engine)</w:t>
            </w:r>
          </w:p>
        </w:tc>
      </w:tr>
    </w:tbl>
    <w:p>
      <w:pPr>
        <w:pStyle w:val="Heading2"/>
      </w:pPr>
      <w:r>
        <w:t xml:space="preserve">3.1 Zustand (localStorage), Eingaben &amp; Projektdatei</w:t>
      </w:r>
    </w:p>
    <w:p>
      <w:pPr>
        <w:spacing w:after="120"/>
      </w:pPr>
      <w:r>
        <w:t xml:space="preserve">Im laufenden Betrieb liegt das aktive Wandelement im localStorage des Browsers; Modul 0 verwaltet die Liste. Der zugehörige Bearbeitungsstand steht im Block eingaben = {projekt, aufbau, kosten, statik, katalog}. Jedes Modul schreibt ausschließlich seinen eigenen Eingaben-Abschnitt; abgeleitete Planungsergebnisse werden stets frisch berechnet und nicht als Schattenkopien gespeichert.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{ "format":"SEMBLA-Projekt", "version":2, "name":"…", "wandelement":{…}, "eingaben":{…} }</w:t>
      </w:r>
    </w:p>
    <w:p>
      <w:pPr>
        <w:spacing w:after="120"/>
      </w:pPr>
      <w:r>
        <w:t xml:space="preserve">Import und Export sind zentral in Modul 0. Ein Häkchen-Dialog erzeugt ein ZIP mit der Projektdatei und den gewählten Dokumenten (Stückliste/Zuschnitt, Montageanleitung, statischer Nachweis und IFC). Die einzelnen Fachmodule besitzen keine eigenen Datei-Buttons. Das interne localStorage-Schema, das öffentliche Projektformat und das separate Katalogformat sind voneinander unabhängige Versionsachsen.</w:t>
      </w:r>
    </w:p>
    <w:p>
      <w:pPr>
        <w:spacing w:after="120"/>
      </w:pPr>
      <w:r>
        <w:t xml:space="preserve">Der Bauteilkatalog ist eine eigene Ressource im Format SEMBLA-Bauteilkatalog v1. Im Projekt werden nur Quelle und ausgewählte Produkt-IDs referenziert; Produktmaße und Preise werden nicht in das Wandelement eingebettet. Fehlende Referenzen werden sichtbar gewarnt.</w:t>
      </w:r>
    </w:p>
    <w:p>
      <w:pPr>
        <w:pStyle w:val="Heading1"/>
      </w:pPr>
      <w:r>
        <w:t xml:space="preserve">4 · Architektur, Kerne &amp; Workflow</w:t>
      </w:r>
    </w:p>
    <w:p>
      <w:pPr>
        <w:spacing w:after="120"/>
      </w:pPr>
      <w:r>
        <w:t xml:space="preserve">Die fachliche Logik liegt in getesteten Kernen (reine Bibliotheken) in docs/shared/. Die Module sind handgepflegte HTML-Einzeldateien in docs/, die den gemeinsamen Code per &lt;script type="module"&gt; laden – kein Build-Schritt, kein Kopieren, keine Duplizierung.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86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Was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Datei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Wandaufbau-Kern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docs/shared/sembla-core.js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Verband, Stränge, BOM, Validierung. Einzige Betriebskopie (ES-Modul); tests/core/sembla_core.py ist die bit-genaue Test-Referenz (Parität über Fixtures).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Wand-Statik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docs/shared/sembla-statik.js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Schermer-Nachweis: Wand (Biegung via Prüfwert-Interpolation, Schub, Druckrand, Bodenreibung, Deckenwinkel) + Spannsystem (Stange, Schrauben, Platten, Steinpressung) + Transport (Zusatz).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Auslegungs-Engine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docs/shared/sembla-engine.js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Iteration: optimiert Strangabstand &amp; Vorspannkraft bis alle Nachweise erfüllt sind (vereinfachtes Modell, getrennt von der Schermer-Statik).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Stückliste/BOM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docs/shared/sembla-bom.js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kanonische Mengen/Positionen aus dem Wandelement (Modul 4 + 5).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Horizontaler Aufbau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docs/shared/sembla-aufbau.js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kanonische Verbinderachsen und Latten-Zuschnitte aus Wandelement und eingaben.aufbau.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Montage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docs/shared/sembla-montage.js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Montageereignisse, Baugruppenabschnitte und A4-Seiten aus realen Spannsegmenten; gemeinsame Quelle für Modul 5 und Export.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Zentraler Export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docs/shared/sembla-export.js · zip.js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Projekt und ausgewählte Dokumente als ZIP; Nachweis aus dem vollen Schermer-Modell.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Bauteilkatalog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docs/shared/sembla-katalog.js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separate, versionierte Produktressource mit Validierung und Referenzprüfung.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IFC-Export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docs/shared/sembla-ifc.js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Wandelement → IFC4 (Wand + Öffnungen + Steine, optional echte Steingeometrie als FacetedBrep).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Zustand &amp; Kopfleiste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docs/shared/storage.js · navbar.js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localStorage-Schicht (Elemente, Eingaben, Migrationen, Katalog, aktiv-Zeiger, OBJ) + gemeinsame Navigation.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Bauteilgeometrie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Bauteil-OBJ/i2_SEMBLA.obj · i3_SEMBLA.obj (lokal, gitignored)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echte Steingeometrie (X=Länge, Y=Tiefe, Z=Höhe; Nullpunkt unten-vorne-links); zur Laufzeit per Upload.</w:t>
            </w:r>
          </w:p>
        </w:tc>
      </w:tr>
    </w:tbl>
    <w:p>
      <w:pPr>
        <w:pStyle w:val="Heading2"/>
      </w:pPr>
      <w:r>
        <w:t xml:space="preserve">4.1 Betrieb &amp; Veröffentlichung</w:t>
      </w:r>
    </w:p>
    <w:p>
      <w:pPr>
        <w:spacing w:after="120"/>
      </w:pPr>
      <w:r>
        <w:t xml:space="preserve">Es gibt keinen Build-/Publish-Schritt. docs/ wird direkt editiert; GitHub Pages liefert genau diesen Ordner aus (Deploy vom Branch main). Jeder Push ist sofort live – Qualitätssicherung ist Handdisziplin (Tests vor dem Push).</w:t>
      </w:r>
    </w:p>
    <w:p>
      <w:pPr>
        <w:pStyle w:val="Heading2"/>
      </w:pPr>
      <w:r>
        <w:t xml:space="preserve">4.2 Testen</w:t>
      </w:r>
    </w:p>
    <w:p>
      <w:pPr>
        <w:spacing w:after="120"/>
      </w:pPr>
      <w:r>
        <w:t xml:space="preserve">Jeder Kern und jede Oberfläche ist durch automatisierte Tests abgesichert: Logik-Tests (tests/module/test-*.mjs), Smoke-Tests der HTML-Module unter DOM-Mock (tests/module/smoke_*.mjs), Core-Parität (tests/core/, Python + JS gegen goldene Fixtures) und BOM-Drift-Schutz (test-shared.mjs). npm run test:all fährt alles. Vor jedem Push müssen die betroffenen Tests grün sein. Fachliche Regressionstests sollen die verletzte oder ergänzte Regel-ID benennen.</w:t>
      </w:r>
    </w:p>
    <w:p>
      <w:pPr>
        <w:pStyle w:val="Heading1"/>
      </w:pPr>
      <w:r>
        <w:t xml:space="preserve">5 · Statik – Modell, Herleitung &amp; Beispiel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Dieses Kapitel legt den vollständigen Nachweis offen, damit ein Statiker ihn nachvollziehen und bestätigen kann. Grundlage ist das Gutachten Prof. Schermer (Az. 2025_7001 Rev 01 vom 18.05.2026) i. V. m. Z-3.15-2157, DIN EN 1996-1-1, DIN 4103-1 und DIN EN 1991-1-4. Der Rechenkern (Modul 3, docs/shared/sembla-statik.js) ist 1:1 aus der geprüften Arbeitsmappe „SEMBLA_Wand_Statik_v01” portiert und gegen deren Zahlen verifiziert.</w:t>
      </w:r>
    </w:p>
    <w:p>
      <w:pPr>
        <w:spacing w:after="120"/>
      </w:pPr>
      <w:r>
        <w:t xml:space="preserve">Der Nachweis gliedert sich in zwei Komplexe: **A) Wandnachweise** (Biegung, Schub, Druckrand, Bodenanschluss, Deckenwinkel) und **B) Bauteilnachweise Spannsystem** (Gewindestange, Schrauben, Kopf-/Fußplatte, Steinpressung). Abschnitt 5.13 rechnet ein vollständiges Beispiel.</w:t>
      </w:r>
    </w:p>
    <w:p>
      <w:pPr>
        <w:pStyle w:val="Heading2"/>
      </w:pPr>
      <w:r>
        <w:t xml:space="preserve">5.1 Modellannahmen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Nicht-tragende Innenwand, vorgespanntes Trockenmauerwerk; Wand spannt vertikal, oben und unten gelenkig gehalten – </w:t>
      </w:r>
      <w:r>
        <w:rPr>
          <w:b/>
          <w:bCs/>
        </w:rPr>
        <w:t xml:space="preserve">Einfeldträger über die Höhe 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Horizontallast wirkt als Flächenlast senkrecht zur Wand (Wind-Innendruck bzw. Trennwandlast DIN 4103-1).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Vorspannung erzeugt Drucknormalkraft in den Lagerfugen; die Biegetragfähigkeit m_Rk wird </w:t>
      </w:r>
      <w:r>
        <w:rPr>
          <w:b/>
          <w:bCs/>
        </w:rPr>
        <w:t xml:space="preserve">nicht gerechnet, sondern aus Prüfwerten des Gutachtens (§6.2)</w:t>
      </w:r>
      <w:r>
        <w:t xml:space="preserve"> über die Wand-Vorspannkraft N_v interpoliert.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Günstig/ungünstig getrennt:</w:t>
      </w:r>
      <w:r>
        <w:t xml:space="preserve"> für die Biegetragfähigkeit wird die reduzierte Vorspannung N_v,fav angesetzt (konservativ, da Vorspannung hier hilft), für Druckrand und Bodenreibung die erhöhte N_v,sup (konservativ, da Vorspannung dort ungünstig wirkt).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Maßgebend ist der Lastfall mit der höchsten Schnittgröße aus {Wind, DIN 4103-1 Kat. I, Kat. II}.</w:t>
      </w:r>
    </w:p>
    <w:p>
      <w:pPr>
        <w:pStyle w:val="Heading2"/>
      </w:pPr>
      <w:r>
        <w:t xml:space="preserve">5.2 Lasten</w:t>
      </w:r>
    </w:p>
    <w:p>
      <w:pPr>
        <w:pStyle w:val="Heading3"/>
      </w:pPr>
      <w:r>
        <w:t xml:space="preserve">5.2.1 Wind (DIN EN 1991-1-4)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qb   = f(Windzone)      WLZ 1..4 -&gt; 0,32 / 0,39 / 0,47 / 0,56 kN/m²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qp   = qb · 2,1         (vereinfacht Binnenland - standortabhängig prüfen)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Cpi  = 0,9 · cpe,10     (dominante Öffnung/Tor offen; sonst ±0,2)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w_i  = qp · Cpi         (Innendruck auf die Innenwand)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w_Ed = γ_Q · w_i        (Wind leitend; γ_Q = 1,5)</w:t>
      </w:r>
    </w:p>
    <w:p>
      <w:pPr>
        <w:pStyle w:val="Heading3"/>
      </w:pPr>
      <w:r>
        <w:t xml:space="preserve">5.2.2 Trennwandlast (DIN 4103-1)</w:t>
      </w:r>
    </w:p>
    <w:p>
      <w:pPr>
        <w:spacing w:after="120"/>
      </w:pPr>
      <w:r>
        <w:t xml:space="preserve">Horizontale Linienlast q₁ in der Angriffshöhe a = 0,90 m: Kat. I (Wohnen/Büro) q₁ = 0,5 kN/m; Kat. II (Verkehrsflächen/Rettungswache) q₁ = 1,0 kN/m.</w:t>
      </w:r>
    </w:p>
    <w:p>
      <w:pPr>
        <w:pStyle w:val="Heading2"/>
      </w:pPr>
      <w:r>
        <w:t xml:space="preserve">5.3 Vorspannung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n       = 1 / e                    Stäbe je m  (Regelraster e = 0,375 m)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F∞      = F0 · (1 − ΔF)            Restvorspannkraft je Stab (ΔF ≈ 0,33)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Prüfung  F∞ ≥ F,inf                (rechnerische Untergrenze)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N_v,fav = F∞ · n / γ_P,fav         günstig  (Biegung)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N_v,sup = F0 · n · γ_P,sup         ungünstig (Druckrand, Boden)</w:t>
      </w:r>
    </w:p>
    <w:p>
      <w:pPr>
        <w:spacing w:after="120"/>
      </w:pPr>
      <w:r>
        <w:t xml:space="preserve">γ_P,fav ist frei wählbar 1,0–2,0 (Auswahlhilfe 5.11); γ_P,sup Default 1,1.</w:t>
      </w:r>
    </w:p>
    <w:p>
      <w:pPr>
        <w:pStyle w:val="Heading2"/>
      </w:pPr>
      <w:r>
        <w:t xml:space="preserve">5.4 Schnittgrößen (Einfeldträger, l = h)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Wind:     m_Ed,W = w_Ed · h²/8      v_Ed,W = w_Ed · h/2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DIN 4103: m_Ed   = γ_Q · q₁ · a·(h−a)/h    v_Ed = γ_Q · q₁ · (h−a)/h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maßgebend: m_Ed = MAX(W, Kat I, Kat II)     v_Ed analog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Fußkraft:  N_Ed,B = N_v,sup + γ_w · t · h</w:t>
      </w:r>
    </w:p>
    <w:p>
      <w:pPr>
        <w:pStyle w:val="Heading2"/>
      </w:pPr>
      <w:r>
        <w:t xml:space="preserve">5.5 Nachweis Biegung</w:t>
      </w:r>
    </w:p>
    <w:p>
      <w:pPr>
        <w:spacing w:after="120"/>
      </w:pPr>
      <w:r>
        <w:t xml:space="preserve">m_Rk wird über N_v,fav aus den Prüfwerten §6.2 linear interpoliert (Regressionsgerade, Excel-FORECAST):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m_Rk = FORECAST(N_v,fav ; m_Rk-Prüfwerte ; N_v-Prüfwerte)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m_Rd = m_Rk / γ_M          (γ_M = 2,0)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η_Biegung = m_Ed / m_Rd    ≤ 1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Bereichsgrenzen: Liegt N_v,fav über dem obersten Prüfpunkt, wird m_Rk auf diesen gekappt (kein Tragfähigkeits-Kredit jenseits der Versuche) und gewarnt; unterhalb des untersten Prüfpunkts erfolgt eine Extrapolations-Warnung.</w:t>
      </w:r>
    </w:p>
    <w:p>
      <w:pPr>
        <w:pStyle w:val="Heading2"/>
      </w:pPr>
      <w:r>
        <w:t xml:space="preserve">5.6 Nachweis Schub (Platte)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η_Schub = v_Ed / v_Rd      (v_Rd = 3,5 kN/m, Gutachten §6.3)</w:t>
      </w:r>
    </w:p>
    <w:p>
      <w:pPr>
        <w:pStyle w:val="Heading2"/>
      </w:pPr>
      <w:r>
        <w:t xml:space="preserve">5.7 Nachweis Druckrand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σ_Ed = N_v,sup/(t·1000) + 6·m_Ed/(t²·1000)   [N/mm²]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σ_Rd = f_k / γ_M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η_Druck = σ_Ed / σ_Rd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Die Formel ist in der „je-Meter”-Konvention geschrieben (N_v in kN/m, t in m); das Ergebnis ergibt sich in N/mm².</w:t>
      </w:r>
    </w:p>
    <w:p>
      <w:pPr>
        <w:pStyle w:val="Heading2"/>
      </w:pPr>
      <w:r>
        <w:t xml:space="preserve">5.8 Nachweis Bodenanschluss (Reibung Stahl/Beton)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μ_d  = μ_k / γ_M,μ           (μ_k = 0,5 ; γ_M,μ = 1,5)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V_Rd = μ_d · N_Ed,B          η_Boden = v_Ed / V_Rd</w:t>
      </w:r>
    </w:p>
    <w:p>
      <w:pPr>
        <w:pStyle w:val="Heading2"/>
      </w:pPr>
      <w:r>
        <w:t xml:space="preserve">5.9 Deckenanschluss (Winkel – Anschlusskraft)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V_Winkel = v_Ed · e_W        Anzahl = ROUNDUP(l / e_W) + 1</w:t>
      </w:r>
    </w:p>
    <w:p>
      <w:pPr>
        <w:spacing w:after="120"/>
      </w:pPr>
      <w:r>
        <w:t xml:space="preserve">Die Anschlusskraft wird an den Stahlbau übergeben; Nachweis des Winkels und seiner Verankerung erfolgt separat.</w:t>
      </w:r>
    </w:p>
    <w:p>
      <w:pPr>
        <w:pStyle w:val="Heading2"/>
      </w:pPr>
      <w:r>
        <w:t xml:space="preserve">5.10 Spannsystem-Bauteile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F_t,Ed = F0 · γ_P,sup                              (Zug je Stab)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Gewindestange, Fließen (maßg.):  F_t,Rd = A_s · f_yk / γ_s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Gewindestange/Schraube, EC3:     F_t,Rd = k₂ · f_ub · A_s / γ_M2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                                 k₂ = 0,90 Sechskant · 0,63 Senkschraube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Kopf-/Fußplatte:  M_Ed = F_t,Ed·1000·L_span/4 ; W = b·t²/6 ; σ = M/W ≤ f_yk/γ_M0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                  L_span = t·1000 − 2·b_Steg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Steinpressung:    σ = F_t,Ed·1000 / (2·b_Steg·l_P) ≤ f_k/γ_M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</w:t>
      </w:r>
      <w:r>
        <w:rPr>
          <w:b/>
          <w:bCs/>
        </w:rPr>
        <w:t xml:space="preserve">Gewindestangen-Fließnachweis</w:t>
      </w:r>
      <w:r>
        <w:t xml:space="preserve"> (A_s·f_yk/γ_s) ist maßgebend und geht in η_max,Spannsystem ein.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</w:t>
      </w:r>
      <w:r>
        <w:rPr>
          <w:b/>
          <w:bCs/>
        </w:rPr>
        <w:t xml:space="preserve">Senkschraube</w:t>
      </w:r>
      <w:r>
        <w:t xml:space="preserve"> (k₂ = 0,63) wird als Warn-Alternative geführt; maßgebend ist die Sechskantschraube.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</w:t>
      </w:r>
      <w:r>
        <w:rPr>
          <w:b/>
          <w:bCs/>
        </w:rPr>
        <w:t xml:space="preserve">Teilflächenpressung</w:t>
      </w:r>
      <w:r>
        <w:t xml:space="preserve"> prüft die konzentrierte Stabkraft auf die Steinstege unter der Ankerplatte (Auflagerlänge l_P je Stab, Default = Raster; β = 1,0 konservativ).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Kopplungsmutter:</w:t>
      </w:r>
      <w:r>
        <w:t xml:space="preserve"> vorhandene Länge ≥ Mindestlänge (3·d bei M10 = 30 mm).</w:t>
      </w:r>
    </w:p>
    <w:p>
      <w:pPr>
        <w:pStyle w:val="Heading2"/>
      </w:pPr>
      <w:r>
        <w:t xml:space="preserve">5.11 Maßgebende Ausnutzung &amp; γ_P-Auswahlhilfe</w:t>
      </w:r>
    </w:p>
    <w:p>
      <w:pPr>
        <w:spacing w:after="120"/>
      </w:pPr>
      <w:r>
        <w:t xml:space="preserve">η_max,gesamt = MAX(η_max,Wand ; η_max,Spannsystem); erfüllt, wenn ≤ 1,0.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51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γ_P,fav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Ansatz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Wann verwenden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1,0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Lidl, kein Abschlag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Prüfnachweis vollständig, Nachspann-Regime etabliert (F∞ ≥ 15 kN/Stab)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1,1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EC-üblich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Regelfall neuer Nachweise mit Prüfwerten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1,35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erhöht konservativ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Verluste unsicher / kein Nachspann-Regime / Kriechzahl am oberen Rand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2,0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worst case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kein Prüfnachweis für die konkrete Lage / sensible Nutzung</w:t>
            </w:r>
          </w:p>
        </w:tc>
      </w:tr>
    </w:tbl>
    <w:p>
      <w:pPr>
        <w:pStyle w:val="Heading2"/>
      </w:pPr>
      <w:r>
        <w:t xml:space="preserve">5.12 Materialkennwerte &amp; Prüfwerte (Bibliothek)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Die Werte stammen aus dem Gutachten bzw. der Bibliothek der Arbeitsmappe und sind projektbezogen vom Tragwerksplaner zu bestätigen. In Modul 3 sind sie editierbar.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Größe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Wert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Quelle/Bedeutung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f_k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20 N/mm²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Wanddruckfestigkeit (§5.2)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2,0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Teilsicherheit Wand-Material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γ_w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13,8 kN/m³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Wichte vorgespannte Wand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v_Rd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3,5 kN/m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Plattenschub (§6.3)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Prüfwerte §6.2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26,7→2,4 · 80→3,7 · 240→7,6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N_v [kN/m] → m_Rk [kNm/m]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A_s/f_yk/f_ub (M10)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58 mm² · 640 · 800 N/mm²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Gewindestange 8.8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γ_s / γ_M2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1,25 / 1,25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Spannstahl / Schraube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μ_k / γ_M,μ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0,5 / 1,5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Reibung Stahl/Beton</w:t>
            </w:r>
          </w:p>
        </w:tc>
      </w:tr>
    </w:tbl>
    <w:p>
      <w:pPr>
        <w:pStyle w:val="Heading2"/>
      </w:pPr>
      <w:r>
        <w:t xml:space="preserve">5.13 Beispielrechnung – Aschersleben, Rettungswache IW-01</w:t>
      </w:r>
    </w:p>
    <w:p>
      <w:pPr>
        <w:spacing w:after="120"/>
      </w:pPr>
      <w:r>
        <w:t xml:space="preserve">Innenwand h = 3,00 m · l = 6,00 m · t = 0,123 m; Stein i3, f_k = 20 N/mm²; Gewindestange M10 8.8; Raster e = 0,375 m; F0 = 22 kN; WLZ 2; Tor dominant; Kat. II; γ_P,fav = γ_P,sup = 1,1.</w:t>
      </w:r>
    </w:p>
    <w:p>
      <w:pPr>
        <w:pStyle w:val="Heading3"/>
      </w:pPr>
      <w:r>
        <w:t xml:space="preserve">Lasten &amp; Vorspannung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qb = 0,39 ; qp = 0,39·2,1 = 0,819 ; Cpi = 0,9·0,8 = 0,72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w_i = 0,819·0,72 = 0,590 ; w_Ed = 1,5·0,590 = 0,885 kN/m²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 = 1/0,375 = 2,667/m ; F∞ = 22·(1−0,33) = 14,74 kN/Stab  (≥ 11 ✓)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N_v,fav = 14,74·2,667/1,1 = 35,73 kN/m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N_v,sup = 22·2,667·1,1     = 64,53 kN/m</w:t>
      </w:r>
    </w:p>
    <w:p>
      <w:pPr>
        <w:pStyle w:val="Heading3"/>
      </w:pPr>
      <w:r>
        <w:t xml:space="preserve">Schnittgrößen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m_Ed,W = 0,885·3²/8 = 0,995 kNm/m   (maßgebend)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v_Ed,W = 0,885·3/2  = 1,327 kN/m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Kat. II: m_Ed = 1,5·1,0·0,9·2,1/3 = 0,945 ; v_Ed = 1,5·1,0·0,7 = 1,05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N_Ed,B = 64,53 + 13,8·0,123·3 = 69,63 kN/m</w:t>
      </w:r>
    </w:p>
    <w:p>
      <w:pPr>
        <w:pStyle w:val="Heading3"/>
      </w:pPr>
      <w:r>
        <w:t xml:space="preserve">Wandnachweise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2100"/>
        <w:gridCol w:w="1000"/>
        <w:gridCol w:w="16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Nachweis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E_d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R_d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η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Biegung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0,995 kNm/m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1,310 kNm/m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0,759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Schub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1,327 kN/m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3,50 kN/m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0,379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Druckrand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0,919 N/mm²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10,0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0,092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Boden (Reibung)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1,327 kN/m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23,21 kN/m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0,057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t xml:space="preserve">m_Rk = FORECAST(35,73) = 2,62 kNm/m → m_Rd = 1,310. Deckenwinkel: V_Winkel = 1,327·1,5 = 1,99 kN, 5 Winkel. **η_max,Wand = 0,759** (Biegung maßgebend).</w:t>
      </w:r>
    </w:p>
    <w:p>
      <w:pPr>
        <w:pStyle w:val="Heading3"/>
      </w:pPr>
      <w:r>
        <w:t xml:space="preserve">Spannsystem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1900"/>
        <w:gridCol w:w="1000"/>
        <w:gridCol w:w="1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Bauteil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E_d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R_d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η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Stange – Fließen (maßg.)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29,70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0,815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Stange/Schraube – EC3 (SK)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33,41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0,724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Schraube unten – Senk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23,39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1,035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NICHT 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Kopf-/Fußplatte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111,6 N/mm²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235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0,475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Steinpressung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1,61 N/mm²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10,0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0,161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t xml:space="preserve">**η_max,Spannsystem = 0,815** (Gewindestange Fließen). Die Senkschraube überschreitet 100 % → nur Sechskantschraube zulässig.</w:t>
      </w:r>
    </w:p>
    <w:p>
      <w:pPr>
        <w:pBdr>
          <w:left w:val="single" w:color="1F9D55" w:sz="18" w:space="6"/>
        </w:pBdr>
        <w:shd w:fill="E3F5EA" w:val="clear"/>
        <w:spacing w:after="120" w:before="80"/>
      </w:pPr>
      <w:r>
        <w:t xml:space="preserve">Ergebnis:  η_max,gesamt = MAX(0,759 ; 0,815) = 0,815  →  NACHWEIS ERFÜLLT</w:t>
      </w:r>
    </w:p>
    <w:p>
      <w:pPr>
        <w:pStyle w:val="Heading1"/>
      </w:pPr>
      <w:r>
        <w:t xml:space="preserve">6 · Modul 0 · Start &amp; Verwaltung</w:t>
      </w:r>
    </w:p>
    <w:p>
      <w:pPr>
        <w:spacing w:after="120"/>
      </w:pPr>
      <w:r>
        <w:t xml:space="preserve">Einstieg der Suite (index.html): Wandelement mit Name und Wandtyp anlegen, Projekt-Kopfdaten pflegen, aktive Elemente wählen/umbenennen/löschen sowie den zentralen Projektimport/-export ausführen. Der Häkchen-Dialog erzeugt die Projektdatei und ausgewählte Unterlagen als ZIP.</w:t>
      </w:r>
    </w:p>
    <w:p>
      <w:pPr>
        <w:spacing w:after="120"/>
      </w:pPr>
      <w:r>
        <w:t xml:space="preserve">Modul 0 verwaltet außerdem den vom Projekt getrennten Bauteilkatalog: Produkte nach Kategorien anlegen, bearbeiten, duplizieren und löschen; Katalog separat importieren/exportieren; mehrere Produkt-IDs je Kategorie für das aktive Projekt auswählen. Unauflösbare Referenzen werden sichtbar gewarnt.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localStorage ist pro Browser und Gerät und geht bei „Websitedaten löschen” verloren. Der zentrale Export in Modul 0 ist daher die Sicherung bzw. der Weg, ein Projekt weiterzugeben. Der Katalog besitzt einen eigenen Import-/Exportweg und ist nicht Bestandteil des Projekt-ZIP.</w:t>
      </w:r>
    </w:p>
    <w:p>
      <w:pPr>
        <w:pStyle w:val="Heading1"/>
      </w:pPr>
      <w:r>
        <w:t xml:space="preserve">7 · Modul 1 · Wand planen &amp; auslegen</w:t>
      </w:r>
    </w:p>
    <w:p>
      <w:pPr>
        <w:spacing w:after="120"/>
      </w:pPr>
      <w:r>
        <w:t xml:space="preserve">Zweck: erzeugt das geprüfte Wandelement – zeichnen + statisch auslegen in einem Schritt.</w:t>
      </w:r>
    </w:p>
    <w:p>
      <w:pPr>
        <w:spacing w:after="120"/>
      </w:pPr>
      <w:r>
        <w:t xml:space="preserve">Eingaben: Länge, Höhe, Seiten-Funktionen, Öffnungen (inkl. Durchbrüche per Klick), Staffelung, Gewindestangenlänge, Startachse der Vorspannung (1./2. Rasterachse) sowie Auslegungsparameter. Der Wandtyp wird nicht hier gewählt, sondern aus dem in Modul 0 angelegten Element unverändert mitgeführt.</w:t>
      </w:r>
    </w:p>
    <w:p>
      <w:pPr>
        <w:spacing w:after="120"/>
      </w:pPr>
      <w:r>
        <w:t xml:space="preserve">Ablauf: Verband i3-maximiert, Stränge (mit Segmenten über/unter Öffnungen) regelbasiert abgeleitet, dann Auslegungs-Engine (Kap. 4). Ergebnis ist das automatisch im aktiven Element gespeicherte Wandelement mit maßstäblichem Wandbild und Machbarkeits-/Nachweisinformationen.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Versatz-/Baubarkeits-Warnung:</w:t>
      </w:r>
      <w:r>
        <w:t xml:space="preserve"> bei Verstoß rote Warnung + Status-Badge „Verband regelwidrig”.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Durchbrüche:</w:t>
      </w:r>
      <w:r>
        <w:t xml:space="preserve"> Steine per Klick entfernen/auffüllen; über/unter allen Öffnungen Vorspannung unterbrochen.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Staffelung:</w:t>
      </w:r>
      <w:r>
        <w:t xml:space="preserve"> getreppte Wandkontur über Stufen (Abschnitt 2.7) inkl. Bemaßung.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Speichern:</w:t>
      </w:r>
      <w:r>
        <w:t xml:space="preserve"> Änderungen werden automatisch in das aktive Wandelement geschrieben. Ohne aktives Element wird nichts fiktiv angelegt; Modul 1 verweist auf den Start. Datei-Export ausschließlich zentral in Modul 0.</w:t>
      </w:r>
    </w:p>
    <w:p>
      <w:pPr>
        <w:pStyle w:val="Heading1"/>
      </w:pPr>
      <w:r>
        <w:t xml:space="preserve">8 · Modul 2 · Horizontaler Wandaufbau</w:t>
      </w:r>
    </w:p>
    <w:p>
      <w:pPr>
        <w:spacing w:after="120"/>
      </w:pPr>
      <w:r>
        <w:t xml:space="preserve">Zweck: Verbinder- und Lattenplanung in einem Schritt. Die Panelfugen bestimmen die Verbinderachsen; daraus werden die Latten abgeleitet.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Im MVP ist die Wärmedämmung aus diesem Modul entfernt (Entscheidung Polycare). Die Latten-Logik bleibt unverändert; der Dichtstreifen aus den Stoßfugen (Schallschutz, Kap. 2.6) ist keine Wärmedämmung und bleibt erhalten.</w:t>
      </w:r>
    </w:p>
    <w:p>
      <w:pPr>
        <w:pStyle w:val="Heading2"/>
      </w:pPr>
      <w:r>
        <w:t xml:space="preserve">Verbinderachsen aus Panelfugen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Panelmaß</w:t>
      </w:r>
      <w:r>
        <w:t xml:space="preserve"> (Standard 62,5 × 150 cm, änderbar) legt die Verbinderachsen fest: vertikale Achsen an den Panel-Längsfugen, horizontale an den Panel-Höhenfugen – plus Zwischenachsen, wenn der Max-Abstand überschritten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Zusätzlich an Wandkanten; keine Verbinder innerhalb von Öffnungen. An linken/rechten Öffnungskanten wird der bestehende Randabstand eingehalten: Achsen werden auf eine sichere Nut von der Öffnung weg verschoben, dedupliziert und bei unlösbaren Abstandskonflikten sichtbar gewarnt. Oberkanten von Öffnungen sind keine Sperrzone.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Beplankungsfeld:</w:t>
      </w:r>
      <w:r>
        <w:t xml:space="preserve"> häufig wird nur ein Teil der Wand beplankt – ein rechteckiges Feld begrenzt Verbinder und Latten. Ein sichtbarer Bearbeitungsmodus zeigt Rasterpunkte, Hover und Vorschau; erst „Übernehmen &amp; berechnen” speichert das Feld und stößt die Berechnung an. Standard = ganze Wand.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Nutprüfung je Lage ([U-11]):</w:t>
      </w:r>
      <w:r>
        <w:t xml:space="preserve"> Aus jeder Achse entsteht ein Verbinder nur in den Lagen, in denen ein tatsächlich vorhandener Stein die Nut strikt innen führt. Stein-Außenkanten (auch an Staffelungs-/Treppenkanten), Stoßfugen und steinfreie Positionen bleiben leer; entfallene Positionen und Achsen ohne Verbinder werden in der Bildunterschrift gewarnt statt durch Ersatzpunkte ersetzt. Fehlt die Lagengeometrie im Wandelement, entstehen keine Verbinder (sicherer Leerfall mit Warnung).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Endverbinder je Lattensegment ([U-12]):</w:t>
      </w:r>
      <w:r>
        <w:t xml:space="preserve"> Zusätzlich zum Panelraster erhält jedes reale Lattensegment an seinem unteren und oberen Ende je einen Verbinder – maßgeblich ist die erste bzw. letzte im Segment nach [U-11] zulässige Lage. Segmentgrenzen sind Öffnungen, Feldgrenzen und Wandkontur, </w:t>
      </w:r>
      <w:r>
        <w:rPr>
          <w:b/>
          <w:bCs/>
        </w:rPr>
        <w:t xml:space="preserve">nicht</w:t>
      </w:r>
      <w:r>
        <w:t xml:space="preserve"> Wandfuß/Wandkrone: über einer Tür beginnt die Latte an der ersten befestigbaren Lage über der Tür-Oberkante. Diese Punkte sind additiv (bestehende Rasterpunkte bleiben) und stehen unter [U-11]; ein Segment ohne zulässige Lage wird nicht beplankt und gewarnt statt mit einem Ersatzpunkt versehen.</w:t>
      </w:r>
    </w:p>
    <w:p>
      <w:pPr>
        <w:pStyle w:val="Heading2"/>
      </w:pPr>
      <w:r>
        <w:t xml:space="preserve">Nachweis je Verbinder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R_d    = R_k / gamma_M          [kN]   (zul. Zuglast je Verbinder)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coeff  = gamma_Q · w_k          [kN/m²]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A_t    = Feldfläche / Anzahl    A_t / A_tmax ≤ 100 %  (A_tmax = R_d / coeff)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Verbinder-Katalog: FA-1 (R_k 0,50), FA-2 schwer (0,80), IA-1 leicht (0,25), Universal (0,50); je gamma_M = 2,0.</w:t>
      </w:r>
    </w:p>
    <w:p>
      <w:pPr>
        <w:pStyle w:val="Heading2"/>
      </w:pPr>
      <w:r>
        <w:t xml:space="preserve">Latten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Latten verlaufen vertikal auf den Verbinderachsen; an Öffnungen und am Feldrand abgeschnitten. Sie enden an der obersten nach [U-11] befestigbaren Lage – über eine Staffelungskante hinaus wird nicht weitergeplant.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Stöße liegen zwischen zwei Verbindern (mittig); Wandhöhe &gt; Lattenlänge → 1D-Zuschnitt mit Reststück-Wiederverwendung. [U-12] wirkt auf der Segmentebene; die Befestigung der einzelnen Zuschnittstücke innerhalb eines Segments regelt weiterhin diese Stoßregel ([U-12.1]).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Eingaben werden in eingaben.aufbau gespeichert. Die Berechnung ist kanonisch in sembla-aufbau.js; Exportdokumente werden zentral in Modul 0 erzeugt. Modul 2 schreibt das Wandelement nicht zurück.</w:t>
      </w:r>
    </w:p>
    <w:p>
      <w:pPr>
        <w:pStyle w:val="Heading1"/>
      </w:pPr>
      <w:r>
        <w:t xml:space="preserve">9 · Modul 3 · Statik (Werkzeug)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 Oberfläche zum Schermer-Nachweis aus Kapitel 5. Alle Formeln und die Beispielrechnung stehen dort; dieses Kapitel beschreibt Bedienung, Ein-/Ausgaben und die Wandelement-Anbindung.</w:t>
      </w:r>
    </w:p>
    <w:p>
      <w:pPr>
        <w:spacing w:after="120"/>
      </w:pPr>
      <w:r>
        <w:t xml:space="preserve">Eingaben (editierbar wie die Bibliothek der Arbeitsmappe): Material, Gewindestange, Lasten, Vorspannung, Prüfwerte §6.2, Spannsystem-Bauteile und Deckenwinkel-Abstand. Geometrie, Öffnungszahl und Wandtyp kommen ausschließlich read-only aus dem aktiven Wandelement; ohne aktives Element wird kein fiktiver Nachweis gerechnet.</w:t>
      </w:r>
    </w:p>
    <w:p>
      <w:pPr>
        <w:spacing w:after="120"/>
      </w:pPr>
      <w:r>
        <w:t xml:space="preserve">Ausgaben: **Kompaktnachweis Wand** (Biegung, Schub, Druckrand, Boden, Deckenwinkel) und **Kompaktnachweis Spannsystem** (Stange EC3 + Fließen, Spannschraube, Schraube unten Sechskant/Senk, Kopf-/Fußplatte, Steinpressung, Mutter). Jede Karte zeigt E_d, R_d, Auslastung η und Status; oben die Gesamtausnutzung η_max,gesamt = MAX(Wand, Spannsystem).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Wandelement-Anbindung:</w:t>
      </w:r>
      <w:r>
        <w:t xml:space="preserve"> Geometrie, Öffnungszahl und Wandtyp werden ausschließlich aus dem aktiven Wandelement übernommen. Echte Statik-Kennwerte werden unter eingaben.statik gespeichert; das Modul schreibt das Wandelement nicht zurück. Der zentrale Nachweis-Export nutzt dasselbe DOM-freie Parameter-Mapping.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Interpolations-Absicherung:</w:t>
      </w:r>
      <w:r>
        <w:t xml:space="preserve"> Biege-Prüfwerte werden bei Überschreitung des Prüfbereichs gekappt und gewarnt (Kap. 5.5).</w:t>
      </w:r>
    </w:p>
    <w:p>
      <w:pPr>
        <w:pStyle w:val="Heading2"/>
      </w:pPr>
      <w:r>
        <w:t xml:space="preserve">9.1 Transport / Hebezustand (Zusatz, nicht Gutachten)</w:t>
      </w:r>
    </w:p>
    <w:p>
      <w:pPr>
        <w:spacing w:after="120"/>
      </w:pPr>
      <w:r>
        <w:t xml:space="preserve">Separater Spot-Check für das Anschlagblech beim Heben (vorübergehende Bemessungssituation, eigenes Faktorenregime γ_G·dyn). Eigengewicht als Streckenlast n_Ed = γ_w · t · h.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G_Ek = n_Ed · L / n_Anker      G_Ed = γ_G · dyn · G_Ek   [kN]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erf. Tragfähigkeit Anschlagmittel = G_Ed·1000 / 9,81   [kg]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M_Ed = G_Ed · hebelBlech / 4   W = b·t²/6   σ = M_Ed·1e6 / W  →  σ ≤ f_y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Der Hebe-Nachweis prüft nur das Stahlblech, nicht die Mauerwerksbiegung zwischen den Anschlagpunkten und nicht den Ankerauszug aus dem Mauerwerk — diese sind gesondert zu führen.</w:t>
      </w:r>
    </w:p>
    <w:p>
      <w:pPr>
        <w:pStyle w:val="Heading1"/>
      </w:pPr>
      <w:r>
        <w:t xml:space="preserve">10 · Modul 4 · Stückliste &amp; Kosten</w:t>
      </w:r>
    </w:p>
    <w:p>
      <w:pPr>
        <w:spacing w:after="120"/>
      </w:pPr>
      <w:r>
        <w:t xml:space="preserve">Zweck: Material-Auszug und Kosten für genau das aktive Wandelement. Kanonische Mengen stammen aus dem Wandelement/BOM und dem unter eingaben.aufbau gespeicherten Aufbau. Preise und Währung liegen unter eingaben.kosten und bleiben beim Projekt-Export/-Import erhalten; eine Mehrfachwand-Mengenlogik gibt es im MVP nicht.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Export:</w:t>
      </w:r>
      <w:r>
        <w:t xml:space="preserve"> Stücklisten-/Zuschnittdateien werden ausschließlich über den zentralen ZIP-Export in Modul 0 erzeugt.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Reiner Konsument: liest das aktive Wandelement, schreibt es nicht zurück. Dieselbe BOM-Quelle nutzt auch die Kurz-Stückliste in der Montage (Modul 5) – konsistent und driftfrei.</w:t>
      </w:r>
    </w:p>
    <w:p>
      <w:pPr>
        <w:pStyle w:val="Heading1"/>
      </w:pPr>
      <w:r>
        <w:t xml:space="preserve">11 · Modul 5 · Montageplanung</w:t>
      </w:r>
    </w:p>
    <w:p>
      <w:pPr>
        <w:spacing w:after="120"/>
      </w:pPr>
      <w:r>
        <w:t xml:space="preserve">Zweck: ereignis- und baugruppenbasierte Montageanleitung. Abschnitte werden aus den realen tension_columns[].segments und der lokalen Wandkontur abgeleitet: erste Stange, Kopplung/neue Stange und oberer Abschluss. Steinreihen sind durchgehend nummeriert; eine Kopplung erscheint vor der Steinreihe, die die Stangenoberkante überdeckt, sodass die Stange im Baugruppenbild über die letzte montierte Lage hinausragt. Rechteckige und gestaffelte Bereiche werden in wenigen DIN-A4-Seiten gegliedert. Modul 5 und zentraler Export verwenden dieselbe DOM-freie Ableitung in sembla-montage.js.</w:t>
      </w:r>
    </w:p>
    <w:p>
      <w:pPr>
        <w:pStyle w:val="Heading1"/>
      </w:pPr>
      <w:r>
        <w:t xml:space="preserve">12 · Modul 6 · 3D-Vorschau &amp; IFC (experimentell)</w:t>
      </w:r>
    </w:p>
    <w:p>
      <w:pPr>
        <w:spacing w:after="120"/>
      </w:pPr>
      <w:r>
        <w:t xml:space="preserve">Zweck: Echtzeit-3D des aktiven Wandelements (Steine i2/i3, Vorspannstränge segmentiert, Bleche/Anker, Öffnungen), drehbar – für die Abstimmung mit Architekten/Bauherren – zusammengeführt mit dem IFC-Export/-Prüfen. Reiner Konsument; die 3D-Ansicht nutzt Three.js (per CDN, nur online) und degradiert sonst sauber.</w:t>
      </w:r>
    </w:p>
    <w:p>
      <w:pPr>
        <w:pStyle w:val="Heading2"/>
      </w:pPr>
      <w:r>
        <w:t xml:space="preserve">Bauteilgeometrie (OBJ)</w:t>
      </w:r>
    </w:p>
    <w:p>
      <w:pPr>
        <w:spacing w:after="120"/>
      </w:pPr>
      <w:r>
        <w:t xml:space="preserve">Die echte Steingeometrie liegt aus Vertraulichkeitsgründen nicht im (öffentlichen) Repo. Man lädt i2_SEMBLA.obj und i3_SEMBLA.obj einmalig per Datei-Upload; sie bleiben lokal im Browser (localStorage, über docs/shared/storage.js) und werden für massive Stege / offene Kammern in der 3D-Ansicht und im IFC-Export genutzt. Ohne OBJ werden die Steine als Quader dargestellt/exportiert.</w:t>
      </w:r>
    </w:p>
    <w:p>
      <w:pPr>
        <w:pStyle w:val="Heading2"/>
      </w:pPr>
      <w:r>
        <w:t xml:space="preserve">IFC4-Export</w:t>
      </w:r>
    </w:p>
    <w:p>
      <w:pPr>
        <w:spacing w:after="120"/>
      </w:pPr>
      <w:r>
        <w:t xml:space="preserve">Der Export (docs/shared/sembla-ifc.js) schreibt das Wandelement als eigenständige IFC4-Datei: die Wand als IfcWallStandardCase, Öffnungen als Voids (IfcRelVoidsElement), jeden Stein als IfcBuildingElementProxy. Mit geladener echter Geometrie werden die Steine als IfcFacetedBrep geschrieben – je Typ einmal als IfcRepresentationMap, pro Stein per IfcMappedItem referenziert (schlanke Datei).</w:t>
      </w:r>
    </w:p>
    <w:p>
      <w:pPr>
        <w:pStyle w:val="Heading2"/>
      </w:pPr>
      <w:r>
        <w:t xml:space="preserve">IFC prüfen</w:t>
      </w:r>
    </w:p>
    <w:p>
      <w:pPr>
        <w:spacing w:after="120"/>
      </w:pPr>
      <w:r>
        <w:t xml:space="preserve">Eine fremde IFC-Datei kann geprüft werden (web-ifc per CDN, nur online): gemeldet werden Schema, Entity-Zahl, Anzahl Wände und Stein-Proxys. Dient als schnelle Gültigkeitskontrolle (auch für die selbst exportierte Datei).</w:t>
      </w:r>
    </w:p>
    <w:p>
      <w:pPr>
        <w:pStyle w:val="Heading1"/>
      </w:pPr>
      <w:r>
        <w:t xml:space="preserve">13 · Weiterentwicklung (für Nicht-Programmierer)</w:t>
      </w:r>
    </w:p>
    <w:p>
      <w:pPr>
        <w:spacing w:after="120"/>
      </w:pPr>
      <w:r>
        <w:t xml:space="preserve">Die häufigsten Anpassungen lassen sich an klar benannten Stellen vornehmen. Fachliche Änderungen beginnen jedoch immer im Regelwerk (Kap. 15): betroffene Regel-ID benennen, Regel ergänzen/ändern, Priorität festlegen, anschließend Implementierung und Regressionstest anpassen. Bei jedem Bug lautet die erste Frage: Welche Regel fehlt, ist unklar oder wurde falsch umgesetzt? Es gibt keinen App-Build-Schritt; docs/ ist nach dem Push sofort live. Das Handbuch selbst wird mit npm run handbuch erzeugt.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Ich möchte ändern…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Stelle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System-Konstanten (Raster, Wandstärke, Stangen-Standard, max. Spannabstand, verbotene Breiten)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Konstantenblock in docs/shared/sembla-core.js UND tests/core/sembla_core.py (gleich halten!)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Material-/Sicherheitswerte der Statik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DEF_MAT in docs/shared/sembla-engine.js; DEFAULTS in docs/shared/sembla-statik.js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Statik-Formeln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docs/shared/sembla-statik.js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Auslegungs-Strategie (Kandidaten, N-Bereich)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autoAuslegung() in docs/shared/sembla-engine.js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Verbinder + Latten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docs/wandaufbau.html (Panelfugen = Achsen, Beplankungsfeld; Dämmung im MVP entfernt)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Preise der Stückliste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direkt im Tool editierbar; Mengen/Positionen aus docs/shared/sembla-bom.js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IFC-Export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docs/shared/sembla-ifc.js (Einzelwand → IFC4)</w:t>
            </w:r>
          </w:p>
        </w:tc>
      </w:tr>
    </w:tbl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Goldene Regeln: (1) Der Wandaufbau-Kern läuft im Betrieb einmal (docs/shared/sembla-core.js); die Python-Referenz tests/core/sembla_core.py dient nur den Tests und bleibt bit-genau gleich. (2) build-handbuch.mjs ist die editierbare Handbuchquelle; doku/SEMBLA_Handbuch.docx muss nach Änderungen neu erzeugt und gegen den realen Produktstand geprüft werden.</w:t>
      </w:r>
    </w:p>
    <w:p>
      <w:pPr>
        <w:pStyle w:val="Heading1"/>
      </w:pPr>
      <w:r>
        <w:t xml:space="preserve">14 · Glossar &amp; Quellen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Begriff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Wandelement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parametrische JSON-Beschreibung einer Wand (Single Source of Truth)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Lage (course)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eine Steinreihe, 200 mm hoch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Raster (grid)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Längseinheit 125 mm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Nut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innenliegender Steg im 12,5-cm-Raster zur Verbinder-Befestigung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Kammer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durchgehender Hohlraum für Gewindestange/Lattice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durchgehender Strang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Vorspannstrang über volle Wandhöhe – statisch wirksam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Versatz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Mindest-Fugenversatz (1 Raster) benachbarter Lagen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klaffende Fuge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Grenzzustand: keine Zugspannung in der Lagerfuge (Kernmoment)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Auslastung (util)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Einwirkung / Widerstand; ≤ 1,0 = erfüllt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UK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Unterkonstruktion (Holzlattung)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Stückliste (bill of materials)</w:t>
            </w:r>
          </w:p>
        </w:tc>
      </w:tr>
    </w:tbl>
    <w:p>
      <w:pPr>
        <w:spacing w:after="120"/>
      </w:pPr>
      <w:r>
        <w:t xml:space="preserve">Quellen: Kempen Krause, „Statische Betrachtung nichttragender Mauerwerkswände”, Proj.-Nr. 20260304. SEMBLA-Systemparameter (Polycare).</w:t>
      </w:r>
    </w:p>
    <w:p>
      <w:pPr>
        <w:pStyle w:val="Heading1"/>
      </w:pPr>
      <w:r>
        <w:t xml:space="preserve">15 · Regelwerk – alle Systemregeln hierarchisch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Verbindlicher, nach Themen gegliederter Katalog der Systemregeln. Jede Regel trägt eine dauerhafte Kennung (z. B. [G-1]). Der Status „ZIEL – OFFEN” kennzeichnet bestätigte Regeln, deren Implementierung oder Regressionstests noch fehlen; alle übrigen Regeln müssen in Code und Tests nachweisbar sein.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Hierarchie bei Konflikten: (1) Sicherheit/Baubarkeit und explizite Muss-Regeln, (2) fachliche Abdeckungs- und Anschlussregeln, (3) ausdrücklich gewählte Projektparameter, (4) Optimierung/gleichmäßige Verteilung, (5) Darstellung/Komfort. Nicht gemeinsam erfüllbare Muss-Regeln erzeugen einen sichtbaren Konflikt statt eines stillen Fallbacks.</w:t>
      </w:r>
    </w:p>
    <w:p>
      <w:pPr>
        <w:pStyle w:val="Heading2"/>
      </w:pPr>
      <w:r>
        <w:t xml:space="preserve">15.1 Geometrie &amp; Verband  [G]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[G-1]</w:t>
      </w:r>
      <w:r>
        <w:t xml:space="preserve"> Längsraster GRID = 125 mm; Wandlänge = Vielfaches von 125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[G-2]</w:t>
      </w:r>
      <w:r>
        <w:t xml:space="preserve"> Lagenhöhe COURSE = 200 mm; Wandhöhe = Vielfaches von 200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[G-3]</w:t>
      </w:r>
      <w:r>
        <w:t xml:space="preserve"> Wandstärke THICK = 125 mm (Systemsteine i2/i3).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[G-4]</w:t>
      </w:r>
      <w:r>
        <w:t xml:space="preserve"> i3-Maximierung: jede Lage mit möglichst vielen i3 belegen; i2 nur als Endsteine.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[G-5]</w:t>
      </w:r>
      <w:r>
        <w:t xml:space="preserve"> Läuferverband, Überbindemaß 125 mm; Fugenversatz benachbarter Lagen ≥ 1 Raster (sonst Warnung validation.versatz_ok = 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[G-6]</w:t>
      </w:r>
      <w:r>
        <w:t xml:space="preserve"> Verbotene Segmentbreiten FORBIDDEN_N = {1, 4} Raster (nicht baubar/versetzbar).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[G-7]</w:t>
      </w:r>
      <w:r>
        <w:t xml:space="preserve"> Wandende: Beginn in der 2. Achse, nicht am Randstein.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[G-8]</w:t>
      </w:r>
      <w:r>
        <w:t xml:space="preserve"> Öffnungen (Tür/Fenster/Durchbruch) lassen Steine aus; der Sturz darüber wird aufgefüllt.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[G-9]</w:t>
      </w:r>
      <w:r>
        <w:t xml:space="preserve"> Staffelung: getreppte Oberkante über Stufen [x0, x1, height]; Stufen sind Außenkontur, keine Öffnungen.</w:t>
      </w:r>
    </w:p>
    <w:p>
      <w:pPr>
        <w:pStyle w:val="Heading2"/>
      </w:pPr>
      <w:r>
        <w:t xml:space="preserve">15.2 Kammern, Nuten &amp; Vorspannstränge  [V]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[V-1]</w:t>
      </w:r>
      <w:r>
        <w:t xml:space="preserve"> Kammer-/Strangmitte CHAMBER_OFFSET = 62,5 mm → Vorspannachsen bei x = 62,5 + 125·k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[V-2 · ZIEL – OFFEN]</w:t>
      </w:r>
      <w:r>
        <w:t xml:space="preserve"> Jeder einzelne Stein muss in seinem belegten Höhenabschnitt von mindestens einer Spannachse gehalten werden. Ein eingehaltenes Maximalraster allein beweist diese Steinabdeckung nicht.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[V-3 · ZIEL – OFFEN]</w:t>
      </w:r>
      <w:r>
        <w:t xml:space="preserve"> In der untersten Steinreihe sollen automatisch gesetzte Spannachsen – nach Erfüllung aller Muss-Regeln – möglichst mittig in den i3-Steinen liegen.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[V-4]</w:t>
      </w:r>
      <w:r>
        <w:t xml:space="preserve"> Vorspannung höchstens alle 3 Raster (MAX_SPAN_GRID = 3 = 375 mm); diese Obergrenze ist zusätzlich zur Steinabdeckung einzuhalten und nicht alleinige Verteilungsregel.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[V-5]</w:t>
      </w:r>
      <w:r>
        <w:t xml:space="preserve"> Die Auto-Verteilung startet wahlweise auf der 1. oder 2. Rasterachse (prestress.start_axis_grid) und verteilt danach innerhalb der Muss-Regeln balanciert bis zur letzten Achse.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[V-6]</w:t>
      </w:r>
      <w:r>
        <w:t xml:space="preserve"> Nur durchgehende Stränge (volle Wandhöhe) sind statisch wirksam; über/unter Öffnungen wird der Strang in Segmente unterbrochen.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[V-7]</w:t>
      </w:r>
      <w:r>
        <w:t xml:space="preserve"> An jeder Stufenkante wird beidseitig ein zusätzlicher Strang gesetzt (hohe und niedrige Seite).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[V-8]</w:t>
      </w:r>
      <w:r>
        <w:t xml:space="preserve"> Öffnungen erhalten zusätzliche Spannachsen an beiden Seiten; Segmente dürfen nicht durch die Öffnung laufen.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[V-9]</w:t>
      </w:r>
      <w:r>
        <w:t xml:space="preserve"> Manuelle Achsen (prestress.columns_grid) haben Vorrang vor der Auto-Verteilung, müssen aber als Sonderkonstruktion gegen die Muss-Regeln validiert werden.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[V-10]</w:t>
      </w:r>
      <w:r>
        <w:t xml:space="preserve"> Gewindestangen = ceil(h / rod), Verbindungsmuttern = Stangen − 1; ROD-Standard 1100 mm (überschreibbar).</w:t>
      </w:r>
    </w:p>
    <w:p>
      <w:pPr>
        <w:pStyle w:val="Heading2"/>
      </w:pPr>
      <w:r>
        <w:t xml:space="preserve">15.3 Anschlüsse &amp; Vorspann-Regime  [A]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[A-1]</w:t>
      </w:r>
      <w:r>
        <w:t xml:space="preserve"> Fuß immer Bodenblech (Stahl 15 mm, wandlang, in Blechmodulen); je Strang unten Senkkopfschraube, oben Kopplungsmutter.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[A-2]</w:t>
      </w:r>
      <w:r>
        <w:t xml:space="preserve"> Oberer Anschluss: Kopfblech oder Spannplatte je Strang; der aktuelle Datenstand prestress.top_connection gilt global für die Wand.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[A-3]</w:t>
      </w:r>
      <w:r>
        <w:t xml:space="preserve"> Zwischenanker an Segmentenden (Öffnungen) = Spannplatten auf der Steinkante.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[A-4]</w:t>
      </w:r>
      <w:r>
        <w:t xml:space="preserve"> Verankerung: Ankerplatte t = 15 mm bzw. Kopplung im Hohlkasten (Flansch ≥ 15 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[A-5]</w:t>
      </w:r>
      <w:r>
        <w:t xml:space="preserve"> Nachspann-Regime: F∞ ≥ 15 kN/Stab, Nachspann-Auslösung bei 18 kN/Stab; rechnerische Untergrenze F,inf.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[A-6]</w:t>
      </w:r>
      <w:r>
        <w:t xml:space="preserve"> Stoßfugen werden gezählt; Dichtstreifen je Fuge 20 cm (Schallschutz), Gesamtlänge in der BOM.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[A-7]</w:t>
      </w:r>
      <w:r>
        <w:t xml:space="preserve"> Verzinkung nicht erforderlich (Umweltklasse C1/XC1 innen).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[A-8 · ZIEL – OFFEN]</w:t>
      </w:r>
      <w:r>
        <w:t xml:space="preserve"> Der obere Anschluss muss regional entlang der Wandoberkante festgelegt werden können: Ein Wandelement darf gleichzeitig Bereiche mit Kopfblech und Bereiche mit Spannplatten besitzen. Jeder obere Strang-/Konturabschnitt hat genau eine eindeutige Anschlussart.</w:t>
      </w:r>
    </w:p>
    <w:p>
      <w:pPr>
        <w:pStyle w:val="Heading2"/>
      </w:pPr>
      <w:r>
        <w:t xml:space="preserve">15.4 Horizontaler Wandaufbau – Verbinder &amp; UK (Modul 2)  [U]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[U-1]</w:t>
      </w:r>
      <w:r>
        <w:t xml:space="preserve"> Verbinder-/UK-Nutenraster = 12,5·k cm (innenliegende Stege); Steinfugen auf diesem Raster sind Fugen, keine Nuten.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[U-2]</w:t>
      </w:r>
      <w:r>
        <w:t xml:space="preserve"> Vorspannungsraster = 6,25 + 12,5·k cm (Kammermitte, immer innenliegend → durchgehend).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[U-3]</w:t>
      </w:r>
      <w:r>
        <w:t xml:space="preserve"> Verbinder horizontal nur auf einer innenliegenden Nut (nie in einer Stoßfuge). Die Prüfung gilt </w:t>
      </w:r>
      <w:r>
        <w:rPr>
          <w:b/>
          <w:bCs/>
        </w:rPr>
        <w:t xml:space="preserve">lagenweise</w:t>
      </w:r>
      <w:r>
        <w:t xml:space="preserve">, nicht wandglobal: eine Achse als Ganzes darf nicht als gültig gelten, wenn sie nur in einem Teil der Lagen innenliegend 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[U-4]</w:t>
      </w:r>
      <w:r>
        <w:t xml:space="preserve"> Verbinder vertikal in Steinmitte (10 + 20·k cm bei 20-cm-Steinen; nie auf einer Lagerfuge).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[U-5]</w:t>
      </w:r>
      <w:r>
        <w:t xml:space="preserve"> Panelfugen = Verbinderachsen; Zwischenachsen bei Überschreitung des Max-Abstands; keine Verbinder in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[U-6]</w:t>
      </w:r>
      <w:r>
        <w:t xml:space="preserve"> Beplankung volle Wandbreite über Auskragung: äußerste Achse auf nächster Nut, max. Randüberstand 12,5 cm (1 Nut).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[U-7]</w:t>
      </w:r>
      <w:r>
        <w:t xml:space="preserve"> Das Beplankungsfeld begrenzt Verbinder und Latten und rastet aufs Panelraster. Änderungen werden in einem sichtbaren Bearbeitungsmodus erst mit „Übernehmen &amp; berechnen” wirksam.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[U-8]</w:t>
      </w:r>
      <w:r>
        <w:t xml:space="preserve"> Latten vertikal auf den Achsen, an Öffnungen/Feldrand geschnitten; Stöße mittig zwischen zwei Verbindern; 1D-Zuschnitt mit Reststück-Nutzung. Eine Latte endet an der obersten Lage, die nach [U-11] befestigbar ist – sie wird nicht über die tragende Geometrie hinaus fortgesetzt (keine Latte „in der Luft“ über einer Staffelungskante).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[U-9]</w:t>
      </w:r>
      <w:r>
        <w:t xml:space="preserve"> Verbindertyp folgt Wand-Aufbau/Seite aus Modul 1 (fassade → FA, innenausbau → IA) und ist in Modul 2 nicht neu wählbar.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[U-10]</w:t>
      </w:r>
      <w:r>
        <w:t xml:space="preserve"> An linken/rechten Öffnungskanten gilt der bestehende Randabstand. Betroffene globale Lattenachsen werden auf die nächste sichere Nut von der Öffnung weg verschoben und dedupliziert; die obere Öffnungskante ist keine Sperrzone. Ein unlösbarer Konflikt mit dem Maximalabstand wird sichtbar gemeldet.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[U-11 · MUSS]</w:t>
      </w:r>
      <w:r>
        <w:t xml:space="preserve"> Ein Verbinder darf nur an einer Position (Nut x, Lage y) sitzen, an der </w:t>
      </w:r>
      <w:r>
        <w:rPr>
          <w:b/>
          <w:bCs/>
        </w:rPr>
        <w:t xml:space="preserve">in genau dieser Lage</w:t>
      </w:r>
      <w:r>
        <w:t xml:space="preserve"> ein Stein liegt, der die Nut </w:t>
      </w:r>
      <w:r>
        <w:rPr>
          <w:b/>
          <w:bCs/>
        </w:rPr>
        <w:t xml:space="preserve">strikt innen</w:t>
      </w:r>
      <w:r>
        <w:t xml:space="preserve"> führt. Verboten sind Stein-Außenkanten, Stoßfugen und steinfreie Positionen – insbesondere die vertikalen Kanten einer Staffelung/Treppe und Positionen oberhalb der lokalen Wandoberkante. Diese Muss-Regel hat </w:t>
      </w:r>
      <w:r>
        <w:rPr>
          <w:b/>
          <w:bCs/>
        </w:rPr>
        <w:t xml:space="preserve">Vorrang</w:t>
      </w:r>
      <w:r>
        <w:t xml:space="preserve"> vor [U-5], [U-6] und vor dem Komfortziel, eine Achse/Latte über eine Staffelungskante durchzuziehen. Entfallene Positionen werden </w:t>
      </w:r>
      <w:r>
        <w:rPr>
          <w:b/>
          <w:bCs/>
        </w:rPr>
        <w:t xml:space="preserve">nicht</w:t>
      </w:r>
      <w:r>
        <w:t xml:space="preserve"> durch Ersatzpunkte kompensiert: ausgedünnte Achsen, Achsen ohne Verbinder und eine fehlende Lagengeometrie im Wandelement führen zu einem sicheren Zustand (keine unsicheren Punkte) mit sichtbarer Warnung in Modul 2 ([P-9]).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Herkunft [U-11]: Issue #29 (AWG-Wand). Verbinder wurden bei getreppten Wänden an der Stein-Außenkante der Staffelung platziert, weil die Nut nur wandglobal klassifiziert war ([U-3] war lagenweise falsch umgesetzt). Die Regel gilt gleichermaßen für Stoßfugen ohne Staffelung; die Verbinder- und Lattenmengen solcher Wände können dadurch sinken.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[U-12 · MUSS]</w:t>
      </w:r>
      <w:r>
        <w:t xml:space="preserve"> Jedes </w:t>
      </w:r>
      <w:r>
        <w:rPr>
          <w:b/>
          <w:bCs/>
        </w:rPr>
        <w:t xml:space="preserve">reale Lattensegment</w:t>
      </w:r>
      <w:r>
        <w:t xml:space="preserve"> – abgegrenzt durch Öffnungen, Feldgrenzen und Wandkontur/Staffelung, </w:t>
      </w:r>
      <w:r>
        <w:rPr>
          <w:b/>
          <w:bCs/>
        </w:rPr>
        <w:t xml:space="preserve">nicht</w:t>
      </w:r>
      <w:r>
        <w:t xml:space="preserve"> durch Wandfuß und Wandkrone – erhält an seinem </w:t>
      </w:r>
      <w:r>
        <w:rPr>
          <w:b/>
          <w:bCs/>
        </w:rPr>
        <w:t xml:space="preserve">realen unteren und realen oberen Ende</w:t>
      </w:r>
      <w:r>
        <w:t xml:space="preserve"> je einen Verbinder. Maßgeblich ist die </w:t>
      </w:r>
      <w:r>
        <w:rPr>
          <w:b/>
          <w:bCs/>
        </w:rPr>
        <w:t xml:space="preserve">erste bzw. letzte innerhalb des Segments nach [U-11] zulässige Lage</w:t>
      </w:r>
      <w:r>
        <w:t xml:space="preserve">: läuft eine Latte über eine Tür weiter, ist ihr unteres Ende die erste befestigbare Lage über der Tür-Oberkante, nicht der Wandfuß in der ausgesparten Öffnung. Diese Endverbinder sind </w:t>
      </w:r>
      <w:r>
        <w:rPr>
          <w:b/>
          <w:bCs/>
        </w:rPr>
        <w:t xml:space="preserve">additive Pflichtpunkte</w:t>
      </w:r>
      <w:r>
        <w:t xml:space="preserve"> – bestehende gültige Rasterpunkte bleiben unverändert – und haben </w:t>
      </w:r>
      <w:r>
        <w:rPr>
          <w:b/>
          <w:bCs/>
        </w:rPr>
        <w:t xml:space="preserve">Vorrang vor der Optimierung</w:t>
      </w:r>
      <w:r>
        <w:t xml:space="preserve"> nach [U-5] (Panel-/Zwischenachsraster) und [U-8] (Stoß- und Zuschnittoptimierung); sie stehen jedoch </w:t>
      </w:r>
      <w:r>
        <w:rPr>
          <w:b/>
          <w:bCs/>
        </w:rPr>
        <w:t xml:space="preserve">unter [U-11]</w:t>
      </w:r>
      <w:r>
        <w:t xml:space="preserve">: eine unzulässige Position (Stoßfuge, Stein-Außenkante, steinfrei, in der Öffnung) wird nie belegt. Enthält ein Segment genau </w:t>
      </w:r>
      <w:r>
        <w:rPr>
          <w:b/>
          <w:bCs/>
        </w:rPr>
        <w:t xml:space="preserve">eine</w:t>
      </w:r>
      <w:r>
        <w:t xml:space="preserve"> zulässige Lage, erfüllt dieser Verbinder beide Enden. Enthält es </w:t>
      </w:r>
      <w:r>
        <w:rPr>
          <w:b/>
          <w:bCs/>
        </w:rPr>
        <w:t xml:space="preserve">keine</w:t>
      </w:r>
      <w:r>
        <w:t xml:space="preserve">, darf es nicht als regelgerecht geplante Latte ausgegeben werden: es entsteht </w:t>
      </w:r>
      <w:r>
        <w:rPr>
          <w:b/>
          <w:bCs/>
        </w:rPr>
        <w:t xml:space="preserve">kein Ersatzpunkt</w:t>
      </w:r>
      <w:r>
        <w:t xml:space="preserve">, das Segment bleibt ungeplant (sicherer Leerfall) und wird in Modul 2 sichtbar gewarnt ([P-9]).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[U-12.1 · Scope]</w:t>
      </w:r>
      <w:r>
        <w:t xml:space="preserve"> [U-12] gilt auf der Ebene des </w:t>
      </w:r>
      <w:r>
        <w:rPr>
          <w:b/>
          <w:bCs/>
        </w:rPr>
        <w:t xml:space="preserve">realen Segments</w:t>
      </w:r>
      <w:r>
        <w:t xml:space="preserve">, nicht je physischem Zuschnittstück einer Standardlänge. Für die Befestigung der Einzelstücke innerhalb eines Segments bleibt [U-8] zuständig (Stöße liegen mittig zwischen zwei Verbindern, jedes Stück erbt dadurch seine Befestigung). Ein Umbau des 1D-Zuschnitts auf stückweise Endverbinder ist bewusst </w:t>
      </w:r>
      <w:r>
        <w:rPr>
          <w:b/>
          <w:bCs/>
        </w:rPr>
        <w:t xml:space="preserve">nicht</w:t>
      </w:r>
      <w:r>
        <w:t xml:space="preserve"> Teil dieser Regel.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Herkunft [U-12]: Issue #30. Über einer Tür entstand nur ein Verbinder am oberen Lattenende, weil die Verbinderreihen global aus Wandfuß/Wandkrone abgeleitet wurden und die Segmentbildung erst danach an der Öffnung schnitt – eine fehlende Regel, nicht eine falsch umgesetzte. Die Regel greift gleichermaßen, wenn die unterste oder oberste Lage einer Achse nach [U-11] eine Stoßfuge ist; dort ist die erste bzw. letzte zulässige Lage maßgebend. Verbinder- und Lattenmengen solcher Wände können dadurch steigen.</w:t>
      </w:r>
    </w:p>
    <w:p>
      <w:pPr>
        <w:pStyle w:val="Heading2"/>
      </w:pPr>
      <w:r>
        <w:t xml:space="preserve">15.5 Statik (Gutachten Schermer)  [S]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[S-1]</w:t>
      </w:r>
      <w:r>
        <w:t xml:space="preserve"> Statisches System: Einfeldträger über die Höhe h, oben und unten gelenkig.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[S-2]</w:t>
      </w:r>
      <w:r>
        <w:t xml:space="preserve"> Maßgebender Lastfall = MAX(Wind, DIN 4103-1 Kat. I, Kat. II).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[S-3]</w:t>
      </w:r>
      <w:r>
        <w:t xml:space="preserve"> Biegetragfähigkeit m_Rk aus Prüfwerten §6.2 über N_v interpoliert; über den Prüfbereich gekappt + Warnung.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[S-4]</w:t>
      </w:r>
      <w:r>
        <w:t xml:space="preserve"> N_v,fav (günstig) für Biegung; N_v,sup (ungünstig) für Druckrand und Bodenreibung.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[S-5]</w:t>
      </w:r>
      <w:r>
        <w:t xml:space="preserve"> γ_M = 2,0 (Wand); γ_s = γ_M2 = 1,25; γ_Q = 1,5; γ_M,μ = 1,5.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[S-6]</w:t>
      </w:r>
      <w:r>
        <w:t xml:space="preserve"> γ_P,fav frei wählbar 1,0–2,0 (Auswahlhilfe 5.11); γ_P,sup Default 1,1.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[S-7]</w:t>
      </w:r>
      <w:r>
        <w:t xml:space="preserve"> Spannsystem: Gewindestangen-Fließen maßgebend; Senkschraube nur Warn-Alternative (nicht in η_max).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[S-8]</w:t>
      </w:r>
      <w:r>
        <w:t xml:space="preserve"> η_max,gesamt = MAX(η_Wand, η_Spannsystem) ≤ 1,0 = Nachweis erfüllt.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[S-9]</w:t>
      </w:r>
      <w:r>
        <w:t xml:space="preserve"> Deckenwinkel-Anschlusskraft wird an den Stahlbau übergeben (Winkel/Verankerung separat).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[S-10]</w:t>
      </w:r>
      <w:r>
        <w:t xml:space="preserve"> Transport/Hebezustand ist ein separater Spot-Check (nicht Teil des Gutachtens).</w:t>
      </w:r>
    </w:p>
    <w:p>
      <w:pPr>
        <w:pStyle w:val="Heading2"/>
      </w:pPr>
      <w:r>
        <w:t xml:space="preserve">15.6 Prozess &amp; Datenmodell  [P]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[P-1]</w:t>
      </w:r>
      <w:r>
        <w:t xml:space="preserve"> Das Wandelement ist die Single Source of Truth: Modul 0 legt es einschließlich Wandtyp an, Modul 1 erzeugt/aktualisiert die geprüfte Geometrie, alle anderen Module lesen es nur. Genau ein Element ist aktiv.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[P-2]</w:t>
      </w:r>
      <w:r>
        <w:t xml:space="preserve"> Öffentliches Austauschformat = SEMBLA-Projekt v2 mit {name, wandelement, eingaben}. Import und ZIP-Export sind zentral in Modul 0; Fachmodule besitzen keine eigenen Datei-Buttons.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[P-3]</w:t>
      </w:r>
      <w:r>
        <w:t xml:space="preserve"> Ein Rechenkern im Betrieb (docs/shared/sembla-core.js); die Python-Referenz (tests/core/) dient nur den Tests und wird bit-genau gleich gehalten (Parität über goldene Fixtures).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[P-4]</w:t>
      </w:r>
      <w:r>
        <w:t xml:space="preserve"> Referenzsystem: Nullpunkt unten-links-vorne; X = Länge, Y = Wandstärke, Z = Höhe (mm).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[P-5]</w:t>
      </w:r>
      <w:r>
        <w:t xml:space="preserve"> Kein App-Build-Schritt: docs/ wird direkt editiert und ist nach dem Push sofort live (GitHub Pages). Nach jeder Änderung die betroffenen Tests grün halten (npm run test:all).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[P-6]</w:t>
      </w:r>
      <w:r>
        <w:t xml:space="preserve"> Der gesamte Planungsprozess ist deterministisch und regelbasiert. Abgeleitete Werte werden aus Wandelement, Eingaben und Katalog frisch berechnet; keine gespeicherten Schattenmengen oder stillen Heuristik-Ergebnisse.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[P-7]</w:t>
      </w:r>
      <w:r>
        <w:t xml:space="preserve"> Jede fachliche Änderung benennt ihre Regel-ID und aktualisiert Regelwerk, Implementierung und Tests gemeinsam. Bei jedem Bug wird zuerst geklärt, welche Regel fehlt, unklar ist oder falsch umgesetzt wurde.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[P-8]</w:t>
      </w:r>
      <w:r>
        <w:t xml:space="preserve"> Handbuchquelle und erzeugtes DOCX werden bei jeder produktrelevanten Änderung geprüft und regelmäßig vollständig gegen Produkt, Issues und Tests auditiert.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[P-9]</w:t>
      </w:r>
      <w:r>
        <w:t xml:space="preserve"> Regelkonflikte folgen der dokumentierten Hierarchie. Nicht gemeinsam erfüllbare Muss-Regeln erzeugen einen sichtbaren Konflikt; ein unsicherer Fallback ist unzulässig.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[P-10]</w:t>
      </w:r>
      <w:r>
        <w:t xml:space="preserve"> Der Bauteilkatalog ist eine getrennte, versionierte Ressource. Das Projekt referenziert nur ausgewählte Produkt-IDs; fehlende Referenzen werden sichtbar gewarnt.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[P-11]</w:t>
      </w:r>
      <w:r>
        <w:t xml:space="preserve"> Wandtyp wird ausschließlich in Modul 0 gewählt; Modul 1 führt ihn unverändert mit, Modul 3 liest ihn einschließlich Geometrie und Öffnungszahl read-only.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1AA"/>
        <w:sz w:val="16"/>
        <w:szCs w:val="16"/>
      </w:rPr>
      <w:t xml:space="preserve">Planungshilfe – Berechnungen vom Tragwerksplaner zu bestätigen · Seite </w:t>
    </w:r>
    <w:r>
      <w:rPr>
        <w:color w:val="9AA1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AA1AA"/>
        <w:sz w:val="16"/>
        <w:szCs w:val="16"/>
      </w:rPr>
      <w:t xml:space="preserve">SEMBLA Planungs-Suite – Handbuch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top w:val="single" w:color="13202E" w:sz="12" w:space="6"/>
      </w:pBdr>
      <w:spacing w:after="140" w:before="320"/>
      <w:outlineLvl w:val="0"/>
    </w:pPr>
    <w:rPr>
      <w:rFonts w:ascii="Arial" w:cs="Arial" w:eastAsia="Arial" w:hAnsi="Arial"/>
      <w:b/>
      <w:bCs/>
      <w:color w:val="1320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320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41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SEMBLA Planungs-Suite – Handbuch</dc:title>
  <dc:creator>SEMBLA Planungs-Suite</dc:creator>
  <cp:lastModifiedBy>Un-named</cp:lastModifiedBy>
  <cp:revision>1</cp:revision>
  <dcterms:created xsi:type="dcterms:W3CDTF">2026-08-04T14:43:06.555Z</dcterms:created>
  <dcterms:modified xsi:type="dcterms:W3CDTF">2026-08-04T14:43:06.556Z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