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beginnt weiterhin an der Steinunterkante; weil die Kopplungsmutter im </w:t>
      </w:r>
      <w:r>
        <w:rPr>
          <w:b/>
          <w:bCs/>
        </w:rPr>
        <w:t xml:space="preserve">Vordergrund</w:t>
      </w:r>
      <w:r>
        <w:t xml:space="preserve"> liegt (</w:t>
      </w:r>
      <w:r>
        <w:rPr>
          <w:b/>
          <w:bCs/>
        </w:rPr>
        <w:t xml:space="preserve">[D-9]</w:t>
      </w:r>
      <w:r>
        <w:t xml:space="preserve">), deckt sie deren untere Hälfte ab, und man sieht die Stange aus der Mutter austreten – die Teilung „je zur Hälfte“ ist damit auch gezeichnet, ohne den Stangenbeginn zu verschieben. Der Fußoffset bleibt eine </w:t>
      </w:r>
      <w:r>
        <w:rPr>
          <w:b/>
          <w:bCs/>
        </w:rPr>
        <w:t xml:space="preserve">Mengengröße</w:t>
      </w:r>
      <w:r>
        <w:t xml:space="preserve"> und wird </w:t>
      </w:r>
      <w:r>
        <w:rPr>
          <w:b/>
          <w:bCs/>
        </w:rPr>
        <w:t xml:space="preserve">nicht</w:t>
      </w:r>
      <w:r>
        <w:t xml:space="preserve"> zur Zeichengröße.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w:t>
      </w:r>
      <w:r>
        <w:rPr>
          <w:b/>
          <w:bCs/>
        </w:rPr>
        <w:t xml:space="preserve">ein</w:t>
      </w:r>
      <w:r>
        <w:t xml:space="preserve"> Anschlusspunkt je </w:t>
      </w:r>
      <w:r>
        <w:rPr>
          <w:b/>
          <w:bCs/>
        </w:rPr>
        <w:t xml:space="preserve">angefangenem Meter Wandlänge</w:t>
      </w:r>
      <w:r>
        <w:t xml:space="preserve">, </w:t>
      </w:r>
      <w:r>
        <w:rPr>
          <w:b/>
          <w:bCs/>
        </w:rPr>
        <w:t xml:space="preserve">mindestens einer</w:t>
      </w:r>
      <w:r>
        <w:t xml:space="preserve"> – auch eine Wand unter einem Meter trägt einen Punkt. Maßgebend ist die </w:t>
      </w:r>
      <w:r>
        <w:rPr>
          <w:b/>
          <w:bCs/>
        </w:rPr>
        <w:t xml:space="preserve">volle Wandlänge</w:t>
      </w:r>
      <w:r>
        <w:t xml:space="preserve">;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w:t>
      </w:r>
      <w:r>
        <w:t xml:space="preserve"> gibt es </w:t>
      </w:r>
      <w:r>
        <w:rPr>
          <w:b/>
          <w:bCs/>
        </w:rPr>
        <w:t xml:space="preserve">höchstens so viele</w:t>
      </w:r>
      <w:r>
        <w:t xml:space="preserve"> Spannachsen wie Zielpunkte, werden </w:t>
      </w:r>
      <w:r>
        <w:rPr>
          <w:b/>
          <w:bCs/>
        </w:rPr>
        <w:t xml:space="preserve">alle</w:t>
      </w:r>
      <w:r>
        <w:t xml:space="preserve"> genommen und </w:t>
      </w:r>
      <w:r>
        <w:rPr>
          <w:b/>
          <w:bCs/>
        </w:rPr>
        <w:t xml:space="preserve">nichts</w:t>
      </w:r>
      <w:r>
        <w:t xml:space="preserve"> aufgefüllt. Sonst werden </w:t>
      </w:r>
      <w:r>
        <w:rPr>
          <w:b/>
          <w:bCs/>
        </w:rPr>
        <w:t xml:space="preserve">erste und letzte</w:t>
      </w:r>
      <w:r>
        <w:t xml:space="preserve"> Achse gesetzt und die übrigen Punkte </w:t>
      </w:r>
      <w:r>
        <w:rPr>
          <w:b/>
          <w:bCs/>
        </w:rPr>
        <w:t xml:space="preserve">gleichmäßig über die Achsenliste</w:t>
      </w:r>
      <w:r>
        <w:t xml:space="preserve"> verteilt – gezählt wird in </w:t>
      </w:r>
      <w:r>
        <w:rPr>
          <w:b/>
          <w:bCs/>
        </w:rPr>
        <w:t xml:space="preserve">Achsen</w:t>
      </w:r>
      <w:r>
        <w:t xml:space="preserve">, nicht in Millimetern, gerundet kaufmännisch </w:t>
      </w:r>
      <w:r>
        <w:rPr>
          <w:b/>
          <w:bCs/>
        </w:rPr>
        <w:t xml:space="preserve">zur geraden Zahl</w:t>
      </w:r>
      <w:r>
        <w:t xml:space="preserve"> wie im ganzen Rechenkern. Bei genau </w:t>
      </w:r>
      <w:r>
        <w:rPr>
          <w:b/>
          <w:bCs/>
        </w:rPr>
        <w:t xml:space="preserve">einem</w:t>
      </w:r>
      <w:r>
        <w:t xml:space="preserve"> Punkt gilt ausgesprochen die </w:t>
      </w:r>
      <w:r>
        <w:rPr>
          <w:b/>
          <w:bCs/>
        </w:rPr>
        <w:t xml:space="preserve">erste</w:t>
      </w:r>
      <w:r>
        <w:t xml:space="preserve"> Achse, statt eine Mitte zu erfinden.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ein Deckenanschluss je Meter Wandlänge, End-/Randachsen zählen mit, bewusst ohne Statik – und der Festlegung desselben Tages, dass jede Spannachse Kandidat ist und die Staffelung keine eigene Anschlussebene bekommt.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M10 am Winkelstoß und die Scheibe 6,4 mm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M10, </w:t>
      </w:r>
      <w:r>
        <w:rPr>
          <w:b/>
          <w:bCs/>
        </w:rPr>
        <w:t xml:space="preserve">zwei</w:t>
      </w:r>
      <w:r>
        <w:t xml:space="preserve"> Unterlegscheiben M10,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ist </w:t>
      </w:r>
      <w:r>
        <w:rPr>
          <w:b/>
          <w:bCs/>
        </w:rPr>
        <w:t xml:space="preserve">nicht</w:t>
      </w:r>
      <w:r>
        <w:t xml:space="preserve"> die Sechskantschraube am Fuß.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und die Bleche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2026-09-08T14:35:35.050Z</dcterms:created>
  <dcterms:modified xsi:type="dcterms:W3CDTF">2026-09-08T14:35:35.050Z</dcterms:modified>
</cp:coreProperties>
</file>

<file path=docProps/custom.xml><?xml version="1.0" encoding="utf-8"?>
<Properties xmlns="http://schemas.openxmlformats.org/officeDocument/2006/custom-properties" xmlns:vt="http://schemas.openxmlformats.org/officeDocument/2006/docPropsVTypes"/>
</file>