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Im öffentlichen Projektformat ist der Abschnitt </w:t>
      </w:r>
      <w:r>
        <w:rPr>
          <w:b/>
          <w:bCs/>
        </w:rPr>
        <w:t xml:space="preserve">optional</w:t>
      </w:r>
      <w:r>
        <w:t xml:space="preserve">: ein Projekt ohne ihn lädt unverändert und ohne Übersteuerungen,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sind weiterhin: übersteuerbare Bezeichnungen, Einheiten, Preise und Einbauteil-IDs sowie ein Kommentarfeld je Position.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2026-08-16T03:34:16.473Z</dcterms:created>
  <dcterms:modified xsi:type="dcterms:W3CDTF">2026-08-16T03:34:16.474Z</dcterms:modified>
</cp:coreProperties>
</file>

<file path=docProps/custom.xml><?xml version="1.0" encoding="utf-8"?>
<Properties xmlns="http://schemas.openxmlformats.org/officeDocument/2006/custom-properties" xmlns:vt="http://schemas.openxmlformats.org/officeDocument/2006/docPropsVTypes"/>
</file>