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Geschosshöhe ist Vorgabe, nicht Wahrheit.</w:t>
      </w:r>
      <w:r>
        <w:t xml:space="preserve"> Ein Geschoss trägt eine </w:t>
      </w:r>
      <w:r>
        <w:rPr>
          <w:b/>
          <w:bCs/>
        </w:rPr>
        <w:t xml:space="preserve">Geschosshöhe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Erfüllt die Geschosshöhe das Lagenraster COURSE = 200 mm (</w:t>
      </w:r>
      <w:r>
        <w:rPr>
          <w:b/>
          <w:bCs/>
        </w:rPr>
        <w:t xml:space="preserve">[G-2]</w:t>
      </w:r>
      <w:r>
        <w:t xml:space="preserve">) nicht, wird sie </w:t>
      </w:r>
      <w:r>
        <w:rPr>
          <w:b/>
          <w:bCs/>
        </w:rPr>
        <w:t xml:space="preserve">nicht still gerundet</w:t>
      </w:r>
      <w:r>
        <w:t xml:space="preserve">: die Abweichung wird beim Anlegen benannt und die Wandhöhe ausdrücklich gewählt.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Offen sind allein die Bedienzugaben der Etappen C4c (Bauteilliste, Referenzgeschoss) und C5 (Mappen-ZIP), die keine Regel dieses Kapitels berühren.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2026-08-08T10:13:04.811Z</dcterms:created>
  <dcterms:modified xsi:type="dcterms:W3CDTF">2026-08-08T10:13:04.812Z</dcterms:modified>
</cp:coreProperties>
</file>

<file path=docProps/custom.xml><?xml version="1.0" encoding="utf-8"?>
<Properties xmlns="http://schemas.openxmlformats.org/officeDocument/2006/custom-properties" xmlns:vt="http://schemas.openxmlformats.org/officeDocument/2006/docPropsVTypes"/>
</file>