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breit wie die Wand).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Spannmutter</w:t>
      </w:r>
      <w:r>
        <w:t xml:space="preserve"> zum Festspannen — </w:t>
      </w:r>
      <w:r>
        <w:rPr>
          <w:b/>
          <w:bCs/>
        </w:rPr>
        <w:t xml:space="preserve">ohne Unterlegscheibe</w:t>
      </w:r>
      <w:r>
        <w:t xml:space="preserve">.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w:t>
      </w:r>
      <w:r>
        <w:rPr>
          <w:b/>
          <w:bCs/>
        </w:rPr>
        <w:t xml:space="preserve">Platte/Mutter</w:t>
      </w:r>
      <w:r>
        <w:t xml:space="preserve"> (ohne Unterlegscheibe).</w:t>
      </w:r>
    </w:p>
    <w:p>
      <w:pPr>
        <w:pStyle w:val="ListParagraph"/>
        <w:numPr>
          <w:ilvl w:val="0"/>
          <w:numId w:val="2"/>
        </w:numPr>
        <w:spacing w:after="60"/>
      </w:pPr>
      <w:r>
        <w:t xml:space="preserve">BOM je Wand: senkkopfschrauben, kopplungsmuttern_basis, spannplatten, spannmuttern (eine je Spannplatte, oben wie unten — </w:t>
      </w:r>
      <w:r>
        <w:rPr>
          <w:b/>
          <w:bCs/>
        </w:rPr>
        <w:t xml:space="preserve">keine</w:t>
      </w:r>
      <w:r>
        <w:t xml:space="preserve"> Unterlegscheiben),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 seit Issue #111 zusätzlich für mehrere ausgewählte Wände gemeinsam im Sammel-Editor des Geschosseditors; das ist ein zweiter Bedienort, keine zweite Quelle: beide Wege schreiben denselben Wert an dasselbe Wandelement über denselben Neuberechnungspfad. Im Übrigen führt der Geschosseditor das Merkmal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gewählt in Modul 1 oder im Sammel-Editor des Geschosseditors;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 und seit Issue #111 zusätzlich für mehrere ausgewählte Wände gemeinsam im </w:t>
      </w:r>
      <w:r>
        <w:rPr>
          <w:b/>
          <w:bCs/>
        </w:rPr>
        <w:t xml:space="preserve">Sammel-Editor des Geschosseditors</w:t>
      </w:r>
      <w:r>
        <w:t xml:space="preserve">, einem zweiten </w:t>
      </w:r>
      <w:r>
        <w:rPr>
          <w:b/>
          <w:bCs/>
        </w:rPr>
        <w:t xml:space="preserve">Bedienort</w:t>
      </w:r>
      <w:r>
        <w:t xml:space="preserve"> ohne zweite Quelle und ohne zweiten Schreibweg. Wo der Geschosseditor sie nicht ausdrücklich setzt, führt er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derzeit </w:t>
      </w:r>
      <w:r>
        <w:rPr>
          <w:b/>
          <w:bCs/>
        </w:rPr>
        <w:t xml:space="preserve">nicht</w:t>
      </w:r>
      <w:r>
        <w:t xml:space="preserve"> – ob er dorthin gehört, ist offen und wird nicht vorweggenommen.</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wandbreit);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375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375…1250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Die </w:t>
      </w:r>
      <w:r>
        <w:rPr>
          <w:b/>
          <w:bCs/>
        </w:rPr>
        <w:t xml:space="preserve">Abmessungen des Einlegeblechs sind fachlich weiterhin nicht freigegeben</w:t>
      </w:r>
      <w:r>
        <w:t xml:space="preserve"> und werden hier ausdrücklich </w:t>
      </w:r>
      <w:r>
        <w:rPr>
          <w:b/>
          <w:bCs/>
        </w:rPr>
        <w:t xml:space="preserve">nicht</w:t>
      </w:r>
      <w:r>
        <w:t xml:space="preserve"> behauptet: sie stehen als </w:t>
      </w:r>
      <w:r>
        <w:rPr>
          <w:b/>
          <w:bCs/>
        </w:rPr>
        <w:t xml:space="preserve">vorläufig gekennzeichnete Annahme allein im Bauteilkatalog</w:t>
      </w:r>
      <w:r>
        <w:t xml:space="preserve"> und in keiner Rechnung ([Z-1]-Muster). </w:t>
      </w:r>
      <w:r>
        <w:rPr>
          <w:b/>
          <w:bCs/>
        </w:rPr>
        <w:t xml:space="preserve">Katalogrolle, Standardkatalog-Eintrag, Menge und Stücklistenposition</w:t>
      </w:r>
      <w:r>
        <w:t xml:space="preserve"> für Blech </w:t>
      </w:r>
      <w:r>
        <w:rPr>
          <w:b/>
          <w:bCs/>
        </w:rPr>
        <w:t xml:space="preserve">und</w:t>
      </w:r>
      <w:r>
        <w:t xml:space="preserve"> Mutter sind dagegen </w:t>
      </w:r>
      <w:r>
        <w:rPr>
          <w:b/>
          <w:bCs/>
        </w:rPr>
        <w:t xml:space="preserve">nachgezogen und umgesetzt</w:t>
      </w:r>
      <w:r>
        <w:t xml:space="preserve"> – die Zählregel steht als </w:t>
      </w:r>
      <w:r>
        <w:rPr>
          <w:b/>
          <w:bCs/>
        </w:rPr>
        <w:t xml:space="preserve">[A-25]</w:t>
      </w:r>
      <w:r>
        <w:t xml:space="preserve">.</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Die Katalogrolle Einlegeblech samt vorläufigen Maßen, die getrennte Rolle der Mutter M10 als normale Sechskantmutter und die deterministischen Mengen und Stücklistenpositionen für beide sind mit Issue #93 und der Meldung aus #109 nachgezogen und stehen als [A-25]. Offen bleibt ausdrücklich die weitergehende Darstellung im Zeichnungsumfang (Issue #97) sowie die fachliche Freigabe der Blechmaße durch Karl – bis dahin sind sie eine im Katalog gekennzeichnete Annahme und in keiner Rechnung verankert.</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w:t>
      </w:r>
      <w:r>
        <w:rPr>
          <w:b/>
          <w:bCs/>
        </w:rPr>
        <w:t xml:space="preserve">editierbar</w:t>
      </w:r>
      <w:r>
        <w:t xml:space="preserve"> sind sie nach </w:t>
      </w:r>
      <w:r>
        <w:rPr>
          <w:b/>
          <w:bCs/>
        </w:rPr>
        <w:t xml:space="preserve">[A-24]</w:t>
      </w:r>
      <w:r>
        <w:t xml:space="preserve">.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Der Editiermodus in Modul 1 samt Rückkehr zur automatischen Verteilung ist mit demselben Issue nachgezogen und steht als [A-24]. Offen bleibt ausdrücklich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Die </w:t>
      </w:r>
      <w:r>
        <w:rPr>
          <w:b/>
          <w:bCs/>
        </w:rPr>
        <w:t xml:space="preserve">Darstellung</w:t>
      </w:r>
      <w:r>
        <w:t xml:space="preserve"> der Fußfolge ist mit Issue #97 nachgezogen: Wandansicht (Modul 1) und Zeichnungsblatt (Modul 7) zeigen seither von unten die </w:t>
      </w:r>
      <w:r>
        <w:rPr>
          <w:b/>
          <w:bCs/>
        </w:rPr>
        <w:t xml:space="preserve">Sechskantschraube</w:t>
      </w:r>
      <w:r>
        <w:t xml:space="preserve"> mit frei unter dem Bodenblech herausragendem </w:t>
      </w:r>
      <w:r>
        <w:rPr>
          <w:b/>
          <w:bCs/>
        </w:rPr>
        <w:t xml:space="preserve">Kopf</w:t>
      </w:r>
      <w:r>
        <w:t xml:space="preserve">, darüber das </w:t>
      </w:r>
      <w:r>
        <w:rPr>
          <w:b/>
          <w:bCs/>
        </w:rPr>
        <w:t xml:space="preserve">Bodenblech</w:t>
      </w:r>
      <w:r>
        <w:t xml:space="preserve"> und darauf </w:t>
      </w:r>
      <w:r>
        <w:rPr>
          <w:b/>
          <w:bCs/>
        </w:rPr>
        <w:t xml:space="preserve">aufliegend</w:t>
      </w:r>
      <w:r>
        <w:t xml:space="preserve"> die </w:t>
      </w:r>
      <w:r>
        <w:rPr>
          <w:b/>
          <w:bCs/>
        </w:rPr>
        <w:t xml:space="preserve">Kopplungsmutter</w:t>
      </w:r>
      <w:r>
        <w:t xml:space="preserve">. Zuvor stand am Fuß eine </w:t>
      </w:r>
      <w:r>
        <w:rPr>
          <w:b/>
          <w:bCs/>
        </w:rPr>
        <w:t xml:space="preserve">normale Mutter</w:t>
      </w:r>
      <w:r>
        <w:t xml:space="preserve">, zur Hälfte im Blech, und die Schraube fehlte ganz – die Zeichnung widersprach damit der Bauteilfolge dieser Regel. Die </w:t>
      </w:r>
      <w:r>
        <w:rPr>
          <w:b/>
          <w:bCs/>
        </w:rPr>
        <w:t xml:space="preserve">gezeichnete Stange</w:t>
      </w:r>
      <w:r>
        <w:t xml:space="preserve"> beginnt weiterhin an der Steinunterkante; weil die Kopplungsmutter im </w:t>
      </w:r>
      <w:r>
        <w:rPr>
          <w:b/>
          <w:bCs/>
        </w:rPr>
        <w:t xml:space="preserve">Vordergrund</w:t>
      </w:r>
      <w:r>
        <w:t xml:space="preserve"> liegt (</w:t>
      </w:r>
      <w:r>
        <w:rPr>
          <w:b/>
          <w:bCs/>
        </w:rPr>
        <w:t xml:space="preserve">[D-9]</w:t>
      </w:r>
      <w:r>
        <w:t xml:space="preserve">), deckt sie deren untere Hälfte ab, und man sieht die Stange aus der Mutter austreten – die Teilung „je zur Hälfte“ ist damit auch gezeichnet, ohne den Stangenbeginn zu verschieben. Der Fußoffset bleibt eine </w:t>
      </w:r>
      <w:r>
        <w:rPr>
          <w:b/>
          <w:bCs/>
        </w:rPr>
        <w:t xml:space="preserve">Mengengröße</w:t>
      </w:r>
      <w:r>
        <w:t xml:space="preserve"> und wird </w:t>
      </w:r>
      <w:r>
        <w:rPr>
          <w:b/>
          <w:bCs/>
        </w:rPr>
        <w:t xml:space="preserve">nicht</w:t>
      </w:r>
      <w:r>
        <w:t xml:space="preserve"> zur Zeichengröße. Offen bleiben die realen Bauteilmaße von Kopplungsmutter und Spannplatte in der mitgelieferten Standardkatalog-Vorlage; das </w:t>
      </w:r>
      <w:r>
        <w:rPr>
          <w:b/>
          <w:bCs/>
        </w:rPr>
        <w:t xml:space="preserve">Baugruppenbild in Modul 5</w:t>
      </w:r>
      <w:r>
        <w:t xml:space="preserve"> zeigt die Fußfolge noch </w:t>
      </w:r>
      <w:r>
        <w:rPr>
          <w:b/>
          <w:bCs/>
        </w:rPr>
        <w:t xml:space="preserve">nicht</w:t>
      </w:r>
      <w:r>
        <w:t xml:space="preserve"> und bleibt ein benannter Nachziehpunkt (</w:t>
      </w:r>
      <w:r>
        <w:rPr>
          <w:b/>
          <w:bCs/>
        </w:rPr>
        <w:t xml:space="preserve">[P-6]</w:t>
      </w:r>
      <w:r>
        <w:t xml:space="preserve">).</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Wandlänge,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Das gilt für die </w:t>
      </w:r>
      <w:r>
        <w:rPr>
          <w:b/>
          <w:bCs/>
        </w:rPr>
        <w:t xml:space="preserve">Verteilung</w:t>
      </w:r>
      <w:r>
        <w:t xml:space="preserve">; ist nach </w:t>
      </w:r>
      <w:r>
        <w:rPr>
          <w:b/>
          <w:bCs/>
        </w:rPr>
        <w:t xml:space="preserve">[A-24]</w:t>
      </w:r>
      <w:r>
        <w:t xml:space="preserve"> ein Override gesetzt, ist diese Regel gesperrt und es gelten allein die gesetzten Punkte.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Der </w:t>
      </w:r>
      <w:r>
        <w:rPr>
          <w:b/>
          <w:bCs/>
        </w:rPr>
        <w:t xml:space="preserve">Editiermodus</w:t>
      </w:r>
      <w:r>
        <w:t xml:space="preserve"> in Modul 1 samt Rückkehr zur automatischen Verteilung ist mit demselben Issue nachgezogen und steht als </w:t>
      </w:r>
      <w:r>
        <w:rPr>
          <w:b/>
          <w:bCs/>
        </w:rPr>
        <w:t xml:space="preserve">[A-24]</w:t>
      </w:r>
      <w:r>
        <w:t xml:space="preserve">. Bewusst </w:t>
      </w:r>
      <w:r>
        <w:rPr>
          <w:b/>
          <w:bCs/>
        </w:rPr>
        <w:t xml:space="preserve">nicht</w:t>
      </w:r>
      <w:r>
        <w:t xml:space="preserve"> enthalten bleiben: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[A-24]</w:t>
      </w:r>
      <w:r>
        <w:t xml:space="preserve"> </w:t>
      </w:r>
      <w:r>
        <w:rPr>
          <w:b/>
          <w:bCs/>
        </w:rPr>
        <w:t xml:space="preserve">Editierbare Ausgleichspunkte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(prestress.ausgleich_override_mm) als </w:t>
      </w:r>
      <w:r>
        <w:rPr>
          <w:b/>
          <w:bCs/>
        </w:rPr>
        <w:t xml:space="preserve">ganze Millimeter</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 [A-20]…[A-23] vollständig</w:t>
      </w:r>
      <w:r>
        <w:t xml:space="preserve">: es gelten </w:t>
      </w:r>
      <w:r>
        <w:rPr>
          <w:b/>
          <w:bCs/>
        </w:rPr>
        <w:t xml:space="preserve">genau</w:t>
      </w:r>
      <w:r>
        <w:t xml:space="preserve"> die gesetzten Punkte, es wird </w:t>
      </w:r>
      <w:r>
        <w:rPr>
          <w:b/>
          <w:bCs/>
        </w:rPr>
        <w:t xml:space="preserve">nicht</w:t>
      </w:r>
      <w:r>
        <w:t xml:space="preserve"> nach [A-22] aufgefüllt und </w:t>
      </w:r>
      <w:r>
        <w:rPr>
          <w:b/>
          <w:bCs/>
        </w:rPr>
        <w:t xml:space="preserve">kein</w:t>
      </w:r>
      <w:r>
        <w:t xml:space="preserve"> Pflichtpunkt nach [A-21] nachgeschoben – auch die Wandenden nicht. Eine </w:t>
      </w:r>
      <w:r>
        <w:rPr>
          <w:b/>
          <w:bCs/>
        </w:rPr>
        <w:t xml:space="preserve">ausdrücklich leere</w:t>
      </w:r>
      <w:r>
        <w:t xml:space="preserve"> Liste ist die Aussage „</w:t>
      </w:r>
      <w:r>
        <w:rPr>
          <w:b/>
          <w:bCs/>
        </w:rPr>
        <w:t xml:space="preserve">keine</w:t>
      </w:r>
      <w:r>
        <w:t xml:space="preserve"> Ausgleichspunkte“ und fällt </w:t>
      </w:r>
      <w:r>
        <w:rPr>
          <w:b/>
          <w:bCs/>
        </w:rPr>
        <w:t xml:space="preserve">nicht</w:t>
      </w:r>
      <w:r>
        <w:t xml:space="preserve"> auf die Verteilung zurück; die Stücklistenmenge nach [A-18] folgt unverändert der Punktzahl und ist dann </w:t>
      </w:r>
      <w:r>
        <w:rPr>
          <w:b/>
          <w:bCs/>
        </w:rPr>
        <w:t xml:space="preserve">null</w:t>
      </w:r>
      <w:r>
        <w:t xml:space="preserve">.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jede </w:t>
      </w:r>
      <w:r>
        <w:rPr>
          <w:b/>
          <w:bCs/>
        </w:rPr>
        <w:t xml:space="preserve">ganze</w:t>
      </w:r>
      <w:r>
        <w:t xml:space="preserve"> Millimeterlage </w:t>
      </w:r>
      <w:r>
        <w:rPr>
          <w:b/>
          <w:bCs/>
        </w:rPr>
        <w:t xml:space="preserve">innerhalb der Wand einschließlich beider Wandenden</w:t>
      </w:r>
      <w:r>
        <w:t xml:space="preserve"> – anders als bei [A-17], denn die Wandenden sind reguläre Ausgleichspunkte ([A-21]). Ein </w:t>
      </w:r>
      <w:r>
        <w:rPr>
          <w:b/>
          <w:bCs/>
        </w:rPr>
        <w:t xml:space="preserve">unzulässiger</w:t>
      </w:r>
      <w:r>
        <w:t xml:space="preserve"> Wert (nicht ganzzahlig, außerhalb der Wandlänge) wird </w:t>
      </w:r>
      <w:r>
        <w:rPr>
          <w:b/>
          <w:bCs/>
        </w:rPr>
        <w:t xml:space="preserve">benannt und nicht angewandt</w:t>
      </w:r>
      <w:r>
        <w:t xml:space="preserve"> – er wird </w:t>
      </w:r>
      <w:r>
        <w:rPr>
          <w:b/>
          <w:bCs/>
        </w:rPr>
        <w:t xml:space="preserve">nie</w:t>
      </w:r>
      <w:r>
        <w:t xml:space="preserve"> gerundet,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[A-24] geht [A-20]…[A-23]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[A-24]: Issue #96 mit dem beschlossenen Punkt zur Editierbarkeit. Zuvor waren die Ausgleichspunkte zwar gerechnet ([A-20]…[A-23]), aber nicht anfassbar: eine vom Laser-Aufmaß abweichende Lage ließ sich weder ergänzen noch verschieben noch entfernen, und damit auch die daraus folgende Blechmenge nicht korrigieren. Gerechnet wird der Override im Rechenkern und im Python-Orakel an genau der Stelle, die die Punktliste bildet; eine zweite Auswertung in einer Ausgabe wäre der Drift aus [P-6]. Bewusst nicht enthalten: die Darstellung der Punkte in Wandansicht und Zeichnung (Issue #97) – die Griffe des Editiermodus sind eine Bedienhilfe und nur bei aktivem Modus vorhanden – sowie die Berechnung realer Dickenkombinationen aus einem Laser-Aufmaß.</w:t>
      </w:r>
    </w:p>
    <w:p>
      <w:pPr>
        <w:pStyle w:val="ListParagraph"/>
        <w:numPr>
          <w:ilvl w:val="0"/>
          <w:numId w:val="2"/>
        </w:numPr>
        <w:spacing w:after="60"/>
      </w:pPr>
      <w:r>
        <w:rPr>
          <w:b/>
          <w:bCs/>
        </w:rPr>
        <w:t xml:space="preserve">[A-25]</w:t>
      </w:r>
      <w:r>
        <w:t xml:space="preserve"> </w:t>
      </w:r>
      <w:r>
        <w:rPr>
          <w:b/>
          <w:bCs/>
        </w:rPr>
        <w:t xml:space="preserve">Menge je Zwischenspannpunkt: ein Einlegeblech und eine Mutter.</w:t>
      </w:r>
      <w:r>
        <w:t xml:space="preserve"> Aus jedem </w:t>
      </w:r>
      <w:r>
        <w:rPr>
          <w:b/>
          <w:bCs/>
        </w:rPr>
        <w:t xml:space="preserve">wirksamen Zwischenspannpunkt</w:t>
      </w:r>
      <w:r>
        <w:t xml:space="preserve"> einer Wand entstehen in der Baustellenstückliste </w:t>
      </w:r>
      <w:r>
        <w:rPr>
          <w:b/>
          <w:bCs/>
        </w:rPr>
        <w:t xml:space="preserve">zwei eigene Positionen</w:t>
      </w:r>
      <w:r>
        <w:t xml:space="preserve">: genau </w:t>
      </w:r>
      <w:r>
        <w:rPr>
          <w:b/>
          <w:bCs/>
        </w:rPr>
        <w:t xml:space="preserve">ein Einlegeblech</w:t>
      </w:r>
      <w:r>
        <w:t xml:space="preserve"> ([A-14]) und genau </w:t>
      </w:r>
      <w:r>
        <w:rPr>
          <w:b/>
          <w:bCs/>
        </w:rPr>
        <w:t xml:space="preserve">eine Mutter</w:t>
      </w:r>
      <w:r>
        <w:t xml:space="preserve"> ([A-16]) – die Mutter zieht das Blech von oben gegen die Lage, unten sitzt keine. Beide sind </w:t>
      </w:r>
      <w:r>
        <w:rPr>
          <w:b/>
          <w:bCs/>
        </w:rPr>
        <w:t xml:space="preserve">je eigene Verwendungsrolle</w:t>
      </w:r>
      <w:r>
        <w:t xml:space="preserve"> (Einlegeblech in der Kategorie Blech/Platte, Mutter im Verbrauchsmaterial), gewählt in </w:t>
      </w:r>
      <w:r>
        <w:rPr>
          <w:b/>
          <w:bCs/>
        </w:rPr>
        <w:t xml:space="preserve">Modul 1</w:t>
      </w:r>
      <w:r>
        <w:t xml:space="preserve"> (Gruppe Vorspannung); </w:t>
      </w:r>
      <w:r>
        <w:rPr>
          <w:b/>
          <w:bCs/>
        </w:rPr>
        <w:t xml:space="preserve">Bauteil, Maße und Preis kommen ausschließlich aus dem Bauteilkatalog</w:t>
      </w:r>
      <w:r>
        <w:t xml:space="preserve"> – im Handbuch wird dafür </w:t>
      </w:r>
      <w:r>
        <w:rPr>
          <w:b/>
          <w:bCs/>
        </w:rPr>
        <w:t xml:space="preserve">keine Zahl</w:t>
      </w:r>
      <w:r>
        <w:t xml:space="preserve"> festgeschrieben ([Z-1]-Muster), und die vorläufigen Maße sind allein eine gekennzeichnete Katalogannahme. </w:t>
      </w:r>
      <w:r>
        <w:rPr>
          <w:b/>
          <w:bCs/>
        </w:rPr>
        <w:t xml:space="preserve">Abgrenzung zu [A-3]:</w:t>
      </w:r>
      <w:r>
        <w:t xml:space="preserve"> die </w:t>
      </w:r>
      <w:r>
        <w:rPr>
          <w:b/>
          <w:bCs/>
        </w:rPr>
        <w:t xml:space="preserve">Spannplatte</w:t>
      </w:r>
      <w:r>
        <w:t xml:space="preserve"> nach [A-3] ist ein </w:t>
      </w:r>
      <w:r>
        <w:rPr>
          <w:b/>
          <w:bCs/>
        </w:rPr>
        <w:t xml:space="preserve">Zwischenanker am Segmentende</w:t>
      </w:r>
      <w:r>
        <w:t xml:space="preserve"> einer Öffnung und sitzt auf der </w:t>
      </w:r>
      <w:r>
        <w:rPr>
          <w:b/>
          <w:bCs/>
        </w:rPr>
        <w:t xml:space="preserve">Steinkante</w:t>
      </w:r>
      <w:r>
        <w:t xml:space="preserve">; das </w:t>
      </w:r>
      <w:r>
        <w:rPr>
          <w:b/>
          <w:bCs/>
        </w:rPr>
        <w:t xml:space="preserve">Einlegeblech</w:t>
      </w:r>
      <w:r>
        <w:t xml:space="preserve"> sitzt </w:t>
      </w:r>
      <w:r>
        <w:rPr>
          <w:b/>
          <w:bCs/>
        </w:rPr>
        <w:t xml:space="preserve">innerhalb</w:t>
      </w:r>
      <w:r>
        <w:t xml:space="preserve"> des Segments in einer </w:t>
      </w:r>
      <w:r>
        <w:rPr>
          <w:b/>
          <w:bCs/>
        </w:rPr>
        <w:t xml:space="preserve">Vertiefung der Steinlage</w:t>
      </w:r>
      <w:r>
        <w:t xml:space="preserve">, ist nach [A-16] </w:t>
      </w:r>
      <w:r>
        <w:rPr>
          <w:b/>
          <w:bCs/>
        </w:rPr>
        <w:t xml:space="preserve">kein Anker</w:t>
      </w:r>
      <w:r>
        <w:t xml:space="preserve"> und unterbricht das Segment nicht. Die beiden Bauteile werden </w:t>
      </w:r>
      <w:r>
        <w:rPr>
          <w:b/>
          <w:bCs/>
        </w:rPr>
        <w:t xml:space="preserve">nicht</w:t>
      </w:r>
      <w:r>
        <w:t xml:space="preserve"> zusammengelegt und </w:t>
      </w:r>
      <w:r>
        <w:rPr>
          <w:b/>
          <w:bCs/>
        </w:rPr>
        <w:t xml:space="preserve">nicht</w:t>
      </w:r>
      <w:r>
        <w:t xml:space="preserve"> umbenannt, und die Ankerzählung aus [A-2]/[A-3] (spannplatten, spannmuttern) bleibt </w:t>
      </w:r>
      <w:r>
        <w:rPr>
          <w:b/>
          <w:bCs/>
        </w:rPr>
        <w:t xml:space="preserve">unverändert</w:t>
      </w:r>
      <w:r>
        <w:t xml:space="preserve"> – insbesondere entsteht aus einem Zwischenspannpunkt </w:t>
      </w:r>
      <w:r>
        <w:rPr>
          <w:b/>
          <w:bCs/>
        </w:rPr>
        <w:t xml:space="preserve">keine</w:t>
      </w:r>
      <w:r>
        <w:t xml:space="preserve"> zusätzliche Spannplatte und </w:t>
      </w:r>
      <w:r>
        <w:rPr>
          <w:b/>
          <w:bCs/>
        </w:rPr>
        <w:t xml:space="preserve">keine</w:t>
      </w:r>
      <w:r>
        <w:t xml:space="preserve"> zusätzliche Spannmutter. </w:t>
      </w:r>
      <w:r>
        <w:rPr>
          <w:b/>
          <w:bCs/>
        </w:rPr>
        <w:t xml:space="preserve">Maßgebend für die Menge ist allein die vom Rechenkern gerechnete Punktliste</w:t>
      </w:r>
      <w:r>
        <w:t xml:space="preserve"> (wirksameZwischenpunkte nach [A-15]/[A-17]); gezählt wird je </w:t>
      </w:r>
      <w:r>
        <w:rPr>
          <w:b/>
          <w:bCs/>
        </w:rPr>
        <w:t xml:space="preserve">(Spannachse, Höhe)</w:t>
      </w:r>
      <w:r>
        <w:t xml:space="preserve">, also je real eingebautem Blech. Sie wird in der Ausgabeschicht </w:t>
      </w:r>
      <w:r>
        <w:rPr>
          <w:b/>
          <w:bCs/>
        </w:rPr>
        <w:t xml:space="preserve">nie nachgerechnet</w:t>
      </w:r>
      <w:r>
        <w:t xml:space="preserve"> – keine Ersatzrechnung aus Wandhöhe, Lagen- oder Segmentzahl ([P-6]) –, und ein Wandelement </w:t>
      </w:r>
      <w:r>
        <w:rPr>
          <w:b/>
          <w:bCs/>
        </w:rPr>
        <w:t xml:space="preserve">ohne</w:t>
      </w:r>
      <w:r>
        <w:t xml:space="preserve"> Zwischenspannpunkte (Altbestand, ausdrücklich leerer Override nach [A-17], durchweg einlagige Segmente) führt beide Positionen mit der Menge </w:t>
      </w:r>
      <w:r>
        <w:rPr>
          <w:b/>
          <w:bCs/>
        </w:rPr>
        <w:t xml:space="preserve">0</w:t>
      </w:r>
      <w:r>
        <w:t xml:space="preserve"> statt einer geratenen Zahl ([P-9]); die Zeilen bleiben dabei stehen und verschwinden nicht still. Bepreist wird über die </w:t>
      </w:r>
      <w:r>
        <w:rPr>
          <w:b/>
          <w:bCs/>
        </w:rPr>
        <w:t xml:space="preserve">bestehende</w:t>
      </w:r>
      <w:r>
        <w:t xml:space="preserve"> Auflösung nach [P-14]: genau ein gewähltes Produkt ergibt einen Preis, sonst bleibt die Position </w:t>
      </w:r>
      <w:r>
        <w:rPr>
          <w:b/>
          <w:bCs/>
        </w:rPr>
        <w:t xml:space="preserve">ohne Preis mit benanntem Grund</w:t>
      </w:r>
      <w:r>
        <w:t xml:space="preserve"> – nie ein Ersatzprodukt, nie ein Nullpreis. Ein </w:t>
      </w:r>
      <w:r>
        <w:rPr>
          <w:b/>
          <w:bCs/>
        </w:rPr>
        <w:t xml:space="preserve">Maß-Diskriminator</w:t>
      </w:r>
      <w:r>
        <w:t xml:space="preserve"> ist bewusst </w:t>
      </w:r>
      <w:r>
        <w:rPr>
          <w:b/>
          <w:bCs/>
        </w:rPr>
        <w:t xml:space="preserve">nicht</w:t>
      </w:r>
      <w:r>
        <w:t xml:space="preserve"> hinterlegt, weil es keinen maßgebenden </w:t>
      </w:r>
      <w:r>
        <w:rPr>
          <w:b/>
          <w:bCs/>
        </w:rPr>
        <w:t xml:space="preserve">Wand</w:t>
      </w:r>
      <w:r>
        <w:t xml:space="preserve">wert gibt, an dem sich Blech oder Mutter messen ließe (anders als Bodenblech ↔ Modullänge oder Stange ↔ Stangenlänge) – ein Kontextfeld wäre ein erfundener Bezug. Die Positionen stehen an einer </w:t>
      </w:r>
      <w:r>
        <w:rPr>
          <w:b/>
          <w:bCs/>
        </w:rPr>
        <w:t xml:space="preserve">deterministisch benannten Stelle</w:t>
      </w:r>
      <w:r>
        <w:t xml:space="preserve"> der Positionsfolge – unmittelbar hinter der Ankergruppe und </w:t>
      </w:r>
      <w:r>
        <w:rPr>
          <w:b/>
          <w:bCs/>
        </w:rPr>
        <w:t xml:space="preserve">vor</w:t>
      </w:r>
      <w:r>
        <w:t xml:space="preserve"> der Bodenblechgruppe – und verschieben </w:t>
      </w:r>
      <w:r>
        <w:rPr>
          <w:b/>
          <w:bCs/>
        </w:rPr>
        <w:t xml:space="preserve">keine</w:t>
      </w:r>
      <w:r>
        <w:t xml:space="preserve"> bestehende Position aus ihrer relativen Ordnung; insbesondere bleiben die Nachbarschaft Bodenblech → Ausgleichsblech → Kopfblech ([A-18]) und die Lage der Dichtstreifen am Listenende ([A-6]) unberührt. Ausdrücklich </w:t>
      </w:r>
      <w:r>
        <w:rPr>
          <w:b/>
          <w:bCs/>
        </w:rPr>
        <w:t xml:space="preserve">kein</w:t>
      </w:r>
      <w:r>
        <w:t xml:space="preserve"> statischer Nachweis: der Zwischenspannpunkt bleibt eine Planungs- und Montageangabe ([A-14]). Priorität: </w:t>
      </w:r>
      <w:r>
        <w:rPr>
          <w:b/>
          <w:bCs/>
        </w:rPr>
        <w:t xml:space="preserve">Ausweisungsregel</w:t>
      </w:r>
      <w:r>
        <w:t xml:space="preserve"> – sie ändert </w:t>
      </w:r>
      <w:r>
        <w:rPr>
          <w:b/>
          <w:bCs/>
        </w:rPr>
        <w:t xml:space="preserve">keine</w:t>
      </w:r>
      <w:r>
        <w:t xml:space="preserve"> Geometrie, </w:t>
      </w:r>
      <w:r>
        <w:rPr>
          <w:b/>
          <w:bCs/>
        </w:rPr>
        <w:t xml:space="preserve">keine</w:t>
      </w:r>
      <w:r>
        <w:t xml:space="preserve"> Vorspannrechnung, </w:t>
      </w:r>
      <w:r>
        <w:rPr>
          <w:b/>
          <w:bCs/>
        </w:rPr>
        <w:t xml:space="preserve">keine</w:t>
      </w:r>
      <w:r>
        <w:t xml:space="preserve"> Spannachsenverteilung ([V-2]…[V-11]) und </w:t>
      </w:r>
      <w:r>
        <w:rPr>
          <w:b/>
          <w:bCs/>
        </w:rPr>
        <w:t xml:space="preserve">keinen</w:t>
      </w:r>
      <w:r>
        <w:t xml:space="preserve"> Nachweis, und sie ist jeder Muss-Regel nachgeordnet.</w:t>
      </w:r>
    </w:p>
    <w:p>
      <w:pPr>
        <w:pBdr>
          <w:left w:val="single" w:color="E0B400" w:sz="18" w:space="6"/>
        </w:pBdr>
        <w:shd w:fill="FFF8E6" w:val="clear"/>
        <w:spacing w:after="120" w:before="80"/>
      </w:pPr>
      <w:r>
        <w:t xml:space="preserve">Herkunft [A-25]: Issue #93 mit dem dort als Folgepaket vermerkten Schritt und der Entscheidung vom 2026-09-07 zu den vorläufigen Blechmaßen (110 × 30 mm, 2 mm stark), gemeldet als Fehlbefund in Issue #109 – die Bleche waren in Modul 1 korrekt eingefügt und dargestellt, fehlten in der Stückliste aber vollständig. Zuvor war mit [A-14]…[A-17] nur der Punkt selbst festgelegt, nicht sein Material: das Bauteil war planbar und sichtbar, aber nicht bestellbar, und aus dem Punkt ließ sich keine Menge gewinnen. Gerechnet wird die Menge an genau einer Stelle – der Mengenbaustein liest die Punktliste des Rechenkerns; eine zweite Auswertung in einer Ausgabe wäre der Drift aus [P-6]. Bewusst nicht enthalten: die </w:t>
      </w:r>
      <w:r>
        <w:rPr>
          <w:b/>
          <w:bCs/>
        </w:rPr>
        <w:t xml:space="preserve">Darstellung</w:t>
      </w:r>
      <w:r>
        <w:t xml:space="preserve"> von Einlegeblech und Mutter in technischer Zeichnung, Lageplan und Montageanleitung (Issue #97), eine </w:t>
      </w:r>
      <w:r>
        <w:rPr>
          <w:b/>
          <w:bCs/>
        </w:rPr>
        <w:t xml:space="preserve">statische Betrachtung</w:t>
      </w:r>
      <w:r>
        <w:t xml:space="preserve"> des Zwischenspannpunkts und jede Ableitung aus den vorläufigen Blechmaßen. Der Austausch der Maße nach Karls Freigabe bleibt ein reiner Katalog-Edit: sie sind weder im Rechenkern noch im Orakel noch in der Zeichnung hartcodiert.</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in </w:t>
      </w:r>
      <w:r>
        <w:rPr>
          <w:b/>
          <w:bCs/>
        </w:rPr>
        <w:t xml:space="preserve">Modul 1</w:t>
      </w:r>
      <w:r>
        <w:t xml:space="preserve"> und – seit Issue #111 – für mehrere ausgewählte Wände gemeinsam im </w:t>
      </w:r>
      <w:r>
        <w:rPr>
          <w:b/>
          <w:bCs/>
        </w:rPr>
        <w:t xml:space="preserve">Sammel-Editor des Geschosseditors</w:t>
      </w:r>
      <w:r>
        <w:t xml:space="preserve">. Das sind zwei </w:t>
      </w:r>
      <w:r>
        <w:rPr>
          <w:b/>
          <w:bCs/>
        </w:rPr>
        <w:t xml:space="preserve">Bedienorte</w:t>
      </w:r>
      <w:r>
        <w:t xml:space="preserve">, aber </w:t>
      </w:r>
      <w:r>
        <w:rPr>
          <w:b/>
          <w:bCs/>
        </w:rPr>
        <w:t xml:space="preserve">eine</w:t>
      </w:r>
      <w:r>
        <w:t xml:space="preserve"> Quelle und </w:t>
      </w:r>
      <w:r>
        <w:rPr>
          <w:b/>
          <w:bCs/>
        </w:rPr>
        <w:t xml:space="preserve">ein</w:t>
      </w:r>
      <w:r>
        <w:t xml:space="preserve"> Schreibweg (</w:t>
      </w:r>
      <w:r>
        <w:rPr>
          <w:b/>
          <w:bCs/>
        </w:rPr>
        <w:t xml:space="preserve">[P-1]</w:t>
      </w:r>
      <w:r>
        <w:t xml:space="preserve">): beide setzen denselben Wert am selben Wandelement, und zwar über denselben kanonischen Neuberechnungspfad. Wo der Geschosseditor sie nicht ausdrücklich setzt, </w:t>
      </w:r>
      <w:r>
        <w:rPr>
          <w:b/>
          <w:bCs/>
        </w:rPr>
        <w:t xml:space="preserve">führt er sie beim Neuaufbau unverändert mit</w:t>
      </w:r>
      <w:r>
        <w:t xml:space="preserve">.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Ob der Kommentar zusätzlich in den </w:t>
      </w:r>
      <w:r>
        <w:rPr>
          <w:b/>
          <w:bCs/>
        </w:rPr>
        <w:t xml:space="preserve">Exportdateien</w:t>
      </w:r>
      <w:r>
        <w:t xml:space="preserve"> erscheint, ist </w:t>
      </w:r>
      <w:r>
        <w:rPr>
          <w:b/>
          <w:bCs/>
        </w:rPr>
        <w:t xml:space="preserve">nicht entschieden</w:t>
      </w:r>
      <w:r>
        <w:t xml:space="preserve"> und wird deshalb </w:t>
      </w:r>
      <w:r>
        <w:rPr>
          <w:b/>
          <w:bCs/>
        </w:rPr>
        <w:t xml:space="preserve">nicht behauptet</w:t>
      </w:r>
      <w:r>
        <w:t xml:space="preserve">: er steht dort derzeit nicht.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Ob der Kommentar zusätzlich in die </w:t>
      </w:r>
      <w:r>
        <w:rPr>
          <w:b/>
          <w:bCs/>
        </w:rPr>
        <w:t xml:space="preserve">Exportdateien</w:t>
      </w:r>
      <w:r>
        <w:t xml:space="preserve"> gehört, ist </w:t>
      </w:r>
      <w:r>
        <w:rPr>
          <w:b/>
          <w:bCs/>
        </w:rPr>
        <w:t xml:space="preserve">nicht entschieden</w:t>
      </w:r>
      <w:r>
        <w:t xml:space="preserve"> und bleibt offen;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w:t>
      </w:r>
    </w:p>
    <w:p>
      <w:pPr>
        <w:pBdr>
          <w:left w:val="single" w:color="E0B400" w:sz="18" w:space="6"/>
        </w:pBdr>
        <w:shd w:fill="FFF8E6" w:val="clear"/>
        <w:spacing w:after="120" w:before="80"/>
      </w:pPr>
      <w:r>
        <w:t xml:space="preserve">Bearbeitung: Unterlegscheibe am Wandabschluss ENTFALLEN (Fachauskunft 2026-09-08, hebt Issue #92 in diesem Punkt auf). Am normalen oberen Wandabschluss gibt es am Spannglied </w:t>
      </w:r>
      <w:r>
        <w:rPr>
          <w:b/>
          <w:bCs/>
        </w:rPr>
        <w:t xml:space="preserve">keine</w:t>
      </w:r>
      <w:r>
        <w:t xml:space="preserve"> Unterlegscheibe – die </w:t>
      </w:r>
      <w:r>
        <w:rPr>
          <w:b/>
          <w:bCs/>
        </w:rPr>
        <w:t xml:space="preserve">Spannmutter sitzt unmittelbar auf der Spannplatte</w:t>
      </w:r>
      <w:r>
        <w:t xml:space="preserve">. Unterlegscheiben treten </w:t>
      </w:r>
      <w:r>
        <w:rPr>
          <w:b/>
          <w:bCs/>
        </w:rPr>
        <w:t xml:space="preserve">allein am Deckenanschluss</w:t>
      </w:r>
      <w:r>
        <w:t xml:space="preserve"> auf und kommen mit </w:t>
      </w:r>
      <w:r>
        <w:rPr>
          <w:b/>
          <w:bCs/>
        </w:rPr>
        <w:t xml:space="preserve">dessen Baugruppe</w:t>
      </w:r>
      <w:r>
        <w:t xml:space="preserve"> (</w:t>
      </w:r>
      <w:r>
        <w:rPr>
          <w:b/>
          <w:bCs/>
        </w:rPr>
        <w:t xml:space="preserve">[P-21]</w:t>
      </w:r>
      <w:r>
        <w:t xml:space="preserve">, </w:t>
      </w:r>
      <w:r>
        <w:rPr>
          <w:b/>
          <w:bCs/>
        </w:rPr>
        <w:t xml:space="preserve">[P-24]</w:t>
      </w:r>
      <w:r>
        <w:t xml:space="preserve">), nicht als eigene Position am Wandabschluss; dort sind es nach der verbindlichen Bauteilliste vom 2026-09-08 </w:t>
      </w:r>
      <w:r>
        <w:rPr>
          <w:b/>
          <w:bCs/>
        </w:rPr>
        <w:t xml:space="preserve">zwei Ausführungen mit je zwei Stück</w:t>
      </w:r>
      <w:r>
        <w:t xml:space="preserve"> — die Scheibe M10 am Winkelstoß und die Scheibe 6,4 mm an der Bohrschraube –, und sie bleiben </w:t>
      </w:r>
      <w:r>
        <w:rPr>
          <w:b/>
          <w:bCs/>
        </w:rPr>
        <w:t xml:space="preserve">getrennte Verwendungsstellen</w:t>
      </w:r>
      <w:r>
        <w:t xml:space="preserve">. Entfallen sind deshalb: die </w:t>
      </w:r>
      <w:r>
        <w:rPr>
          <w:b/>
          <w:bCs/>
        </w:rPr>
        <w:t xml:space="preserve">Stücklistenposition</w:t>
      </w:r>
      <w:r>
        <w:t xml:space="preserve"> „Unterlegscheibe (Wandabschluss)“ (Menge je Spannplatte), die </w:t>
      </w:r>
      <w:r>
        <w:rPr>
          <w:b/>
          <w:bCs/>
        </w:rPr>
        <w:t xml:space="preserve">Verwendungsrolle</w:t>
      </w:r>
      <w:r>
        <w:t xml:space="preserve"> unterlegscheibe im Bauteilkatalog, das damit vorbelegte Standardprodukt und die </w:t>
      </w:r>
      <w:r>
        <w:rPr>
          <w:b/>
          <w:bCs/>
        </w:rPr>
        <w:t xml:space="preserve">Position in der Baugruppe</w:t>
      </w:r>
      <w:r>
        <w:t xml:space="preserve"> „Wandabschluss“. Die Position ist </w:t>
      </w:r>
      <w:r>
        <w:rPr>
          <w:b/>
          <w:bCs/>
        </w:rPr>
        <w:t xml:space="preserve">ersatzlos</w:t>
      </w:r>
      <w:r>
        <w:t xml:space="preserve"> entfallen und </w:t>
      </w:r>
      <w:r>
        <w:rPr>
          <w:b/>
          <w:bCs/>
        </w:rPr>
        <w:t xml:space="preserve">nicht</w:t>
      </w:r>
      <w:r>
        <w:t xml:space="preserve"> auf Menge 0 gesetzt: eine Zeile mit 0 behauptet weiter eine Einbaustelle und wäre nach </w:t>
      </w:r>
      <w:r>
        <w:rPr>
          <w:b/>
          <w:bCs/>
        </w:rPr>
        <w:t xml:space="preserve">[P-14]</w:t>
      </w:r>
      <w:r>
        <w:t xml:space="preserve"> eine bepreisbare Position ohne Bauteil. #92 hatte die Scheibe ausdrücklich als </w:t>
      </w:r>
      <w:r>
        <w:rPr>
          <w:b/>
          <w:bCs/>
        </w:rPr>
        <w:t xml:space="preserve">vorläufig und fachlich unbestätigt</w:t>
      </w:r>
      <w:r>
        <w:t xml:space="preserve"> eingeführt – sowohl der Katalogeintrag als auch das Standardprodukt trugen diesen Vermerk, und der Preis war ein angenommener Beispielwert. Die Auskunft löst diesen offenen Punkt auf. Mengen, Geometrie, Nachweise und die Zahl der Spannmuttern bleiben </w:t>
      </w:r>
      <w:r>
        <w:rPr>
          <w:b/>
          <w:bCs/>
        </w:rPr>
        <w:t xml:space="preserve">unberührt</w:t>
      </w:r>
      <w:r>
        <w:t xml:space="preserve">; die Spannmutter je Spannplatte war und bleibt </w:t>
      </w:r>
      <w:r>
        <w:rPr>
          <w:b/>
          <w:bCs/>
        </w:rPr>
        <w:t xml:space="preserve">eine</w:t>
      </w:r>
      <w:r>
        <w:t xml:space="preserve"> ([A-3]). Ein Altprojekt mit gewählter Scheibe verliert die Auswahl </w:t>
      </w:r>
      <w:r>
        <w:rPr>
          <w:b/>
          <w:bCs/>
        </w:rPr>
        <w:t xml:space="preserve">stillschweigend</w:t>
      </w:r>
      <w:r>
        <w:t xml:space="preserve"> – die Rolle existiert nicht mehr, und eine nicht mehr geführte Rolle wird nicht als Lücke gemeldet.</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ListParagraph"/>
        <w:numPr>
          <w:ilvl w:val="0"/>
          <w:numId w:val="2"/>
        </w:numPr>
        <w:spacing w:after="60"/>
      </w:pPr>
      <w:r>
        <w:rPr>
          <w:b/>
          <w:bCs/>
        </w:rPr>
        <w:t xml:space="preserve">[P-24 · MUSS]</w:t>
      </w:r>
      <w:r>
        <w:t xml:space="preserve"> </w:t>
      </w:r>
      <w:r>
        <w:rPr>
          <w:b/>
          <w:bCs/>
        </w:rPr>
        <w:t xml:space="preserve">Baugruppe „Deckenanschluss“ und Ausschließlichkeit der oberen Ausführung.</w:t>
      </w:r>
      <w:r>
        <w:t xml:space="preserve"> An einer </w:t>
      </w:r>
      <w:r>
        <w:rPr>
          <w:b/>
          <w:bCs/>
        </w:rPr>
        <w:t xml:space="preserve">oberen Spannachse</w:t>
      </w:r>
      <w:r>
        <w:t xml:space="preserve"> gibt es </w:t>
      </w:r>
      <w:r>
        <w:rPr>
          <w:b/>
          <w:bCs/>
        </w:rPr>
        <w:t xml:space="preserve">genau eine von zwei Ausführungen</w:t>
      </w:r>
      <w:r>
        <w:t xml:space="preserve">: entweder den </w:t>
      </w:r>
      <w:r>
        <w:rPr>
          <w:b/>
          <w:bCs/>
        </w:rPr>
        <w:t xml:space="preserve">Wandabschluss</w:t>
      </w:r>
      <w:r>
        <w:t xml:space="preserve"> oder den </w:t>
      </w:r>
      <w:r>
        <w:rPr>
          <w:b/>
          <w:bCs/>
        </w:rPr>
        <w:t xml:space="preserve">Deckenanschluss</w:t>
      </w:r>
      <w:r>
        <w:t xml:space="preserve">. Beide werden an derselben Achse </w:t>
      </w:r>
      <w:r>
        <w:rPr>
          <w:b/>
          <w:bCs/>
        </w:rPr>
        <w:t xml:space="preserve">niemals gleichzeitig</w:t>
      </w:r>
      <w:r>
        <w:t xml:space="preserve"> angesetzt und </w:t>
      </w:r>
      <w:r>
        <w:rPr>
          <w:b/>
          <w:bCs/>
        </w:rPr>
        <w:t xml:space="preserve">niemals gleichzeitig gezählt</w:t>
      </w:r>
      <w:r>
        <w:t xml:space="preserve">; der Deckenanschluss ist </w:t>
      </w:r>
      <w:r>
        <w:rPr>
          <w:b/>
          <w:bCs/>
        </w:rPr>
        <w:t xml:space="preserve">kein Zusatz</w:t>
      </w:r>
      <w:r>
        <w:t xml:space="preserve"> zum Wandabschluss, sondern </w:t>
      </w:r>
      <w:r>
        <w:rPr>
          <w:b/>
          <w:bCs/>
        </w:rPr>
        <w:t xml:space="preserve">tritt an seine Stelle</w:t>
      </w:r>
      <w:r>
        <w:t xml:space="preserve">. – </w:t>
      </w:r>
      <w:r>
        <w:rPr>
          <w:b/>
          <w:bCs/>
        </w:rPr>
        <w:t xml:space="preserve">Der Deckenanschluss führt dieselben oberen Teile wie der Wandabschluss</w:t>
      </w:r>
      <w:r>
        <w:t xml:space="preserve"> – </w:t>
      </w:r>
      <w:r>
        <w:rPr>
          <w:b/>
          <w:bCs/>
        </w:rPr>
        <w:t xml:space="preserve">eine</w:t>
      </w:r>
      <w:r>
        <w:t xml:space="preserve"> Spannplatte und </w:t>
      </w:r>
      <w:r>
        <w:rPr>
          <w:b/>
          <w:bCs/>
        </w:rPr>
        <w:t xml:space="preserve">eine</w:t>
      </w:r>
      <w:r>
        <w:t xml:space="preserve"> Spannmutter – und </w:t>
      </w:r>
      <w:r>
        <w:rPr>
          <w:b/>
          <w:bCs/>
        </w:rPr>
        <w:t xml:space="preserve">darüber hinaus</w:t>
      </w:r>
      <w:r>
        <w:t xml:space="preserve"> die Teile der Winkelbaugruppe. Dieselbe Verwendungsstelle in beiden Baugruppen zu nennen, ist die ausdrücklich zulässige </w:t>
      </w:r>
      <w:r>
        <w:rPr>
          <w:b/>
          <w:bCs/>
        </w:rPr>
        <w:t xml:space="preserve">Mehrfachverwendung</w:t>
      </w:r>
      <w:r>
        <w:t xml:space="preserve"> nach </w:t>
      </w:r>
      <w:r>
        <w:rPr>
          <w:b/>
          <w:bCs/>
        </w:rPr>
        <w:t xml:space="preserve">[P-21]</w:t>
      </w:r>
      <w:r>
        <w:t xml:space="preserve"> und </w:t>
      </w:r>
      <w:r>
        <w:rPr>
          <w:b/>
          <w:bCs/>
        </w:rPr>
        <w:t xml:space="preserve">keine</w:t>
      </w:r>
      <w:r>
        <w:t xml:space="preserve"> Doppelzählung: gezählt wird je Achse </w:t>
      </w:r>
      <w:r>
        <w:rPr>
          <w:b/>
          <w:bCs/>
        </w:rPr>
        <w:t xml:space="preserve">eine</w:t>
      </w:r>
      <w:r>
        <w:t xml:space="preserve"> Baugruppe. – </w:t>
      </w:r>
      <w:r>
        <w:rPr>
          <w:b/>
          <w:bCs/>
        </w:rPr>
        <w:t xml:space="preserve">Die Bauteilliste ist eine Fachvorgabe und wird nie abgeleitet:</w:t>
      </w:r>
      <w:r>
        <w:t xml:space="preserve"> verbindlich festgelegt am </w:t>
      </w:r>
      <w:r>
        <w:rPr>
          <w:b/>
          <w:bCs/>
        </w:rPr>
        <w:t xml:space="preserve">2026-09-08</w:t>
      </w:r>
      <w:r>
        <w:t xml:space="preserve"> sind je Anschlusspunkt </w:t>
      </w:r>
      <w:r>
        <w:rPr>
          <w:b/>
          <w:bCs/>
        </w:rPr>
        <w:t xml:space="preserve">ein</w:t>
      </w:r>
      <w:r>
        <w:t xml:space="preserve"> Winkel Wand, </w:t>
      </w:r>
      <w:r>
        <w:rPr>
          <w:b/>
          <w:bCs/>
        </w:rPr>
        <w:t xml:space="preserve">ein</w:t>
      </w:r>
      <w:r>
        <w:t xml:space="preserve"> Winkel Decke, </w:t>
      </w:r>
      <w:r>
        <w:rPr>
          <w:b/>
          <w:bCs/>
        </w:rPr>
        <w:t xml:space="preserve">zwei</w:t>
      </w:r>
      <w:r>
        <w:t xml:space="preserve"> Sechskantschrauben M10, </w:t>
      </w:r>
      <w:r>
        <w:rPr>
          <w:b/>
          <w:bCs/>
        </w:rPr>
        <w:t xml:space="preserve">zwei</w:t>
      </w:r>
      <w:r>
        <w:t xml:space="preserve"> Unterlegscheiben M10, </w:t>
      </w:r>
      <w:r>
        <w:rPr>
          <w:b/>
          <w:bCs/>
        </w:rPr>
        <w:t xml:space="preserve">zwei</w:t>
      </w:r>
      <w:r>
        <w:t xml:space="preserve"> Hohldeckenanker, </w:t>
      </w:r>
      <w:r>
        <w:rPr>
          <w:b/>
          <w:bCs/>
        </w:rPr>
        <w:t xml:space="preserve">zwei</w:t>
      </w:r>
      <w:r>
        <w:t xml:space="preserve"> Bohrschrauben und </w:t>
      </w:r>
      <w:r>
        <w:rPr>
          <w:b/>
          <w:bCs/>
        </w:rPr>
        <w:t xml:space="preserve">zwei</w:t>
      </w:r>
      <w:r>
        <w:t xml:space="preserve"> Unterlegscheiben zur Bohrschraube. Ein weiteres Teil wird </w:t>
      </w:r>
      <w:r>
        <w:rPr>
          <w:b/>
          <w:bCs/>
        </w:rPr>
        <w:t xml:space="preserve">nicht ergänzt</w:t>
      </w:r>
      <w:r>
        <w:t xml:space="preserve"> und keines aus Erfahrung, Bauteilähnlichkeit oder Vollständigkeitsgefühl </w:t>
      </w:r>
      <w:r>
        <w:rPr>
          <w:b/>
          <w:bCs/>
        </w:rPr>
        <w:t xml:space="preserve">hinzugefügt</w:t>
      </w:r>
      <w:r>
        <w:t xml:space="preserve"> (</w:t>
      </w:r>
      <w:r>
        <w:rPr>
          <w:b/>
          <w:bCs/>
        </w:rPr>
        <w:t xml:space="preserve">[P-9]</w:t>
      </w:r>
      <w:r>
        <w:t xml:space="preserve">). – </w:t>
      </w:r>
      <w:r>
        <w:rPr>
          <w:b/>
          <w:bCs/>
        </w:rPr>
        <w:t xml:space="preserve">Jede dieser Verwendungsstellen ist eine eigene Verwendungsrolle</w:t>
      </w:r>
      <w:r>
        <w:t xml:space="preserve">, weil der Rollenschlüssel zugleich der </w:t>
      </w:r>
      <w:r>
        <w:rPr>
          <w:b/>
          <w:bCs/>
        </w:rPr>
        <w:t xml:space="preserve">Stücklistenschlüssel</w:t>
      </w:r>
      <w:r>
        <w:t xml:space="preserve"> ist: die beiden Scheiben sitzen an </w:t>
      </w:r>
      <w:r>
        <w:rPr>
          <w:b/>
          <w:bCs/>
        </w:rPr>
        <w:t xml:space="preserve">zwei verschiedenen Stellen</w:t>
      </w:r>
      <w:r>
        <w:t xml:space="preserve"> und bleiben </w:t>
      </w:r>
      <w:r>
        <w:rPr>
          <w:b/>
          <w:bCs/>
        </w:rPr>
        <w:t xml:space="preserve">zwei Positionen</w:t>
      </w:r>
      <w:r>
        <w:t xml:space="preserve">; die Sechskantschraube des Winkelstoßes ist </w:t>
      </w:r>
      <w:r>
        <w:rPr>
          <w:b/>
          <w:bCs/>
        </w:rPr>
        <w:t xml:space="preserve">nicht</w:t>
      </w:r>
      <w:r>
        <w:t xml:space="preserve"> die Sechskantschraube am Fuß. Zusammengelegt wird </w:t>
      </w:r>
      <w:r>
        <w:rPr>
          <w:b/>
          <w:bCs/>
        </w:rPr>
        <w:t xml:space="preserve">nichts</w:t>
      </w:r>
      <w:r>
        <w:t xml:space="preserve">, auch nicht bei gleichem Handelsnamen. – </w:t>
      </w:r>
      <w:r>
        <w:rPr>
          <w:b/>
          <w:bCs/>
        </w:rPr>
        <w:t xml:space="preserve">Maße und Preise stehen ausschließlich im Katalog.</w:t>
      </w:r>
      <w:r>
        <w:t xml:space="preserve"> Wo eine Fachvorgabe nur </w:t>
      </w:r>
      <w:r>
        <w:rPr>
          <w:b/>
          <w:bCs/>
        </w:rPr>
        <w:t xml:space="preserve">Werkstoff und Bezeichnung</w:t>
      </w:r>
      <w:r>
        <w:t xml:space="preserve"> nennt, bleibt das Maß </w:t>
      </w:r>
      <w:r>
        <w:rPr>
          <w:b/>
          <w:bCs/>
        </w:rPr>
        <w:t xml:space="preserve">offen</w:t>
      </w:r>
      <w:r>
        <w:t xml:space="preserve">: das Produkt der Vorlage trägt es als </w:t>
      </w:r>
      <w:r>
        <w:rPr>
          <w:b/>
          <w:bCs/>
        </w:rPr>
        <w:t xml:space="preserve">ausdrücklich vorläufigen Platzhalter</w:t>
      </w:r>
      <w:r>
        <w:t xml:space="preserve">, aus dem </w:t>
      </w:r>
      <w:r>
        <w:rPr>
          <w:b/>
          <w:bCs/>
        </w:rPr>
        <w:t xml:space="preserve">keine</w:t>
      </w:r>
      <w:r>
        <w:t xml:space="preserve"> Geometrie, </w:t>
      </w:r>
      <w:r>
        <w:rPr>
          <w:b/>
          <w:bCs/>
        </w:rPr>
        <w:t xml:space="preserve">keine</w:t>
      </w:r>
      <w:r>
        <w:t xml:space="preserve"> Zeichnung und </w:t>
      </w:r>
      <w:r>
        <w:rPr>
          <w:b/>
          <w:bCs/>
        </w:rPr>
        <w:t xml:space="preserve">kein</w:t>
      </w:r>
      <w:r>
        <w:t xml:space="preserve"> Nachweis abgeleitet wird. Ein </w:t>
      </w:r>
      <w:r>
        <w:rPr>
          <w:b/>
          <w:bCs/>
        </w:rPr>
        <w:t xml:space="preserve">Verankerungs- oder Winkelnachweis</w:t>
      </w:r>
      <w:r>
        <w:t xml:space="preserve"> ist ausdrücklich </w:t>
      </w:r>
      <w:r>
        <w:rPr>
          <w:b/>
          <w:bCs/>
        </w:rPr>
        <w:t xml:space="preserve">nicht</w:t>
      </w:r>
      <w:r>
        <w:t xml:space="preserve"> Gegenstand (die statische Kraftübergabe an den Stahlbau in Modul 3 bleibt davon </w:t>
      </w:r>
      <w:r>
        <w:rPr>
          <w:b/>
          <w:bCs/>
        </w:rPr>
        <w:t xml:space="preserve">unberührt</w:t>
      </w:r>
      <w:r>
        <w:t xml:space="preserve"> bestehen). – </w:t>
      </w:r>
      <w:r>
        <w:rPr>
          <w:b/>
          <w:bCs/>
        </w:rPr>
        <w:t xml:space="preserve">Die Zahl der Anschlusspunkte kommt allein aus dem Rechenkern</w:t>
      </w:r>
      <w:r>
        <w:t xml:space="preserve"> (</w:t>
      </w:r>
      <w:r>
        <w:rPr>
          <w:b/>
          <w:bCs/>
        </w:rPr>
        <w:t xml:space="preserve">[P-23]</w:t>
      </w:r>
      <w:r>
        <w:t xml:space="preserve">); der Katalog sagt ausschließlich, </w:t>
      </w:r>
      <w:r>
        <w:rPr>
          <w:b/>
          <w:bCs/>
        </w:rPr>
        <w:t xml:space="preserve">woraus</w:t>
      </w:r>
      <w:r>
        <w:t xml:space="preserve"> die Baugruppe besteht. Solange der Rechenkern diese Einbaustelle </w:t>
      </w:r>
      <w:r>
        <w:rPr>
          <w:b/>
          <w:bCs/>
        </w:rPr>
        <w:t xml:space="preserve">nicht</w:t>
      </w:r>
      <w:r>
        <w:t xml:space="preserve"> führt, bleibt die Baugruppe </w:t>
      </w:r>
      <w:r>
        <w:rPr>
          <w:b/>
          <w:bCs/>
        </w:rPr>
        <w:t xml:space="preserve">unaufgelöst</w:t>
      </w:r>
      <w:r>
        <w:t xml:space="preserve"> und wird </w:t>
      </w:r>
      <w:r>
        <w:rPr>
          <w:b/>
          <w:bCs/>
        </w:rPr>
        <w:t xml:space="preserve">benannt gemeldet</w:t>
      </w:r>
      <w:r>
        <w:t xml:space="preserve"> – eine Anzahl wird </w:t>
      </w:r>
      <w:r>
        <w:rPr>
          <w:b/>
          <w:bCs/>
        </w:rPr>
        <w:t xml:space="preserve">nicht geraten</w:t>
      </w:r>
      <w:r>
        <w:t xml:space="preserve">, und die ausgewiesenen Mengen bleiben unverändert die gerechneten. Priorität: Definitions- und Mengenregel (Hierarchiestufe 3) – sie ändert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[P-24]: Issue #95 mit der fachlichen Präzisierung vom 2026-09-08 und der verbindlichen Bauteilliste desselben Tages; Baugruppen-Rahmen aus #94. Der Deckenanschluss war bis dahin </w:t>
      </w:r>
      <w:r>
        <w:rPr>
          <w:b/>
          <w:bCs/>
        </w:rPr>
        <w:t xml:space="preserve">nur</w:t>
      </w:r>
      <w:r>
        <w:t xml:space="preserve"> eine statische Anschlusskraft in Modul 3 – ohne Bauteile, ohne Baugruppe und ohne Verwendungsstellen im Katalog; die Baugruppe des oberen Abschlusses kannte allein den Wandabschluss, sodass eine Achse mit Deckenanschluss gar nicht sagbar war. Offen war genau das, was diese Regel entscheidet: dass die beiden Ausführungen </w:t>
      </w:r>
      <w:r>
        <w:rPr>
          <w:b/>
          <w:bCs/>
        </w:rPr>
        <w:t xml:space="preserve">einander ausschließen</w:t>
      </w:r>
      <w:r>
        <w:t xml:space="preserve">, welche Teile die Baugruppe </w:t>
      </w:r>
      <w:r>
        <w:rPr>
          <w:b/>
          <w:bCs/>
        </w:rPr>
        <w:t xml:space="preserve">verbindlich</w:t>
      </w:r>
      <w:r>
        <w:t xml:space="preserve"> enthält und dass jede Verwendungsstelle </w:t>
      </w:r>
      <w:r>
        <w:rPr>
          <w:b/>
          <w:bCs/>
        </w:rPr>
        <w:t xml:space="preserve">ihre eigene</w:t>
      </w:r>
      <w:r>
        <w:t xml:space="preserve"> Position behält. Bewusst </w:t>
      </w:r>
      <w:r>
        <w:rPr>
          <w:b/>
          <w:bCs/>
        </w:rPr>
        <w:t xml:space="preserve">nicht</w:t>
      </w:r>
      <w:r>
        <w:t xml:space="preserve"> Gegenstand dieser Regel: die </w:t>
      </w:r>
      <w:r>
        <w:rPr>
          <w:b/>
          <w:bCs/>
        </w:rPr>
        <w:t xml:space="preserve">Verteilung</w:t>
      </w:r>
      <w:r>
        <w:t xml:space="preserve"> der Anschlusspunkte auf die Spannachsen und ihre Bearbeitbarkeit (folgt aus #95 als eigene Regel) sowie die </w:t>
      </w:r>
      <w:r>
        <w:rPr>
          <w:b/>
          <w:bCs/>
        </w:rPr>
        <w:t xml:space="preserve">Darstellung</w:t>
      </w:r>
      <w:r>
        <w:t xml:space="preserve"> des Symbols (</w:t>
      </w:r>
      <w:r>
        <w:rPr>
          <w:b/>
          <w:bCs/>
        </w:rPr>
        <w:t xml:space="preserve">[D-4]</w:t>
      </w:r>
      <w:r>
        <w:t xml:space="preserve">, #97). Die </w:t>
      </w:r>
      <w:r>
        <w:rPr>
          <w:b/>
          <w:bCs/>
        </w:rPr>
        <w:t xml:space="preserve">Maße</w:t>
      </w:r>
      <w:r>
        <w:t xml:space="preserve"> der beiden Winkel liegen noch nicht vor und stehen als ausdrücklich vorläufige Platzhalter im Vorlagenkatalog.</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Zwei Regeln dieses Kapitels reichen bewusst über Modul 7 hinaus: der Darstellungsschlüssel des Zuschnitts **[D-4]** gilt gemeinsam für die Wandansicht in Modul 1, die Baugruppenbilder in Modul 5 und das Zeichnungsblatt in Modul 7, und die Symbolmaße nach **[D-9]** gelten für jede Ausgabe, die ein Bauteil als Symbol zeigt.</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Style w:val="ListParagraph"/>
        <w:numPr>
          <w:ilvl w:val="0"/>
          <w:numId w:val="2"/>
        </w:numPr>
        <w:spacing w:after="60"/>
      </w:pPr>
      <w:r>
        <w:rPr>
          <w:b/>
          <w:bCs/>
        </w:rPr>
        <w:t xml:space="preserve">[D-9 · MUSS]</w:t>
      </w:r>
      <w:r>
        <w:t xml:space="preserve"> </w:t>
      </w:r>
      <w:r>
        <w:rPr>
          <w:b/>
          <w:bCs/>
        </w:rPr>
        <w:t xml:space="preserve">Symbolmaße sind feste Darstellungsmaße, keine Bauteilmaße.</w:t>
      </w:r>
      <w:r>
        <w:t xml:space="preserve"> Bauteile, die in einer Ansicht als </w:t>
      </w:r>
      <w:r>
        <w:rPr>
          <w:b/>
          <w:bCs/>
        </w:rPr>
        <w:t xml:space="preserve">Symbol</w:t>
      </w:r>
      <w:r>
        <w:t xml:space="preserve"> erscheinen – Mutter, Kopplungsmutter, Sechskantschraube und die Dicke der Spannplatte –, werden in </w:t>
      </w:r>
      <w:r>
        <w:rPr>
          <w:b/>
          <w:bCs/>
        </w:rPr>
        <w:t xml:space="preserve">jeder</w:t>
      </w:r>
      <w:r>
        <w:t xml:space="preserve"> Ausgabe in </w:t>
      </w:r>
      <w:r>
        <w:rPr>
          <w:b/>
          <w:bCs/>
        </w:rPr>
        <w:t xml:space="preserve">festen Maßen</w:t>
      </w:r>
      <w:r>
        <w:t xml:space="preserve"> gezeichnet, und </w:t>
      </w:r>
      <w:r>
        <w:rPr>
          <w:b/>
          <w:bCs/>
        </w:rPr>
        <w:t xml:space="preserve">jede Ansicht führt einen festen Maßstab</w:t>
      </w:r>
      <w:r>
        <w:t xml:space="preserve">. Beides gehört zusammen: ein festes Zeichenmaß ist genau dann ein </w:t>
      </w:r>
      <w:r>
        <w:rPr>
          <w:b/>
          <w:bCs/>
        </w:rPr>
        <w:t xml:space="preserve">konstantes Verhältnis zum Stein</w:t>
      </w:r>
      <w:r>
        <w:t xml:space="preserve">, wenn der Maßstab der Ansicht nicht von der Wandgröße abhängt. Die </w:t>
      </w:r>
      <w:r>
        <w:rPr>
          <w:b/>
          <w:bCs/>
        </w:rPr>
        <w:t xml:space="preserve">Wandansicht in Modul 1</w:t>
      </w:r>
      <w:r>
        <w:t xml:space="preserve"> zeichnet deshalb mit </w:t>
      </w:r>
      <w:r>
        <w:rPr>
          <w:b/>
          <w:bCs/>
        </w:rPr>
        <w:t xml:space="preserve">fester Lagenhöhe</w:t>
      </w:r>
      <w:r>
        <w:t xml:space="preserve"> – eine Lage ist immer gleich viele Zeicheneinheiten hoch, der Zeichenbereich </w:t>
      </w:r>
      <w:r>
        <w:rPr>
          <w:b/>
          <w:bCs/>
        </w:rPr>
        <w:t xml:space="preserve">wächst mit der Wand</w:t>
      </w:r>
      <w:r>
        <w:t xml:space="preserve"> und wird gescrollt oder ausdrücklich eingepasst; das </w:t>
      </w:r>
      <w:r>
        <w:rPr>
          <w:b/>
          <w:bCs/>
        </w:rPr>
        <w:t xml:space="preserve">Blatt in Modul 7</w:t>
      </w:r>
      <w:r>
        <w:t xml:space="preserve"> zeichnet im </w:t>
      </w:r>
      <w:r>
        <w:rPr>
          <w:b/>
          <w:bCs/>
        </w:rPr>
        <w:t xml:space="preserve">Norm-Maßstab</w:t>
      </w:r>
      <w:r>
        <w:t xml:space="preserve"> nach </w:t>
      </w:r>
      <w:r>
        <w:rPr>
          <w:b/>
          <w:bCs/>
        </w:rPr>
        <w:t xml:space="preserve">[D-2]</w:t>
      </w:r>
      <w:r>
        <w:t xml:space="preserve"> und bemisst Symbole, Schrift und Strichstärken in </w:t>
      </w:r>
      <w:r>
        <w:rPr>
          <w:b/>
          <w:bCs/>
        </w:rPr>
        <w:t xml:space="preserve">Papier-mm</w:t>
      </w:r>
      <w:r>
        <w:t xml:space="preserve">. Eine Ansicht, die die Wand auf eine feste Zeichenfläche </w:t>
      </w:r>
      <w:r>
        <w:rPr>
          <w:b/>
          <w:bCs/>
        </w:rPr>
        <w:t xml:space="preserve">presst</w:t>
      </w:r>
      <w:r>
        <w:t xml:space="preserve">, ist </w:t>
      </w:r>
      <w:r>
        <w:rPr>
          <w:b/>
          <w:bCs/>
        </w:rPr>
        <w:t xml:space="preserve">unzulässig</w:t>
      </w:r>
      <w:r>
        <w:t xml:space="preserve">: sie hat gar keinen Maßstab, und dann ist </w:t>
      </w:r>
      <w:r>
        <w:rPr>
          <w:b/>
          <w:bCs/>
        </w:rPr>
        <w:t xml:space="preserve">jede</w:t>
      </w:r>
      <w:r>
        <w:t xml:space="preserve"> Wahl am Symbol falsch – ein festes Maß steht in wechselndem Verhältnis zum Stein, ein mitskaliertes Maß wird auf dem Schirm wechselnd groß. Dasselbe Bauteil ist deshalb in einer 2-m-Wand </w:t>
      </w:r>
      <w:r>
        <w:rPr>
          <w:b/>
          <w:bCs/>
        </w:rPr>
        <w:t xml:space="preserve">genauso groß</w:t>
      </w:r>
      <w:r>
        <w:t xml:space="preserve"> wie in einer 9-m-Wand und auf einem 1:25-Blatt </w:t>
      </w:r>
      <w:r>
        <w:rPr>
          <w:b/>
          <w:bCs/>
        </w:rPr>
        <w:t xml:space="preserve">genauso groß</w:t>
      </w:r>
      <w:r>
        <w:t xml:space="preserve"> wie auf einem 1:100-Blatt. </w:t>
      </w:r>
      <w:r>
        <w:rPr>
          <w:b/>
          <w:bCs/>
        </w:rPr>
        <w:t xml:space="preserve">Ebenso gebunden sind Schrift, Steinbeschriftung, Kontur-, Hilfs- und Bemaßungslinien</w:t>
      </w:r>
      <w:r>
        <w:t xml:space="preserve">: sie sind Darstellung und folgen demselben Bezug wie die Symbole – eine Schriftgröße oder Strichstärke, die an der Wandgröße hängt, ist derselbe Fehler wie ein Symbol, das daran hängt. Ein </w:t>
      </w:r>
      <w:r>
        <w:rPr>
          <w:b/>
          <w:bCs/>
        </w:rPr>
        <w:t xml:space="preserve">Einpassen</w:t>
      </w:r>
      <w:r>
        <w:t xml:space="preserve"> darf die Darstellung nur </w:t>
      </w:r>
      <w:r>
        <w:rPr>
          <w:b/>
          <w:bCs/>
        </w:rPr>
        <w:t xml:space="preserve">verkleinern</w:t>
      </w:r>
      <w:r>
        <w:t xml:space="preserve">, nie über den echten Maßstab hinaus vergrößern. Das ist derselbe Bezug, den </w:t>
      </w:r>
      <w:r>
        <w:rPr>
          <w:b/>
          <w:bCs/>
        </w:rPr>
        <w:t xml:space="preserve">Strichstärken und Schriftgrößen</w:t>
      </w:r>
      <w:r>
        <w:t xml:space="preserve"> längst haben: ein Symbol ist eine </w:t>
      </w:r>
      <w:r>
        <w:rPr>
          <w:b/>
          <w:bCs/>
        </w:rPr>
        <w:t xml:space="preserve">Darstellungsmarke</w:t>
      </w:r>
      <w:r>
        <w:t xml:space="preserve"> und kein gemessenes Bauteil. Aus einem Symbolmaß wird </w:t>
      </w:r>
      <w:r>
        <w:rPr>
          <w:b/>
          <w:bCs/>
        </w:rPr>
        <w:t xml:space="preserve">nichts</w:t>
      </w:r>
      <w:r>
        <w:t xml:space="preserve"> abgeleitet – Einbauhöhen kommen allein aus dem Bauteilkatalog (</w:t>
      </w:r>
      <w:r>
        <w:rPr>
          <w:b/>
          <w:bCs/>
        </w:rPr>
        <w:t xml:space="preserve">[A-19]</w:t>
      </w:r>
      <w:r>
        <w:t xml:space="preserve">/</w:t>
      </w:r>
      <w:r>
        <w:rPr>
          <w:b/>
          <w:bCs/>
        </w:rPr>
        <w:t xml:space="preserve">[Z-8]</w:t>
      </w:r>
      <w:r>
        <w:t xml:space="preserve">), und ein Symbolmaß darf </w:t>
      </w:r>
      <w:r>
        <w:rPr>
          <w:b/>
          <w:bCs/>
        </w:rPr>
        <w:t xml:space="preserve">nicht</w:t>
      </w:r>
      <w:r>
        <w:t xml:space="preserve"> als Bauteilmaß zurückgelesen werden. </w:t>
      </w:r>
      <w:r>
        <w:rPr>
          <w:b/>
          <w:bCs/>
        </w:rPr>
        <w:t xml:space="preserve">Ausgenommen</w:t>
      </w:r>
      <w:r>
        <w:t xml:space="preserve"> sind Maße, die man am Blatt </w:t>
      </w:r>
      <w:r>
        <w:rPr>
          <w:b/>
          <w:bCs/>
        </w:rPr>
        <w:t xml:space="preserve">abmisst</w:t>
      </w:r>
      <w:r>
        <w:t xml:space="preserve">: die </w:t>
      </w:r>
      <w:r>
        <w:rPr>
          <w:b/>
          <w:bCs/>
        </w:rPr>
        <w:t xml:space="preserve">Breite</w:t>
      </w:r>
      <w:r>
        <w:t xml:space="preserve"> der Spannplatte (110 mm) und die Bleche bleiben </w:t>
      </w:r>
      <w:r>
        <w:rPr>
          <w:b/>
          <w:bCs/>
        </w:rPr>
        <w:t xml:space="preserve">maßstabstreu</w:t>
      </w:r>
      <w:r>
        <w:t xml:space="preserve">; die Plattenbreite trägt lediglich eine </w:t>
      </w:r>
      <w:r>
        <w:rPr>
          <w:b/>
          <w:bCs/>
        </w:rPr>
        <w:t xml:space="preserve">Sichtbarkeitsuntergrenze</w:t>
      </w:r>
      <w:r>
        <w:t xml:space="preserve">, damit sie bei grobem Maßstab nicht schmaler wird als der Mutternzylinder und sich als das schmalere Bauteil läse. Ein Bauteil, das eine maßstabstreue Länge </w:t>
      </w:r>
      <w:r>
        <w:rPr>
          <w:b/>
          <w:bCs/>
        </w:rPr>
        <w:t xml:space="preserve">durchdringt</w:t>
      </w:r>
      <w:r>
        <w:t xml:space="preserve"> (der Schraubenschaft durch das Bodenblech), folgt in dieser </w:t>
      </w:r>
      <w:r>
        <w:rPr>
          <w:b/>
          <w:bCs/>
        </w:rPr>
        <w:t xml:space="preserve">einen</w:t>
      </w:r>
      <w:r>
        <w:t xml:space="preserve"> Richtung dem Maßstab und bleibt in seiner Dicke fest. Die Symbolgeometrie liegt – wie der Zuschnittschlüssel (</w:t>
      </w:r>
      <w:r>
        <w:rPr>
          <w:b/>
          <w:bCs/>
        </w:rPr>
        <w:t xml:space="preserve">[D-4]</w:t>
      </w:r>
      <w:r>
        <w:t xml:space="preserve">) – </w:t>
      </w:r>
      <w:r>
        <w:rPr>
          <w:b/>
          <w:bCs/>
        </w:rPr>
        <w:t xml:space="preserve">genau einmal</w:t>
      </w:r>
      <w:r>
        <w:t xml:space="preserve"> in einem gemeinsamen, DOM-freien Baustein; eine modul-eigene zweite Symbolgeometrie ist </w:t>
      </w:r>
      <w:r>
        <w:rPr>
          <w:b/>
          <w:bCs/>
        </w:rPr>
        <w:t xml:space="preserve">unzulässig</w:t>
      </w:r>
      <w:r>
        <w:t xml:space="preserve"> (</w:t>
      </w:r>
      <w:r>
        <w:rPr>
          <w:b/>
          <w:bCs/>
        </w:rPr>
        <w:t xml:space="preserve">[P-6]</w:t>
      </w:r>
      <w:r>
        <w:t xml:space="preserve">). </w:t>
      </w:r>
      <w:r>
        <w:rPr>
          <w:b/>
          <w:bCs/>
        </w:rPr>
        <w:t xml:space="preserve">Zeichenreihenfolge:</w:t>
      </w:r>
      <w:r>
        <w:t xml:space="preserve"> </w:t>
      </w:r>
      <w:r>
        <w:rPr>
          <w:b/>
          <w:bCs/>
        </w:rPr>
        <w:t xml:space="preserve">Kopplungsmuttern</w:t>
      </w:r>
      <w:r>
        <w:t xml:space="preserve"> liegen im </w:t>
      </w:r>
      <w:r>
        <w:rPr>
          <w:b/>
          <w:bCs/>
        </w:rPr>
        <w:t xml:space="preserve">Vordergrund</w:t>
      </w:r>
      <w:r>
        <w:t xml:space="preserve"> aller Bauteile – vor Stangenstücken, Platten und Blechen –, weil sie die Stelle kennzeichnen, an der zwei Bauteile ineinandergreifen; </w:t>
      </w:r>
      <w:r>
        <w:rPr>
          <w:b/>
          <w:bCs/>
        </w:rPr>
        <w:t xml:space="preserve">Bemaßung</w:t>
      </w:r>
      <w:r>
        <w:t xml:space="preserve"> und der Brandschutzblock bleiben </w:t>
      </w:r>
      <w:r>
        <w:rPr>
          <w:b/>
          <w:bCs/>
        </w:rPr>
        <w:t xml:space="preserve">danach</w:t>
      </w:r>
      <w:r>
        <w:t xml:space="preserve"> und werden von keinem Bauteil verdeckt. </w:t>
      </w:r>
      <w:r>
        <w:rPr>
          <w:b/>
          <w:bCs/>
        </w:rPr>
        <w:t xml:space="preserve">Zusammengehörige Bauteile entstehen in einem Zeichenschritt:</w:t>
      </w:r>
      <w:r>
        <w:t xml:space="preserve"> wo der Rechenkern ein Bauteil </w:t>
      </w:r>
      <w:r>
        <w:rPr>
          <w:b/>
          <w:bCs/>
        </w:rPr>
        <w:t xml:space="preserve">zwingend gemeinsam</w:t>
      </w:r>
      <w:r>
        <w:t xml:space="preserve"> mit einem anderen zählt – die </w:t>
      </w:r>
      <w:r>
        <w:rPr>
          <w:b/>
          <w:bCs/>
        </w:rPr>
        <w:t xml:space="preserve">Spannmutter zur Spannplatte</w:t>
      </w:r>
      <w:r>
        <w:t xml:space="preserve"> ([A-3], oben </w:t>
      </w:r>
      <w:r>
        <w:rPr>
          <w:b/>
          <w:bCs/>
        </w:rPr>
        <w:t xml:space="preserve">wie unten</w:t>
      </w:r>
      <w:r>
        <w:t xml:space="preserve">), die Mutter zum Einlegeblech ([A-16]) –, zeichnet </w:t>
      </w:r>
      <w:r>
        <w:rPr>
          <w:b/>
          <w:bCs/>
        </w:rPr>
        <w:t xml:space="preserve">eine</w:t>
      </w:r>
      <w:r>
        <w:t xml:space="preserve"> Funktion beide. Zwei getrennte Aufrufe für ein untrennbares Paar sind die Stelle, an der ein Bauteil vergessen wird, und genau das war passiert: die Spannmutter fehlte in </w:t>
      </w:r>
      <w:r>
        <w:rPr>
          <w:b/>
          <w:bCs/>
        </w:rPr>
        <w:t xml:space="preserve">beiden</w:t>
      </w:r>
      <w:r>
        <w:t xml:space="preserve"> Ansichten, während die Stückliste sie korrekt führte. Priorität: Darstellungsregel der Hierarchiestufe 5 – sie ändert </w:t>
      </w:r>
      <w:r>
        <w:rPr>
          <w:b/>
          <w:bCs/>
        </w:rPr>
        <w:t xml:space="preserve">keine</w:t>
      </w:r>
      <w:r>
        <w:t xml:space="preserve"> Mengen, </w:t>
      </w:r>
      <w:r>
        <w:rPr>
          <w:b/>
          <w:bCs/>
        </w:rPr>
        <w:t xml:space="preserve">keine</w:t>
      </w:r>
      <w:r>
        <w:t xml:space="preserve"> Geometrie des Wandelements, </w:t>
      </w:r>
      <w:r>
        <w:rPr>
          <w:b/>
          <w:bCs/>
        </w:rPr>
        <w:t xml:space="preserve">keinen</w:t>
      </w:r>
      <w:r>
        <w:t xml:space="preserve"> Maßstab und </w:t>
      </w:r>
      <w:r>
        <w:rPr>
          <w:b/>
          <w:bCs/>
        </w:rPr>
        <w:t xml:space="preserve">keine</w:t>
      </w:r>
      <w:r>
        <w:t xml:space="preserve"> Bemaßung, und sie ist </w:t>
      </w:r>
      <w:r>
        <w:rPr>
          <w:b/>
          <w:bCs/>
        </w:rPr>
        <w:t xml:space="preserve">[D-2]</w:t>
      </w:r>
      <w:r>
        <w:t xml:space="preserve"> (Maßstabstreue) nachgeordnet: wo ein Maß abgemessen wird, gilt der Maßstab.</w:t>
      </w:r>
    </w:p>
    <w:p>
      <w:pPr>
        <w:pBdr>
          <w:left w:val="single" w:color="E0B400" w:sz="18" w:space="6"/>
        </w:pBdr>
        <w:shd w:fill="FFF8E6" w:val="clear"/>
        <w:spacing w:after="120" w:before="80"/>
      </w:pPr>
      <w:r>
        <w:t xml:space="preserve">Herkunft [D-9]: Issue #106, aus der Bearbeitung von Issue #110 heraus. #110 hatte die Symbolmaße bewusst als </w:t>
      </w:r>
      <w:r>
        <w:rPr>
          <w:b/>
          <w:bCs/>
        </w:rPr>
        <w:t xml:space="preserve">Vielfache der Lagenhöhe</w:t>
      </w:r>
      <w:r>
        <w:t xml:space="preserve"> festgelegt, um sie vom Zoom unabhängig zu machen – und damit genau das Gegenteil erreicht: die Lagenhöhe in Zeichenkoordinaten hängt in </w:t>
      </w:r>
      <w:r>
        <w:rPr>
          <w:b/>
          <w:bCs/>
        </w:rPr>
        <w:t xml:space="preserve">beiden</w:t>
      </w:r>
      <w:r>
        <w:t xml:space="preserve"> Ausgaben an der </w:t>
      </w:r>
      <w:r>
        <w:rPr>
          <w:b/>
          <w:bCs/>
        </w:rPr>
        <w:t xml:space="preserve">Wandgröße</w:t>
      </w:r>
      <w:r>
        <w:t xml:space="preserve"> (Modul 1 rechnet den Ansichtsmaßstab aus der Wandlänge, Modul 7 wählt den Blattmaßstab nach [D-2] aus Länge und Höhe). Dasselbe Bauteil war deshalb in einer kurzen Wand um ein </w:t>
      </w:r>
      <w:r>
        <w:rPr>
          <w:b/>
          <w:bCs/>
        </w:rPr>
        <w:t xml:space="preserve">Mehrfaches</w:t>
      </w:r>
      <w:r>
        <w:t xml:space="preserve"> größer als in einer langen. Ebenfalls aus #106: die überstehenden Stirnkanten der Zylinder aus #110 sind </w:t>
      </w:r>
      <w:r>
        <w:rPr>
          <w:b/>
          <w:bCs/>
        </w:rPr>
        <w:t xml:space="preserve">ersatzlos</w:t>
      </w:r>
      <w:r>
        <w:t xml:space="preserve"> entfallen – sie sollten den Zylinder andeuten, lasen sich aber als </w:t>
      </w:r>
      <w:r>
        <w:rPr>
          <w:b/>
          <w:bCs/>
        </w:rPr>
        <w:t xml:space="preserve">Serifen</w:t>
      </w:r>
      <w:r>
        <w:t xml:space="preserve"> am Bauteil –, Mutter und Kopplungsmutter </w:t>
      </w:r>
      <w:r>
        <w:rPr>
          <w:b/>
          <w:bCs/>
        </w:rPr>
        <w:t xml:space="preserve">sitzen auf</w:t>
      </w:r>
      <w:r>
        <w:t xml:space="preserve"> ihrer Auflagerkante statt auf ihr zentriert zu sein, und die </w:t>
      </w:r>
      <w:r>
        <w:rPr>
          <w:b/>
          <w:bCs/>
        </w:rPr>
        <w:t xml:space="preserve">obere Spannplatte</w:t>
      </w:r>
      <w:r>
        <w:t xml:space="preserve"> liegt </w:t>
      </w:r>
      <w:r>
        <w:rPr>
          <w:b/>
          <w:bCs/>
        </w:rPr>
        <w:t xml:space="preserve">auf</w:t>
      </w:r>
      <w:r>
        <w:t xml:space="preserve"> der Wandoberkante statt von der Kante nach unten </w:t>
      </w:r>
      <w:r>
        <w:rPr>
          <w:b/>
          <w:bCs/>
        </w:rPr>
        <w:t xml:space="preserve">in die Wand</w:t>
      </w:r>
      <w:r>
        <w:t xml:space="preserve"> hinein. Modul 5 (Baugruppenbild) ist in keinem der Issues umgestellt worden und bleibt ein benannter Nachziehpunkt (</w:t>
      </w:r>
      <w:r>
        <w:rPr>
          <w:b/>
          <w:bCs/>
        </w:rPr>
        <w:t xml:space="preserve">[P-6]</w:t>
      </w:r>
      <w:r>
        <w:t xml:space="preserve">). – </w:t>
      </w:r>
      <w:r>
        <w:rPr>
          <w:b/>
          <w:bCs/>
        </w:rPr>
        <w:t xml:space="preserve">Nachgeschärft mit derselben Bearbeitung (#106, zweiter Durchgang):</w:t>
      </w:r>
      <w:r>
        <w:t xml:space="preserve"> feste Maße allein genügten nicht, weil die Wandansicht ihren Maßstab weiter aus der </w:t>
      </w:r>
      <w:r>
        <w:rPr>
          <w:b/>
          <w:bCs/>
        </w:rPr>
        <w:t xml:space="preserve">Wandlänge</w:t>
      </w:r>
      <w:r>
        <w:t xml:space="preserve"> bildete (sc = (1000−2·pad)/L) und die Wand damit auf eine feste Breite presste. Ein Stein hatte so gar keine definierte Größe; Schrift, Strichstärken und Symbole standen in wechselndem Verhältnis zu ihm, und bei hohen Wänden schrumpfte die ganze Darstellung, weil der Rahmen sie zurückskalierte. Erst der </w:t>
      </w:r>
      <w:r>
        <w:rPr>
          <w:b/>
          <w:bCs/>
        </w:rPr>
        <w:t xml:space="preserve">feste Ansichtsmaßstab</w:t>
      </w:r>
      <w:r>
        <w:t xml:space="preserve"> löst beide Forderungen zugleich auf. Gleichzeitig kam die </w:t>
      </w:r>
      <w:r>
        <w:rPr>
          <w:b/>
          <w:bCs/>
        </w:rPr>
        <w:t xml:space="preserve">Spannmutter auf der Spannplatte</w:t>
      </w:r>
      <w:r>
        <w:t xml:space="preserve"> hinzu (#97), die in beiden Ansichten fehlte. Eine </w:t>
      </w:r>
      <w:r>
        <w:rPr>
          <w:b/>
          <w:bCs/>
        </w:rPr>
        <w:t xml:space="preserve">Unterlegscheibe</w:t>
      </w:r>
      <w:r>
        <w:t xml:space="preserve"> wird ausdrücklich </w:t>
      </w:r>
      <w:r>
        <w:rPr>
          <w:b/>
          <w:bCs/>
        </w:rPr>
        <w:t xml:space="preserve">nicht</w:t>
      </w:r>
      <w:r>
        <w:t xml:space="preserve"> gezeichnet: am normalen Wandabschluss gibt es sie am Spannglied nicht, sie tritt allein am </w:t>
      </w:r>
      <w:r>
        <w:rPr>
          <w:b/>
          <w:bCs/>
        </w:rPr>
        <w:t xml:space="preserve">Deckenanschluss</w:t>
      </w:r>
      <w:r>
        <w:t xml:space="preserve"> auf und kommt dort im Set mit (Fachauskunft 2026-09-08). Die Stücklistenposition „Unterlegscheibe (Wandabschluss)“ aus #92 rechnet dagegen </w:t>
      </w:r>
      <w:r>
        <w:rPr>
          <w:b/>
          <w:bCs/>
        </w:rPr>
        <w:t xml:space="preserve">eine je Spannplatte</w:t>
      </w:r>
      <w:r>
        <w:t xml:space="preserve"> – dieser </w:t>
      </w:r>
      <w:r>
        <w:rPr>
          <w:b/>
          <w:bCs/>
        </w:rPr>
        <w:t xml:space="preserve">Mengen</w:t>
      </w:r>
      <w:r>
        <w:t xml:space="preserve">widerspruch ist mit dieser Bearbeitung </w:t>
      </w:r>
      <w:r>
        <w:rPr>
          <w:b/>
          <w:bCs/>
        </w:rPr>
        <w:t xml:space="preserve">nicht</w:t>
      </w:r>
      <w:r>
        <w:t xml:space="preserve"> aufgelöst und bleibt offen.</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2026-09-08T12:23:22.195Z</dcterms:created>
  <dcterms:modified xsi:type="dcterms:W3CDTF">2026-09-08T12:23:22.196Z</dcterms:modified>
</cp:coreProperties>
</file>

<file path=docProps/custom.xml><?xml version="1.0" encoding="utf-8"?>
<Properties xmlns="http://schemas.openxmlformats.org/officeDocument/2006/custom-properties" xmlns:vt="http://schemas.openxmlformats.org/officeDocument/2006/docPropsVTypes"/>
</file>