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Stückliste &amp; Kosten</w:t>
      </w:r>
    </w:p>
    <w:p>
      <w:pPr>
        <w:spacing w:after="120"/>
      </w:pPr>
      <w:r>
        <w:t xml:space="preserve">Zweck: Material-Auszug und Kosten für genau das aktive Wandelement. Kanonische Mengen stammen aus dem Wandelement/BOM und dem unter eingaben.aufbau gespeicherten Aufbau. Eine Mehrfachwand-Mengenlogik gibt es im MVP nicht.</w:t>
      </w:r>
    </w:p>
    <w:p>
      <w:pPr>
        <w:spacing w:after="120"/>
      </w:pPr>
      <w:r>
        <w:t xml:space="preserve">Preise sind hier </w:t>
      </w:r>
      <w:r>
        <w:rPr>
          <w:b/>
          <w:bCs/>
        </w:rPr>
        <w:t xml:space="preserve">nicht editierbar</w:t>
      </w:r>
      <w:r>
        <w:t xml:space="preserve">. Sie werden zu jeder Position frisch aus dem aktiven Bauteilkatalog aufgelöst – über die in Modul 1 bzw. Modul 2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Sonderzuschnitt-Ausgangsprodukt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wird über sein Ausgangsprodukt bepreist und nennt Fertigmaß und Herkunft in der Bezeichnung. Die vollständige Einbauteil-Kennzeichnung mit IDs bleibt der Baustellenstückliste vorbehalten.</w:t>
      </w:r>
    </w:p>
    <w:p>
      <w:pPr>
        <w:pStyle w:val="ListParagraph"/>
        <w:numPr>
          <w:ilvl w:val="0"/>
          <w:numId w:val="2"/>
        </w:numPr>
        <w:spacing w:after="60"/>
      </w:pPr>
      <w:r>
        <w:rPr>
          <w:b/>
          <w:bCs/>
        </w:rPr>
        <w:t xml:space="preserve">Export:</w:t>
      </w:r>
      <w:r>
        <w:t xml:space="preserve"> Stücklisten-/Zuschnittdateien werden ausschließlich über den zentralen ZIP-Export in Modul 0 erzeugt – mit derselben Preisauflösung wie die Anzeige, damit CSV und Bildschirm nie auseinanderlaufen. Die Latten-Zuschnittliste nennt je Einbaustück Fertigmaß, Ausgangsprodukt und Art (Standard/Sonderzuschnitt).</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in Metern sowie Öffnungs-, Brüstungs- und Staffelungsmaße in Zentimetern ([D-3]).</w:t>
      </w:r>
    </w:p>
    <w:p>
      <w:pPr>
        <w:spacing w:after="120"/>
      </w:pPr>
      <w:r>
        <w:t xml:space="preserve">Die vier Vorspann-Zielregeln stehen als Planungshinweise auf dem Blatt und sind ausdrücklich als „nicht automatisch geprüft“ gekennzeichnet – die Suite prüft sie nicht, deshalb darf das Blatt sie nicht als erfüllte Eigenschaft der Wand ausgeben ([D-5]). Ebenso ist der statische Nachweis nicht Bestandteil der Zeichnung: das Schriftfeld verweist auf die separate Prüfung, ein Nachweisergebnis erscheint nicht, und die Zeichnung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Ausgangsprodukt, damit die Preisauflösung nach </w:t>
      </w:r>
      <w:r>
        <w:rPr>
          <w:b/>
          <w:bCs/>
        </w:rPr>
        <w:t xml:space="preserve">[P-14]</w:t>
      </w:r>
      <w:r>
        <w:t xml:space="preserve"> wieder eindeutig ist; die vollständige Einbauteil-/ID-Kennzeichnung bleibt #22, die 2D-Plattenplanung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 in m</w:t>
      </w:r>
      <w:r>
        <w:t xml:space="preserve"> sowie </w:t>
      </w:r>
      <w:r>
        <w:rPr>
          <w:b/>
          <w:bCs/>
        </w:rPr>
        <w:t xml:space="preserve">Öffnungsbreite, Öffnungshöhe und Brüstungshöhe</w:t>
      </w:r>
      <w:r>
        <w:t xml:space="preserve"> und die </w:t>
      </w:r>
      <w:r>
        <w:rPr>
          <w:b/>
          <w:bCs/>
        </w:rPr>
        <w:t xml:space="preserve">Staffelungsmaße (Länge und Höhe je Stufe) in cm</w:t>
      </w:r>
      <w:r>
        <w:t xml:space="preserve">.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Das Blatt trennt zwei Listen.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erscheinen </w:t>
      </w:r>
      <w:r>
        <w:rPr>
          <w:b/>
          <w:bCs/>
        </w:rPr>
        <w:t xml:space="preserve">ausschließlich als Planungshinweis mit ausdrücklichem Vermerk „nicht automatisch geprüft“</w:t>
      </w:r>
      <w:r>
        <w:t xml:space="preserve">. Eine Darstellung dieser offenen Regeln als erfüllte oder geprüfte Eigenschaft ist </w:t>
      </w:r>
      <w:r>
        <w:rPr>
          <w:b/>
          <w:bCs/>
        </w:rPr>
        <w:t xml:space="preserve">unzulässig</w:t>
      </w:r>
      <w:r>
        <w:t xml:space="preserve">; ebenso unzulässig ist es, eine tatsächlich gerechnete Regel weiter als ungeprüfte Zielregel auszuweisen. Priorität: Muss-Regel der Aussagewahrheit – sie steht über jeder Darstellungs- und Komfortregel.</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Projekt, Bauherrenschaft, Planverfasser, Phase, Planinhalt, Wand mit Maßen, Plannummer, Index, Maßstab und Bearbeiter. Für die Standsicherheit weist es aus, dass der Nachweis </w:t>
      </w:r>
      <w:r>
        <w:rPr>
          <w:b/>
          <w:bCs/>
        </w:rPr>
        <w:t xml:space="preserve">nicht Bestandteil dieser Zeichnung ist und separat zu prüfen</w:t>
      </w:r>
      <w:r>
        <w:t xml:space="preserve"> ist.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erscheint nicht im Blatt: es ist Hintergrund der Verortung und keine Datenquelle (</w:t>
      </w:r>
      <w:r>
        <w:rPr>
          <w:b/>
          <w:bCs/>
        </w:rPr>
        <w:t xml:space="preserve">[L-9]</w:t>
      </w:r>
      <w:r>
        <w:t xml:space="preserve">), und ein unkalibriertes Rasterbild hätte in einer maßstäblichen Unterlage nichts zu suchen.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2026-08-11T08:39:41.069Z</dcterms:created>
  <dcterms:modified xsi:type="dcterms:W3CDTF">2026-08-11T08:39:41.070Z</dcterms:modified>
</cp:coreProperties>
</file>

<file path=docProps/custom.xml><?xml version="1.0" encoding="utf-8"?>
<Properties xmlns="http://schemas.openxmlformats.org/officeDocument/2006/custom-properties" xmlns:vt="http://schemas.openxmlformats.org/officeDocument/2006/docPropsVTypes"/>
</file>