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Abdichtung</w:t>
      </w:r>
    </w:p>
    <w:p>
      <w:pPr>
        <w:spacing w:after="120"/>
      </w:pPr>
      <w:r>
        <w:t xml:space="preserve">Die vertikalen Stoßfugen zwischen Steinen werden gezählt (bom.stossfugen). Für erhöhte Anforderungen (z. B. Schallschutz) wird in jede innere Stoßfuge ein Abdichtungsstreifen eingelegt – je nach gewähltem Produkt ein Dichtstreifen oder ein Gipsfaserstreifen,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die Stoßfugen-Abdichtung führt, siehe [A-6]. WAS in die Fugen kommt, ist keine eigene Zeile und kein eigenes Merkmal, sondern allein die Produktwahl der Verwendungsstelle „Stoßfugen-Abdichtung – Einbauposition“ (Rolle dicht_stk, gewählt in Modul 1 bzw. im Sammel-Editor): der Standardkatalog führt dafür seit Fassung v6 neben dem vorbelegten Dichtstreifen den Gipsfaserstreifen 200 × 20 × 10 mm.</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Positionen der Stoßfugen-Abdichtung; sonst entfallen sie vollständig. </w:t>
      </w:r>
      <w:r>
        <w:rPr>
          <w:b/>
          <w:bCs/>
        </w:rPr>
        <w:t xml:space="preserve">Das Material ist eine Produktwahl, keine eigene Zeile:</w:t>
      </w:r>
      <w:r>
        <w:t xml:space="preserve"> welches Produkt in die inneren Stoßfugen kommt (z. B. Dichtstreifen oder Gipsfaserstreifen), entscheidet allein die gewählte Produktzuordnung der Verwendungsstelle „Stoßfugen-Abdichtung – Einbauposition“ (dicht_stk, </w:t>
      </w:r>
      <w:r>
        <w:rPr>
          <w:b/>
          <w:bCs/>
        </w:rPr>
        <w:t xml:space="preserve">[P-13]</w:t>
      </w:r>
      <w:r>
        <w:t xml:space="preserve">); die Einbauposition heißt dann „Stoßfugen: ‹Produktbezeichnung›“ bei unveränderter Menge (Zahl der inneren Stoßfugen) und unveränderter Stelle in der Liste. Ohne eindeutig aufgelöstes Produkt (kein Katalog, keine oder mehrdeutige Wahl, </w:t>
      </w:r>
      <w:r>
        <w:rPr>
          <w:b/>
          <w:bCs/>
        </w:rPr>
        <w:t xml:space="preserve">[P-14]</w:t>
      </w:r>
      <w:r>
        <w:t xml:space="preserve">) steht die neutrale Bezeichnung „Stoßfugen-Abdichtung 20 cm“ – es wird kein Material geraten. Die Gesamtlänge heißt neutral „Stoßfugen-Abdichtung – Gesamtlänge“.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w:t>
      </w:r>
      <w:r>
        <w:rPr>
          <w:b/>
          <w:bCs/>
        </w:rPr>
        <w:t xml:space="preserve">Jede Standardlänge trägt ihre eigene Farbe:</w:t>
      </w:r>
      <w:r>
        <w:t xml:space="preserve"> maßgebend ist der </w:t>
      </w:r>
      <w:r>
        <w:rPr>
          <w:b/>
          <w:bCs/>
        </w:rPr>
        <w:t xml:space="preserve">Rang der Länge in den Standardlängen des zugeordneten Bauteilkatalogs</w:t>
      </w:r>
      <w:r>
        <w:t xml:space="preserve"> (absteigend, die längste zuerst; Produkte, die ausdrücklich nur eine andere Rolle benennen – etwa das Reststück –, zählen nicht) und </w:t>
      </w:r>
      <w:r>
        <w:rPr>
          <w:b/>
          <w:bCs/>
        </w:rPr>
        <w:t xml:space="preserve">nicht</w:t>
      </w:r>
      <w:r>
        <w:t xml:space="preserve"> ihr Rang in den Stücken der einzelnen Wand – dieselbe Länge trägt damit in </w:t>
      </w:r>
      <w:r>
        <w:rPr>
          <w:b/>
          <w:bCs/>
        </w:rPr>
        <w:t xml:space="preserve">jeder</w:t>
      </w:r>
      <w:r>
        <w:t xml:space="preserve"> Wand des Projekts und in </w:t>
      </w:r>
      <w:r>
        <w:rPr>
          <w:b/>
          <w:bCs/>
        </w:rPr>
        <w:t xml:space="preserve">jeder</w:t>
      </w:r>
      <w:r>
        <w:t xml:space="preserve"> Ansicht dieselbe Farbe. Längen stehen dafür </w:t>
      </w:r>
      <w:r>
        <w:rPr>
          <w:b/>
          <w:bCs/>
        </w:rPr>
        <w:t xml:space="preserve">nie</w:t>
      </w:r>
      <w:r>
        <w:t xml:space="preserve"> im Code: kommt eine Standardlänge in den Katalog, bekommt sie ohne Codeänderung ihre Farbe aus einer </w:t>
      </w:r>
      <w:r>
        <w:rPr>
          <w:b/>
          <w:bCs/>
        </w:rPr>
        <w:t xml:space="preserve">festen, geordneten Palette</w:t>
      </w:r>
      <w:r>
        <w:t xml:space="preserve"> (die längste Blau, die zweite Grün) bzw. aus deren </w:t>
      </w:r>
      <w:r>
        <w:rPr>
          <w:b/>
          <w:bCs/>
        </w:rPr>
        <w:t xml:space="preserve">deterministischer Fortsetzung</w:t>
      </w:r>
      <w:r>
        <w:t xml:space="preserve">, die zu allen übrigen Kennfarben und zu den bereits vergebenen Stangenfarben einen Mindestabstand hält. Ohne Katalog gilt die im Wandelement geführte Auswahl der Standardlängen, bei einem Altstand ohne Längenliste die vorhandenen Längen der Wand; eine Länge, die in der maßgebenden Folge fehlt, wird </w:t>
      </w:r>
      <w:r>
        <w:rPr>
          <w:b/>
          <w:bCs/>
        </w:rPr>
        <w:t xml:space="preserve">hinten</w:t>
      </w:r>
      <w:r>
        <w:t xml:space="preserve"> angehängt und verschiebt die Katalogränge nicht. </w:t>
      </w:r>
      <w:r>
        <w:rPr>
          <w:b/>
          <w:bCs/>
        </w:rPr>
        <w:t xml:space="preserve">Orange bleibt allein dem Sonderzuschnitt vorbehalten</w:t>
      </w:r>
      <w:r>
        <w:t xml:space="preserve">, das Reststück trägt eine </w:t>
      </w:r>
      <w:r>
        <w:rPr>
          <w:b/>
          <w:bCs/>
        </w:rPr>
        <w:t xml:space="preserve">eigene dritte Farbe</w:t>
      </w:r>
      <w:r>
        <w:t xml:space="preserve"> (Pink – das frühere Violett war vom Violett der Verzahnungskennzeichnung nicht unterscheidbar), und </w:t>
      </w:r>
      <w:r>
        <w:rPr>
          <w:b/>
          <w:bCs/>
        </w:rPr>
        <w:t xml:space="preserve">Kopplungsmuttern</w:t>
      </w:r>
      <w:r>
        <w:t xml:space="preserve"> tragen </w:t>
      </w:r>
      <w:r>
        <w:rPr>
          <w:b/>
          <w:bCs/>
        </w:rPr>
        <w:t xml:space="preserve">keine</w:t>
      </w:r>
      <w:r>
        <w:t xml:space="preserve"> Stangenfarbe.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 </w:t>
      </w:r>
      <w:r>
        <w:rPr>
          <w:b/>
          <w:bCs/>
        </w:rPr>
        <w:t xml:space="preserve">jede gezeichnete Standardlänge mit ihrer Länge</w:t>
      </w:r>
      <w:r>
        <w:t xml:space="preserve"> (etwa „Gewindestange 1050 mm“), dann Sonderzuschnitt, dann Reststück mit seiner Länge – und nennt </w:t>
      </w:r>
      <w:r>
        <w:rPr>
          <w:b/>
          <w:bCs/>
        </w:rPr>
        <w:t xml:space="preserve">nur</w:t>
      </w:r>
      <w:r>
        <w:t xml:space="preserve">, was im Bild bzw. Blatt auch vorkommt;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 – </w:t>
      </w:r>
      <w:r>
        <w:rPr>
          <w:b/>
          <w:bCs/>
        </w:rPr>
        <w:t xml:space="preserve">Fortgeschrieben am 2026-10-07</w:t>
      </w:r>
      <w:r>
        <w:t xml:space="preserve"> (Entscheidung Tibor): bis dahin trugen </w:t>
      </w:r>
      <w:r>
        <w:rPr>
          <w:b/>
          <w:bCs/>
        </w:rPr>
        <w:t xml:space="preserve">alle</w:t>
      </w:r>
      <w:r>
        <w:t xml:space="preserve"> Standardlängen dieselbe Farbe, sodass 1050 mm und 820 mm im Bild nicht zu unterscheiden waren, und die Legende nannte die Stangenarten auch dann, wenn sie gar nicht gezeichnet waren. Neu sind die Farbe </w:t>
      </w:r>
      <w:r>
        <w:rPr>
          <w:b/>
          <w:bCs/>
        </w:rPr>
        <w:t xml:space="preserve">je Standardlänge</w:t>
      </w:r>
      <w:r>
        <w:t xml:space="preserve"> nach ihrem </w:t>
      </w:r>
      <w:r>
        <w:rPr>
          <w:b/>
          <w:bCs/>
        </w:rPr>
        <w:t xml:space="preserve">Katalograng</w:t>
      </w:r>
      <w:r>
        <w:t xml:space="preserve"> (bewusst nicht nach den Stücken der Wand, sonst wechselte dieselbe Länge je Wand die Farbe), die Legende </w:t>
      </w:r>
      <w:r>
        <w:rPr>
          <w:b/>
          <w:bCs/>
        </w:rPr>
        <w:t xml:space="preserve">mit Längen und nur für Gezeichnetes</w:t>
      </w:r>
      <w:r>
        <w:t xml:space="preserve"> und die neue Reststückfarbe; Sonderzuschnitt-Orange, Stückableitung, Mengen und Geometrie sind unverändert.</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w:t>
      </w:r>
      <w:r>
        <w:rPr>
          <w:b/>
          <w:bCs/>
        </w:rPr>
        <w:t xml:space="preserve">Maßstäblich</w:t>
      </w:r>
      <w:r>
        <w:t xml:space="preserve"> ist seit dem 2026-10-07 auch die </w:t>
      </w:r>
      <w:r>
        <w:rPr>
          <w:b/>
          <w:bCs/>
        </w:rPr>
        <w:t xml:space="preserve">Sechskantschraube am Fuß</w:t>
      </w:r>
      <w:r>
        <w:t xml:space="preserve">, sobald ihre Maße vorliegen: der </w:t>
      </w:r>
      <w:r>
        <w:rPr>
          <w:b/>
          <w:bCs/>
        </w:rPr>
        <w:t xml:space="preserve">Schaft</w:t>
      </w:r>
      <w:r>
        <w:t xml:space="preserve"> ist so breit wie der </w:t>
      </w:r>
      <w:r>
        <w:rPr>
          <w:b/>
          <w:bCs/>
        </w:rPr>
        <w:t xml:space="preserve">Gewinde-Nenndurchmesser</w:t>
      </w:r>
      <w:r>
        <w:t xml:space="preserve"> des gewählten Katalogprodukts (M10 → 10 mm), der </w:t>
      </w:r>
      <w:r>
        <w:rPr>
          <w:b/>
          <w:bCs/>
        </w:rPr>
        <w:t xml:space="preserve">Kopf</w:t>
      </w:r>
      <w:r>
        <w:t xml:space="preserve"> so breit wie die </w:t>
      </w:r>
      <w:r>
        <w:rPr>
          <w:b/>
          <w:bCs/>
        </w:rPr>
        <w:t xml:space="preserve">Schlüsselweite</w:t>
      </w:r>
      <w:r>
        <w:t xml:space="preserve"> (17 mm) und so hoch wie das </w:t>
      </w:r>
      <w:r>
        <w:rPr>
          <w:b/>
          <w:bCs/>
        </w:rPr>
        <w:t xml:space="preserve">Normmaß DIN 933 M10</w:t>
      </w:r>
      <w:r>
        <w:t xml:space="preserve"> (7 mm) – der Kopf ist also breiter als der Schaft. Fehlt ein Katalogmaß, bleibt das betroffene Teil Symbol, der Kopf dabei immer </w:t>
      </w:r>
      <w:r>
        <w:rPr>
          <w:b/>
          <w:bCs/>
        </w:rPr>
        <w:t xml:space="preserve">ganz</w:t>
      </w:r>
      <w:r>
        <w:t xml:space="preserve"> (Breite und Höhe). Schraube und Kopplungsmutter tragen </w:t>
      </w:r>
      <w:r>
        <w:rPr>
          <w:b/>
          <w:bCs/>
        </w:rPr>
        <w:t xml:space="preserve">eigene Kennfarben</w:t>
      </w:r>
      <w:r>
        <w:t xml:space="preserve">: die Kopplungsmutter ein </w:t>
      </w:r>
      <w:r>
        <w:rPr>
          <w:b/>
          <w:bCs/>
        </w:rPr>
        <w:t xml:space="preserve">kräftiges Pink</w:t>
      </w:r>
      <w:r>
        <w:t xml:space="preserve">, damit sie sich klar von den Gewindestangen abhebt – unterscheidbar vom Pink des Reststücks und vom Magenta des Ausgleichspunkts –, die Schraube ein dunkles Braun.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2026-10-07T08:14:58.748Z</dcterms:created>
  <dcterms:modified xsi:type="dcterms:W3CDTF">2026-10-07T08:14:58.749Z</dcterms:modified>
</cp:coreProperties>
</file>

<file path=docProps/custom.xml><?xml version="1.0" encoding="utf-8"?>
<Properties xmlns="http://schemas.openxmlformats.org/officeDocument/2006/custom-properties" xmlns:vt="http://schemas.openxmlformats.org/officeDocument/2006/docPropsVTypes"/>
</file>