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480E" w:rsidP="00FB480E" w:rsidRDefault="00FB480E" w14:paraId="48851E7E" w14:textId="5A6CE36C">
      <w:pPr>
        <w:pStyle w:val="1"/>
        <w:spacing w:before="73"/>
        <w:ind w:left="0"/>
        <w:jc w:val="left"/>
      </w:pPr>
      <w:r w:rsidR="23C2BEFA">
        <w:rPr/>
        <w:t xml:space="preserve">УДК </w:t>
      </w:r>
      <w:r w:rsidR="309E94C3">
        <w:rPr/>
        <w:t>004.89</w:t>
      </w:r>
    </w:p>
    <w:p w:rsidR="309E94C3" w:rsidP="7628C0F2" w:rsidRDefault="309E94C3" w14:paraId="38299B34" w14:textId="7383FBDF">
      <w:pPr>
        <w:jc w:val="center"/>
        <w:rPr>
          <w:b w:val="1"/>
          <w:bCs w:val="1"/>
        </w:rPr>
      </w:pPr>
      <w:r w:rsidRPr="7628C0F2" w:rsidR="309E94C3">
        <w:rPr>
          <w:b w:val="1"/>
          <w:bCs w:val="1"/>
        </w:rPr>
        <w:t>ВЫБОР ИНСТРУМЕНТОВ КАК ПОВЕРХНОСТНОЕ ВЫРАВНИВАНИЕ: ЭФФЕКТИВНАЯ АДАПТАЦИЯ БОЛЬШИХ ЯЗЫКОВЫХ МОДЕЛЕЙ МЕТОДОМ LORA НА МИНИМАЛЬНЫХ НАБОРАХ ДАННЫХ</w:t>
      </w:r>
    </w:p>
    <w:p w:rsidR="00FB480E" w:rsidP="00FB480E" w:rsidRDefault="00FB480E" w14:paraId="478A7984" w14:textId="4FB3DAA5">
      <w:pPr>
        <w:spacing w:before="1"/>
        <w:jc w:val="center"/>
      </w:pPr>
      <w:r w:rsidRPr="7628C0F2" w:rsidR="309E94C3">
        <w:rPr>
          <w:b w:val="1"/>
          <w:bCs w:val="1"/>
        </w:rPr>
        <w:t xml:space="preserve">Горошко </w:t>
      </w:r>
      <w:r w:rsidRPr="7628C0F2" w:rsidR="309E94C3">
        <w:rPr>
          <w:b w:val="1"/>
          <w:bCs w:val="1"/>
        </w:rPr>
        <w:t>А</w:t>
      </w:r>
      <w:r w:rsidRPr="7628C0F2" w:rsidR="23C2BEFA">
        <w:rPr>
          <w:b w:val="1"/>
          <w:bCs w:val="1"/>
        </w:rPr>
        <w:t>.В.</w:t>
      </w:r>
      <w:r w:rsidRPr="7628C0F2" w:rsidR="23C2BEFA">
        <w:rPr>
          <w:b w:val="1"/>
          <w:bCs w:val="1"/>
        </w:rPr>
        <w:t xml:space="preserve"> </w:t>
      </w:r>
      <w:r w:rsidR="23C2BEFA">
        <w:rPr/>
        <w:t>(</w:t>
      </w:r>
      <w:r w:rsidR="31B79EB4">
        <w:rPr/>
        <w:t>СПБГУ</w:t>
      </w:r>
      <w:r w:rsidR="23C2BEFA">
        <w:rPr/>
        <w:t>)</w:t>
      </w:r>
    </w:p>
    <w:p w:rsidR="7021488E" w:rsidP="7628C0F2" w:rsidRDefault="7021488E" w14:paraId="43EAEFAF" w14:textId="4E264C1A">
      <w:pPr>
        <w:pStyle w:val="1"/>
        <w:ind w:left="0"/>
      </w:pPr>
      <w:r w:rsidR="4BA30B43">
        <w:rPr/>
        <w:t xml:space="preserve">Научный руководитель – </w:t>
      </w:r>
      <w:r w:rsidR="13A374DA">
        <w:rPr/>
        <w:t>кандидат физико-математических наук</w:t>
      </w:r>
      <w:r w:rsidR="4BA30B43">
        <w:rPr/>
        <w:t xml:space="preserve">, </w:t>
      </w:r>
      <w:r w:rsidR="41E56A95">
        <w:rPr/>
        <w:t xml:space="preserve">ведущий специалист центра ИИ и науки о данных </w:t>
      </w:r>
      <w:r w:rsidR="6FD87511">
        <w:rPr/>
        <w:t>Салищев Сергей Игоревич</w:t>
      </w:r>
    </w:p>
    <w:p w:rsidR="00FB480E" w:rsidP="00FB480E" w:rsidRDefault="00FB480E" w14:paraId="798157DE" w14:textId="4F25CB5A">
      <w:pPr>
        <w:pStyle w:val="a4"/>
        <w:ind w:left="0"/>
        <w:jc w:val="center"/>
      </w:pPr>
      <w:r w:rsidR="23C2BEFA">
        <w:rPr/>
        <w:t>(</w:t>
      </w:r>
      <w:r w:rsidR="05F2277C">
        <w:rPr/>
        <w:t>СПБГУ</w:t>
      </w:r>
      <w:r w:rsidR="23C2BEFA">
        <w:rPr/>
        <w:t>)</w:t>
      </w:r>
    </w:p>
    <w:p w:rsidR="00FB480E" w:rsidP="00FB480E" w:rsidRDefault="00FB480E" w14:paraId="7214D150" w14:textId="77777777">
      <w:pPr>
        <w:pStyle w:val="a4"/>
        <w:ind w:left="0"/>
        <w:jc w:val="both"/>
      </w:pPr>
    </w:p>
    <w:p w:rsidR="00FB480E" w:rsidP="00FB480E" w:rsidRDefault="00FB480E" w14:paraId="23AED909" w14:textId="5EA331A2">
      <w:pPr>
        <w:pStyle w:val="a4"/>
        <w:ind w:left="0" w:firstLine="567"/>
        <w:jc w:val="both"/>
      </w:pPr>
      <w:r w:rsidRPr="7628C0F2" w:rsidR="23C2BEFA">
        <w:rPr>
          <w:b w:val="1"/>
          <w:bCs w:val="1"/>
        </w:rPr>
        <w:t xml:space="preserve">Введение. </w:t>
      </w:r>
      <w:r w:rsidR="140D3FA9">
        <w:rPr>
          <w:b w:val="0"/>
          <w:bCs w:val="0"/>
        </w:rPr>
        <w:t>Современные AI-агенты на основе больших языковых моделей (LLM) способны автономно взаимодействовать с внешними сервисами через вызовы инструментов. Критической задачей является корректная маршрутизация пользовательского запроса к соответствующему инструменту. В системах поиска недвижимости это означает различение географических запросов («квартира у метро Сокол») и запросов по характеристикам объекта («квартира с камином»). Существующие исследования демонстрируют возможность обучения LLM выбору инструментов, однако требуют значительных вычислительных ресурсов [1]. Методы параметрически эффективного дообучения, в частности LoRA, позволяют адаптировать менее 1% параметров модели при сохранении качества [2]. Открытым остаётся вопрос минимально достаточного объёма данных для такой адаптации</w:t>
      </w:r>
    </w:p>
    <w:p w:rsidR="00FB480E" w:rsidP="00FB480E" w:rsidRDefault="00FB480E" w14:paraId="05C8E233" w14:textId="77777777">
      <w:pPr>
        <w:pStyle w:val="a4"/>
        <w:ind w:left="0"/>
        <w:jc w:val="both"/>
        <w:rPr>
          <w:b/>
        </w:rPr>
      </w:pPr>
    </w:p>
    <w:p w:rsidR="00FB480E" w:rsidP="7628C0F2" w:rsidRDefault="00FB480E" w14:paraId="5058206E" w14:textId="3B1A4715">
      <w:pPr>
        <w:pStyle w:val="a4"/>
        <w:ind w:left="0" w:firstLine="567"/>
        <w:jc w:val="both"/>
      </w:pPr>
      <w:r w:rsidRPr="7628C0F2" w:rsidR="23C2BEFA">
        <w:rPr>
          <w:b w:val="1"/>
          <w:bCs w:val="1"/>
        </w:rPr>
        <w:t xml:space="preserve">Основная часть. </w:t>
      </w:r>
      <w:r w:rsidR="2DF65307">
        <w:rPr/>
        <w:t xml:space="preserve">В работе исследуется гипотеза о том, что задача выбора инструмента является «поверхностной» относительно базовых знаний LLM и может быть решена дообучением на минимальных </w:t>
      </w:r>
      <w:r w:rsidR="2DF65307">
        <w:rPr/>
        <w:t xml:space="preserve">наборах </w:t>
      </w:r>
      <w:r w:rsidR="2DF65307">
        <w:rPr/>
        <w:t xml:space="preserve">данных. Для проверки гипотезы разработан экспериментальный </w:t>
      </w:r>
      <w:r w:rsidR="2DF65307">
        <w:rPr/>
        <w:t>пайплайн</w:t>
      </w:r>
      <w:r w:rsidR="2DF65307">
        <w:rPr/>
        <w:t>, включающий генерацию</w:t>
      </w:r>
      <w:r w:rsidR="2DF65307">
        <w:rPr/>
        <w:t xml:space="preserve"> синте</w:t>
      </w:r>
      <w:r w:rsidR="2DF65307">
        <w:rPr/>
        <w:t>т</w:t>
      </w:r>
      <w:r w:rsidR="2DF65307">
        <w:rPr/>
        <w:t>ическ</w:t>
      </w:r>
      <w:r w:rsidR="2DF65307">
        <w:rPr/>
        <w:t>ог</w:t>
      </w:r>
      <w:r w:rsidR="2DF65307">
        <w:rPr/>
        <w:t>о бенчма</w:t>
      </w:r>
      <w:r w:rsidR="2DF65307">
        <w:rPr/>
        <w:t xml:space="preserve">рка, автоматическую разметку </w:t>
      </w:r>
      <w:r w:rsidR="2DF65307">
        <w:rPr/>
        <w:t>ground</w:t>
      </w:r>
      <w:r w:rsidR="2DF65307">
        <w:rPr/>
        <w:t xml:space="preserve"> </w:t>
      </w:r>
      <w:r w:rsidR="2DF65307">
        <w:rPr/>
        <w:t>truth</w:t>
      </w:r>
      <w:r w:rsidR="2DF65307">
        <w:rPr/>
        <w:t xml:space="preserve">, </w:t>
      </w:r>
      <w:r w:rsidR="2DF65307">
        <w:rPr/>
        <w:t>инференс</w:t>
      </w:r>
      <w:r w:rsidR="2DF65307">
        <w:rPr/>
        <w:t xml:space="preserve"> модели и комплексную оценку качества.</w:t>
      </w:r>
    </w:p>
    <w:p w:rsidR="00FB480E" w:rsidP="7628C0F2" w:rsidRDefault="00FB480E" w14:paraId="7A0370E1" w14:textId="50F9546D">
      <w:pPr>
        <w:pStyle w:val="a4"/>
        <w:ind w:left="0" w:firstLine="567"/>
        <w:jc w:val="both"/>
      </w:pPr>
      <w:r w:rsidR="2DF65307">
        <w:rPr/>
        <w:t xml:space="preserve">Эксперименты проводились на модели </w:t>
      </w:r>
      <w:r w:rsidR="2DF65307">
        <w:rPr/>
        <w:t>YandexGPT</w:t>
      </w:r>
      <w:r w:rsidR="2DF65307">
        <w:rPr/>
        <w:t xml:space="preserve"> 5.1 с использованием метода </w:t>
      </w:r>
      <w:r w:rsidR="2DF65307">
        <w:rPr/>
        <w:t>LoRA</w:t>
      </w:r>
      <w:r w:rsidR="2DF65307">
        <w:rPr/>
        <w:t xml:space="preserve"> через Yandex </w:t>
      </w:r>
      <w:r w:rsidR="2DF65307">
        <w:rPr/>
        <w:t>Cloud</w:t>
      </w:r>
      <w:r w:rsidR="2DF65307">
        <w:rPr/>
        <w:t xml:space="preserve"> API. Базовая модель показала точность классификации инструментов 68,28% с выраженным систематическим смещением: 100% полнота для географических запросов при 41% полноте для теговых запросов. Анализ матрицы ошибок выявил, что 45% теговых запросов ошибочно классифицируются как географические.</w:t>
      </w:r>
    </w:p>
    <w:p w:rsidR="00FB480E" w:rsidP="7628C0F2" w:rsidRDefault="00FB480E" w14:paraId="01C506E5" w14:textId="7773C000">
      <w:pPr>
        <w:pStyle w:val="a4"/>
        <w:ind w:left="0" w:firstLine="567"/>
        <w:jc w:val="both"/>
      </w:pPr>
      <w:r w:rsidR="2DF65307">
        <w:rPr/>
        <w:t>Дообучение проводилось на наборах данных различного объёма. Для статистического обоснования результатов применялись бутстрап-оценки доверительных интервалов, тест Кохрена Q для общего сравнения обучающих наборов, попарные тесты Макнемара с поправкой на множественные сравнения. Построены кривые насыщения качества модели в зависимости от объёма обучающей выборки.</w:t>
      </w:r>
    </w:p>
    <w:p w:rsidR="00FB480E" w:rsidP="7628C0F2" w:rsidRDefault="00FB480E" w14:paraId="77433E46" w14:textId="72F36FB6">
      <w:pPr>
        <w:pStyle w:val="a4"/>
        <w:ind w:left="0" w:firstLine="567"/>
        <w:jc w:val="both"/>
      </w:pPr>
      <w:r w:rsidR="2DF65307">
        <w:rPr/>
        <w:t>Результаты подтверждают статистическую значимость улучшений: дообученные модели превосходят базовую по точности классификации. Выявлен оптимальный объём данных, после которого прирост качества становится несущественным, что подтверждает гипотезу о поверхностном характере выравнивания для задачи выбора инструментов.</w:t>
      </w:r>
    </w:p>
    <w:p w:rsidR="00FB480E" w:rsidP="7628C0F2" w:rsidRDefault="00FB480E" w14:paraId="4BDCB369" w14:textId="547AFEDB">
      <w:pPr>
        <w:pStyle w:val="a4"/>
        <w:ind w:left="0" w:firstLine="567"/>
        <w:jc w:val="both"/>
      </w:pPr>
    </w:p>
    <w:p w:rsidR="00FB480E" w:rsidP="7628C0F2" w:rsidRDefault="00FB480E" w14:paraId="2F23787A" w14:textId="1F34170C">
      <w:pPr>
        <w:pStyle w:val="a4"/>
        <w:ind w:left="0" w:firstLine="567"/>
        <w:jc w:val="both"/>
      </w:pPr>
    </w:p>
    <w:p w:rsidR="00FB480E" w:rsidP="00FB480E" w:rsidRDefault="00FB480E" w14:paraId="7ED1BAE8" w14:textId="308ABDEF">
      <w:pPr>
        <w:pStyle w:val="a4"/>
        <w:ind w:left="0" w:firstLine="567"/>
        <w:jc w:val="both"/>
      </w:pPr>
      <w:r w:rsidRPr="7628C0F2" w:rsidR="23C2BEFA">
        <w:rPr>
          <w:b w:val="1"/>
          <w:bCs w:val="1"/>
        </w:rPr>
        <w:t xml:space="preserve">Выводы. </w:t>
      </w:r>
      <w:r w:rsidR="362FB3C2">
        <w:rPr/>
        <w:t xml:space="preserve">Исследование демонстрирует эффективность метода </w:t>
      </w:r>
      <w:r w:rsidR="362FB3C2">
        <w:rPr/>
        <w:t>LoRA</w:t>
      </w:r>
      <w:r w:rsidR="362FB3C2">
        <w:rPr/>
        <w:t xml:space="preserve"> для адаптации LLM к задаче классификации инструментов на минимальных наборах данных. Практическая значимость работы заключается в возможности быстрой интеграции новых инструментов в </w:t>
      </w:r>
      <w:r w:rsidR="362FB3C2">
        <w:rPr/>
        <w:t>production</w:t>
      </w:r>
      <w:r w:rsidR="362FB3C2">
        <w:rPr/>
        <w:t xml:space="preserve">-системы AI-агентов без масштабного сбора данных. </w:t>
      </w:r>
    </w:p>
    <w:p w:rsidR="00FB480E" w:rsidP="00FB480E" w:rsidRDefault="00FB480E" w14:paraId="4EFC4746" w14:textId="77777777">
      <w:pPr>
        <w:jc w:val="both"/>
        <w:rPr>
          <w:b/>
          <w:bCs/>
        </w:rPr>
      </w:pPr>
    </w:p>
    <w:p w:rsidR="00FB480E" w:rsidP="00FB480E" w:rsidRDefault="00FB480E" w14:paraId="3F471EF9" w14:textId="77777777">
      <w:pPr>
        <w:jc w:val="both"/>
      </w:pPr>
      <w:r w:rsidRPr="00EB0D2C">
        <w:rPr>
          <w:b/>
          <w:bCs/>
        </w:rPr>
        <w:t>Список использованных источников</w:t>
      </w:r>
      <w:r>
        <w:t>:</w:t>
      </w:r>
    </w:p>
    <w:p w:rsidR="00FB480E" w:rsidP="00FB480E" w:rsidRDefault="00FB480E" w14:paraId="267C086E" w14:noSpellErr="1" w14:textId="3CC953E3">
      <w:pPr>
        <w:jc w:val="both"/>
      </w:pPr>
    </w:p>
    <w:p w:rsidR="468A7961" w:rsidP="7628C0F2" w:rsidRDefault="468A7961" w14:paraId="48DC0ACF" w14:textId="600B9F4B">
      <w:pPr>
        <w:pStyle w:val="a3"/>
        <w:widowControl w:val="0"/>
        <w:numPr>
          <w:ilvl w:val="0"/>
          <w:numId w:val="3"/>
        </w:numPr>
        <w:tabs>
          <w:tab w:val="left" w:leader="none" w:pos="993"/>
        </w:tabs>
        <w:spacing/>
        <w:ind w:left="0" w:firstLine="567"/>
        <w:contextualSpacing w:val="0"/>
        <w:jc w:val="both"/>
        <w:rPr/>
      </w:pPr>
      <w:r w:rsidR="468A7961">
        <w:rPr/>
        <w:t>Schick</w:t>
      </w:r>
      <w:r w:rsidR="468A7961">
        <w:rPr/>
        <w:t xml:space="preserve"> T., </w:t>
      </w:r>
      <w:r w:rsidR="468A7961">
        <w:rPr/>
        <w:t>Dwivedi-Yu</w:t>
      </w:r>
      <w:r w:rsidR="468A7961">
        <w:rPr/>
        <w:t xml:space="preserve"> J., </w:t>
      </w:r>
      <w:r w:rsidR="468A7961">
        <w:rPr/>
        <w:t>Dessì</w:t>
      </w:r>
      <w:r w:rsidR="468A7961">
        <w:rPr/>
        <w:t xml:space="preserve"> R. </w:t>
      </w:r>
      <w:r w:rsidR="468A7961">
        <w:rPr/>
        <w:t>et</w:t>
      </w:r>
      <w:r w:rsidR="468A7961">
        <w:rPr/>
        <w:t xml:space="preserve"> </w:t>
      </w:r>
      <w:r w:rsidR="468A7961">
        <w:rPr/>
        <w:t>al</w:t>
      </w:r>
      <w:r w:rsidR="468A7961">
        <w:rPr/>
        <w:t xml:space="preserve">. </w:t>
      </w:r>
      <w:r w:rsidR="468A7961">
        <w:rPr/>
        <w:t>Toolformer</w:t>
      </w:r>
      <w:r w:rsidR="468A7961">
        <w:rPr/>
        <w:t xml:space="preserve">: Language </w:t>
      </w:r>
      <w:r w:rsidR="468A7961">
        <w:rPr/>
        <w:t>Models</w:t>
      </w:r>
      <w:r w:rsidR="468A7961">
        <w:rPr/>
        <w:t xml:space="preserve"> </w:t>
      </w:r>
      <w:r w:rsidR="468A7961">
        <w:rPr/>
        <w:t>Can</w:t>
      </w:r>
      <w:r w:rsidR="468A7961">
        <w:rPr/>
        <w:t xml:space="preserve"> </w:t>
      </w:r>
      <w:r w:rsidR="468A7961">
        <w:rPr/>
        <w:t>Teach</w:t>
      </w:r>
      <w:r w:rsidR="468A7961">
        <w:rPr/>
        <w:t xml:space="preserve"> </w:t>
      </w:r>
      <w:r w:rsidR="468A7961">
        <w:rPr/>
        <w:t>Themselves</w:t>
      </w:r>
      <w:r w:rsidR="468A7961">
        <w:rPr/>
        <w:t xml:space="preserve"> </w:t>
      </w:r>
      <w:r w:rsidR="468A7961">
        <w:rPr/>
        <w:t>to</w:t>
      </w:r>
      <w:r w:rsidR="468A7961">
        <w:rPr/>
        <w:t xml:space="preserve"> </w:t>
      </w:r>
      <w:r w:rsidR="468A7961">
        <w:rPr/>
        <w:t>Use</w:t>
      </w:r>
      <w:r w:rsidR="468A7961">
        <w:rPr/>
        <w:t xml:space="preserve"> Tools // </w:t>
      </w:r>
      <w:r w:rsidR="468A7961">
        <w:rPr/>
        <w:t>Advances</w:t>
      </w:r>
      <w:r w:rsidR="468A7961">
        <w:rPr/>
        <w:t xml:space="preserve"> </w:t>
      </w:r>
      <w:r w:rsidR="468A7961">
        <w:rPr/>
        <w:t>in</w:t>
      </w:r>
      <w:r w:rsidR="468A7961">
        <w:rPr/>
        <w:t xml:space="preserve"> </w:t>
      </w:r>
      <w:r w:rsidR="468A7961">
        <w:rPr/>
        <w:t>Neural</w:t>
      </w:r>
      <w:r w:rsidR="468A7961">
        <w:rPr/>
        <w:t xml:space="preserve"> Information Processing Systems. — 2023.</w:t>
      </w:r>
    </w:p>
    <w:p w:rsidR="7628C0F2" w:rsidP="36BE7351" w:rsidRDefault="7628C0F2" w14:paraId="545AD8CF" w14:textId="6C83D358">
      <w:pPr>
        <w:pStyle w:val="a3"/>
        <w:widowControl w:val="0"/>
        <w:numPr>
          <w:ilvl w:val="0"/>
          <w:numId w:val="3"/>
        </w:numPr>
        <w:tabs>
          <w:tab w:val="left" w:leader="none" w:pos="993"/>
        </w:tabs>
        <w:spacing/>
        <w:ind w:left="0" w:firstLine="567"/>
        <w:contextualSpacing w:val="0"/>
        <w:jc w:val="both"/>
        <w:rPr>
          <w:sz w:val="24"/>
          <w:szCs w:val="24"/>
          <w:lang w:val="en-US"/>
        </w:rPr>
      </w:pPr>
      <w:r w:rsidRPr="36BE7351" w:rsidR="40CAD95A">
        <w:rPr>
          <w:lang w:val="en-US"/>
        </w:rPr>
        <w:t xml:space="preserve">Hu E.J., Shen Y., Wallis P. et al. </w:t>
      </w:r>
      <w:r w:rsidRPr="36BE7351" w:rsidR="40CAD95A">
        <w:rPr>
          <w:lang w:val="en-US"/>
        </w:rPr>
        <w:t>LoRA</w:t>
      </w:r>
      <w:r w:rsidRPr="36BE7351" w:rsidR="40CAD95A">
        <w:rPr>
          <w:lang w:val="en-US"/>
        </w:rPr>
        <w:t>: Low-Rank Adaptation of Large Language Models // International Conference on Learning Representations. — 2022.</w:t>
      </w:r>
    </w:p>
    <w:p w:rsidR="007C07B6" w:rsidRDefault="007C07B6" w14:paraId="29A4CF39" w14:textId="77777777"/>
    <w:sectPr w:rsidR="007C07B6" w:rsidSect="000F1476">
      <w:pgSz w:w="11906" w:h="16838" w:orient="portrait"/>
      <w:pgMar w:top="1134" w:right="1133" w:bottom="1276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0071E"/>
    <w:multiLevelType w:val="hybridMultilevel"/>
    <w:tmpl w:val="CF6C06DA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>
      <w:start w:val="1"/>
      <w:numFmt w:val="lowerLetter"/>
      <w:lvlText w:val="%2."/>
      <w:lvlJc w:val="left"/>
      <w:pPr>
        <w:ind w:left="2007" w:hanging="360"/>
      </w:pPr>
    </w:lvl>
    <w:lvl w:ilvl="2" w:tplc="FFFFFFFF">
      <w:start w:val="1"/>
      <w:numFmt w:val="lowerRoman"/>
      <w:lvlText w:val="%3."/>
      <w:lvlJc w:val="right"/>
      <w:pPr>
        <w:ind w:left="2727" w:hanging="180"/>
      </w:pPr>
    </w:lvl>
    <w:lvl w:ilvl="3" w:tplc="FFFFFFFF">
      <w:start w:val="1"/>
      <w:numFmt w:val="decimal"/>
      <w:lvlText w:val="%4."/>
      <w:lvlJc w:val="left"/>
      <w:pPr>
        <w:ind w:left="3447" w:hanging="360"/>
      </w:pPr>
    </w:lvl>
    <w:lvl w:ilvl="4" w:tplc="FFFFFFFF">
      <w:start w:val="1"/>
      <w:numFmt w:val="lowerLetter"/>
      <w:lvlText w:val="%5."/>
      <w:lvlJc w:val="left"/>
      <w:pPr>
        <w:ind w:left="4167" w:hanging="360"/>
      </w:pPr>
    </w:lvl>
    <w:lvl w:ilvl="5" w:tplc="FFFFFFFF">
      <w:start w:val="1"/>
      <w:numFmt w:val="lowerRoman"/>
      <w:lvlText w:val="%6."/>
      <w:lvlJc w:val="right"/>
      <w:pPr>
        <w:ind w:left="4887" w:hanging="180"/>
      </w:pPr>
    </w:lvl>
    <w:lvl w:ilvl="6" w:tplc="FFFFFFFF">
      <w:start w:val="1"/>
      <w:numFmt w:val="decimal"/>
      <w:lvlText w:val="%7."/>
      <w:lvlJc w:val="left"/>
      <w:pPr>
        <w:ind w:left="5607" w:hanging="360"/>
      </w:pPr>
    </w:lvl>
    <w:lvl w:ilvl="7" w:tplc="FFFFFFFF">
      <w:start w:val="1"/>
      <w:numFmt w:val="lowerLetter"/>
      <w:lvlText w:val="%8."/>
      <w:lvlJc w:val="left"/>
      <w:pPr>
        <w:ind w:left="6327" w:hanging="360"/>
      </w:pPr>
    </w:lvl>
    <w:lvl w:ilvl="8" w:tplc="FFFFFFFF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3BC37024"/>
    <w:multiLevelType w:val="hybridMultilevel"/>
    <w:tmpl w:val="D8B66540"/>
    <w:lvl w:ilvl="0" w:tplc="BBB6E0C8">
      <w:start w:val="1"/>
      <w:numFmt w:val="decimal"/>
      <w:lvlText w:val="%1)"/>
      <w:lvlJc w:val="left"/>
      <w:pPr>
        <w:ind w:left="192" w:hanging="260"/>
      </w:pPr>
      <w:rPr>
        <w:rFonts w:hint="default" w:ascii="Times New Roman" w:hAnsi="Times New Roman" w:eastAsia="Times New Roman" w:cs="Times New Roman"/>
        <w:spacing w:val="-4"/>
        <w:w w:val="100"/>
        <w:sz w:val="24"/>
        <w:szCs w:val="24"/>
        <w:lang w:val="ru-RU" w:eastAsia="ru-RU" w:bidi="ru-RU"/>
      </w:rPr>
    </w:lvl>
    <w:lvl w:ilvl="1" w:tplc="01E873C4">
      <w:numFmt w:val="bullet"/>
      <w:lvlText w:val="•"/>
      <w:lvlJc w:val="left"/>
      <w:pPr>
        <w:ind w:left="1174" w:hanging="260"/>
      </w:pPr>
      <w:rPr>
        <w:rFonts w:hint="default"/>
        <w:lang w:val="ru-RU" w:eastAsia="ru-RU" w:bidi="ru-RU"/>
      </w:rPr>
    </w:lvl>
    <w:lvl w:ilvl="2" w:tplc="981C118A">
      <w:numFmt w:val="bullet"/>
      <w:lvlText w:val="•"/>
      <w:lvlJc w:val="left"/>
      <w:pPr>
        <w:ind w:left="2149" w:hanging="260"/>
      </w:pPr>
      <w:rPr>
        <w:rFonts w:hint="default"/>
        <w:lang w:val="ru-RU" w:eastAsia="ru-RU" w:bidi="ru-RU"/>
      </w:rPr>
    </w:lvl>
    <w:lvl w:ilvl="3" w:tplc="5D38A0B2">
      <w:numFmt w:val="bullet"/>
      <w:lvlText w:val="•"/>
      <w:lvlJc w:val="left"/>
      <w:pPr>
        <w:ind w:left="3123" w:hanging="260"/>
      </w:pPr>
      <w:rPr>
        <w:rFonts w:hint="default"/>
        <w:lang w:val="ru-RU" w:eastAsia="ru-RU" w:bidi="ru-RU"/>
      </w:rPr>
    </w:lvl>
    <w:lvl w:ilvl="4" w:tplc="38D0F0CC">
      <w:numFmt w:val="bullet"/>
      <w:lvlText w:val="•"/>
      <w:lvlJc w:val="left"/>
      <w:pPr>
        <w:ind w:left="4098" w:hanging="260"/>
      </w:pPr>
      <w:rPr>
        <w:rFonts w:hint="default"/>
        <w:lang w:val="ru-RU" w:eastAsia="ru-RU" w:bidi="ru-RU"/>
      </w:rPr>
    </w:lvl>
    <w:lvl w:ilvl="5" w:tplc="5344E176">
      <w:numFmt w:val="bullet"/>
      <w:lvlText w:val="•"/>
      <w:lvlJc w:val="left"/>
      <w:pPr>
        <w:ind w:left="5073" w:hanging="260"/>
      </w:pPr>
      <w:rPr>
        <w:rFonts w:hint="default"/>
        <w:lang w:val="ru-RU" w:eastAsia="ru-RU" w:bidi="ru-RU"/>
      </w:rPr>
    </w:lvl>
    <w:lvl w:ilvl="6" w:tplc="024EEC36">
      <w:numFmt w:val="bullet"/>
      <w:lvlText w:val="•"/>
      <w:lvlJc w:val="left"/>
      <w:pPr>
        <w:ind w:left="6047" w:hanging="260"/>
      </w:pPr>
      <w:rPr>
        <w:rFonts w:hint="default"/>
        <w:lang w:val="ru-RU" w:eastAsia="ru-RU" w:bidi="ru-RU"/>
      </w:rPr>
    </w:lvl>
    <w:lvl w:ilvl="7" w:tplc="92B24160">
      <w:numFmt w:val="bullet"/>
      <w:lvlText w:val="•"/>
      <w:lvlJc w:val="left"/>
      <w:pPr>
        <w:ind w:left="7022" w:hanging="260"/>
      </w:pPr>
      <w:rPr>
        <w:rFonts w:hint="default"/>
        <w:lang w:val="ru-RU" w:eastAsia="ru-RU" w:bidi="ru-RU"/>
      </w:rPr>
    </w:lvl>
    <w:lvl w:ilvl="8" w:tplc="5C9E864C">
      <w:numFmt w:val="bullet"/>
      <w:lvlText w:val="•"/>
      <w:lvlJc w:val="left"/>
      <w:pPr>
        <w:ind w:left="7997" w:hanging="260"/>
      </w:pPr>
      <w:rPr>
        <w:rFonts w:hint="default"/>
        <w:lang w:val="ru-RU" w:eastAsia="ru-RU" w:bidi="ru-RU"/>
      </w:rPr>
    </w:lvl>
  </w:abstractNum>
  <w:abstractNum w:abstractNumId="2" w15:restartNumberingAfterBreak="0">
    <w:nsid w:val="54E52CE9"/>
    <w:multiLevelType w:val="hybridMultilevel"/>
    <w:tmpl w:val="66647652"/>
    <w:lvl w:ilvl="0" w:tplc="A7C01CA8">
      <w:start w:val="1"/>
      <w:numFmt w:val="decimal"/>
      <w:lvlText w:val="%1)"/>
      <w:lvlJc w:val="left"/>
      <w:pPr>
        <w:ind w:left="198" w:hanging="260"/>
        <w:jc w:val="right"/>
      </w:pPr>
      <w:rPr>
        <w:rFonts w:hint="default" w:ascii="Times New Roman" w:hAnsi="Times New Roman" w:eastAsia="Times New Roman" w:cs="Times New Roman"/>
        <w:spacing w:val="-2"/>
        <w:w w:val="100"/>
        <w:sz w:val="24"/>
        <w:szCs w:val="24"/>
        <w:lang w:val="ru-RU" w:eastAsia="ru-RU" w:bidi="ru-RU"/>
      </w:rPr>
    </w:lvl>
    <w:lvl w:ilvl="1" w:tplc="B7A277F0">
      <w:numFmt w:val="bullet"/>
      <w:lvlText w:val="•"/>
      <w:lvlJc w:val="left"/>
      <w:pPr>
        <w:ind w:left="1174" w:hanging="260"/>
      </w:pPr>
      <w:rPr>
        <w:rFonts w:hint="default"/>
        <w:lang w:val="ru-RU" w:eastAsia="ru-RU" w:bidi="ru-RU"/>
      </w:rPr>
    </w:lvl>
    <w:lvl w:ilvl="2" w:tplc="B8C29748">
      <w:numFmt w:val="bullet"/>
      <w:lvlText w:val="•"/>
      <w:lvlJc w:val="left"/>
      <w:pPr>
        <w:ind w:left="2149" w:hanging="260"/>
      </w:pPr>
      <w:rPr>
        <w:rFonts w:hint="default"/>
        <w:lang w:val="ru-RU" w:eastAsia="ru-RU" w:bidi="ru-RU"/>
      </w:rPr>
    </w:lvl>
    <w:lvl w:ilvl="3" w:tplc="19D8B78A">
      <w:numFmt w:val="bullet"/>
      <w:lvlText w:val="•"/>
      <w:lvlJc w:val="left"/>
      <w:pPr>
        <w:ind w:left="3123" w:hanging="260"/>
      </w:pPr>
      <w:rPr>
        <w:rFonts w:hint="default"/>
        <w:lang w:val="ru-RU" w:eastAsia="ru-RU" w:bidi="ru-RU"/>
      </w:rPr>
    </w:lvl>
    <w:lvl w:ilvl="4" w:tplc="96DCE800">
      <w:numFmt w:val="bullet"/>
      <w:lvlText w:val="•"/>
      <w:lvlJc w:val="left"/>
      <w:pPr>
        <w:ind w:left="4098" w:hanging="260"/>
      </w:pPr>
      <w:rPr>
        <w:rFonts w:hint="default"/>
        <w:lang w:val="ru-RU" w:eastAsia="ru-RU" w:bidi="ru-RU"/>
      </w:rPr>
    </w:lvl>
    <w:lvl w:ilvl="5" w:tplc="E1FAC224">
      <w:numFmt w:val="bullet"/>
      <w:lvlText w:val="•"/>
      <w:lvlJc w:val="left"/>
      <w:pPr>
        <w:ind w:left="5073" w:hanging="260"/>
      </w:pPr>
      <w:rPr>
        <w:rFonts w:hint="default"/>
        <w:lang w:val="ru-RU" w:eastAsia="ru-RU" w:bidi="ru-RU"/>
      </w:rPr>
    </w:lvl>
    <w:lvl w:ilvl="6" w:tplc="7EFAD630">
      <w:numFmt w:val="bullet"/>
      <w:lvlText w:val="•"/>
      <w:lvlJc w:val="left"/>
      <w:pPr>
        <w:ind w:left="6047" w:hanging="260"/>
      </w:pPr>
      <w:rPr>
        <w:rFonts w:hint="default"/>
        <w:lang w:val="ru-RU" w:eastAsia="ru-RU" w:bidi="ru-RU"/>
      </w:rPr>
    </w:lvl>
    <w:lvl w:ilvl="7" w:tplc="94DE7748">
      <w:numFmt w:val="bullet"/>
      <w:lvlText w:val="•"/>
      <w:lvlJc w:val="left"/>
      <w:pPr>
        <w:ind w:left="7022" w:hanging="260"/>
      </w:pPr>
      <w:rPr>
        <w:rFonts w:hint="default"/>
        <w:lang w:val="ru-RU" w:eastAsia="ru-RU" w:bidi="ru-RU"/>
      </w:rPr>
    </w:lvl>
    <w:lvl w:ilvl="8" w:tplc="941A3106">
      <w:numFmt w:val="bullet"/>
      <w:lvlText w:val="•"/>
      <w:lvlJc w:val="left"/>
      <w:pPr>
        <w:ind w:left="7997" w:hanging="260"/>
      </w:pPr>
      <w:rPr>
        <w:rFonts w:hint="default"/>
        <w:lang w:val="ru-RU" w:eastAsia="ru-RU" w:bidi="ru-RU"/>
      </w:rPr>
    </w:lvl>
  </w:abstractNum>
  <w:num w:numId="1" w16cid:durableId="156925099">
    <w:abstractNumId w:val="1"/>
  </w:num>
  <w:num w:numId="2" w16cid:durableId="59059305">
    <w:abstractNumId w:val="2"/>
  </w:num>
  <w:num w:numId="3" w16cid:durableId="1182742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0E"/>
    <w:rsid w:val="00435EAE"/>
    <w:rsid w:val="007C07B6"/>
    <w:rsid w:val="008555F0"/>
    <w:rsid w:val="009E20BA"/>
    <w:rsid w:val="00FB480E"/>
    <w:rsid w:val="05F2277C"/>
    <w:rsid w:val="07129B42"/>
    <w:rsid w:val="13A374DA"/>
    <w:rsid w:val="140D3FA9"/>
    <w:rsid w:val="16BB7684"/>
    <w:rsid w:val="1AA3AFB4"/>
    <w:rsid w:val="23C2BEFA"/>
    <w:rsid w:val="2DF65307"/>
    <w:rsid w:val="2E982BF7"/>
    <w:rsid w:val="2EC4998D"/>
    <w:rsid w:val="309E94C3"/>
    <w:rsid w:val="31B79EB4"/>
    <w:rsid w:val="3272DEDB"/>
    <w:rsid w:val="362FB3C2"/>
    <w:rsid w:val="36BE7351"/>
    <w:rsid w:val="3783DEC8"/>
    <w:rsid w:val="40CAD95A"/>
    <w:rsid w:val="41E56A95"/>
    <w:rsid w:val="41F60F73"/>
    <w:rsid w:val="42D4E081"/>
    <w:rsid w:val="43301D3A"/>
    <w:rsid w:val="468A7961"/>
    <w:rsid w:val="4BA30B43"/>
    <w:rsid w:val="51B0F55F"/>
    <w:rsid w:val="667E5F0C"/>
    <w:rsid w:val="692CF32E"/>
    <w:rsid w:val="6FD87511"/>
    <w:rsid w:val="7018B27B"/>
    <w:rsid w:val="7021488E"/>
    <w:rsid w:val="72FB9C8B"/>
    <w:rsid w:val="75880C95"/>
    <w:rsid w:val="7628C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69EDD"/>
  <w15:chartTrackingRefBased/>
  <w15:docId w15:val="{1291B470-3D17-411F-8F66-48509B70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FB480E"/>
    <w:pPr>
      <w:spacing w:after="0" w:line="240" w:lineRule="auto"/>
    </w:pPr>
    <w:rPr>
      <w:rFonts w:ascii="Times New Roman" w:hAnsi="Times New Roman" w:eastAsia="Calibri" w:cs="Times New Roman"/>
      <w:kern w:val="0"/>
      <w:sz w:val="24"/>
      <w:szCs w:val="24"/>
    </w:rPr>
  </w:style>
  <w:style w:type="paragraph" w:styleId="1">
    <w:name w:val="heading 1"/>
    <w:basedOn w:val="a"/>
    <w:link w:val="10"/>
    <w:uiPriority w:val="9"/>
    <w:qFormat/>
    <w:rsid w:val="00FB480E"/>
    <w:pPr>
      <w:widowControl w:val="0"/>
      <w:autoSpaceDE w:val="0"/>
      <w:autoSpaceDN w:val="0"/>
      <w:ind w:left="735"/>
      <w:jc w:val="center"/>
      <w:outlineLvl w:val="0"/>
    </w:pPr>
    <w:rPr>
      <w:rFonts w:eastAsia="Times New Roman"/>
      <w:b/>
      <w:bCs/>
      <w:lang w:eastAsia="ru-RU" w:bidi="ru-RU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FB480E"/>
    <w:rPr>
      <w:rFonts w:ascii="Times New Roman" w:hAnsi="Times New Roman" w:eastAsia="Times New Roman" w:cs="Times New Roman"/>
      <w:b/>
      <w:bCs/>
      <w:kern w:val="0"/>
      <w:sz w:val="24"/>
      <w:szCs w:val="24"/>
      <w:lang w:eastAsia="ru-RU" w:bidi="ru-RU"/>
    </w:rPr>
  </w:style>
  <w:style w:type="paragraph" w:styleId="a3">
    <w:name w:val="List Paragraph"/>
    <w:basedOn w:val="a"/>
    <w:uiPriority w:val="1"/>
    <w:qFormat/>
    <w:rsid w:val="00FB480E"/>
    <w:pPr>
      <w:ind w:left="720"/>
      <w:contextualSpacing/>
    </w:pPr>
  </w:style>
  <w:style w:type="paragraph" w:styleId="a4">
    <w:name w:val="Body Text"/>
    <w:basedOn w:val="a"/>
    <w:link w:val="a5"/>
    <w:uiPriority w:val="1"/>
    <w:qFormat/>
    <w:rsid w:val="00FB480E"/>
    <w:pPr>
      <w:widowControl w:val="0"/>
      <w:autoSpaceDE w:val="0"/>
      <w:autoSpaceDN w:val="0"/>
      <w:ind w:left="192"/>
    </w:pPr>
    <w:rPr>
      <w:rFonts w:eastAsia="Times New Roman"/>
      <w:lang w:eastAsia="ru-RU" w:bidi="ru-RU"/>
    </w:rPr>
  </w:style>
  <w:style w:type="character" w:styleId="a5" w:customStyle="1">
    <w:name w:val="Основной текст Знак"/>
    <w:basedOn w:val="a0"/>
    <w:link w:val="a4"/>
    <w:uiPriority w:val="1"/>
    <w:rsid w:val="00FB480E"/>
    <w:rPr>
      <w:rFonts w:ascii="Times New Roman" w:hAnsi="Times New Roman" w:eastAsia="Times New Roman" w:cs="Times New Roman"/>
      <w:kern w:val="0"/>
      <w:sz w:val="24"/>
      <w:szCs w:val="24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Липин Дмитрий Александрович</dc:creator>
  <keywords/>
  <dc:description/>
  <lastModifiedBy>Андрей Горршко</lastModifiedBy>
  <revision>4</revision>
  <dcterms:created xsi:type="dcterms:W3CDTF">2023-12-14T08:14:00.0000000Z</dcterms:created>
  <dcterms:modified xsi:type="dcterms:W3CDTF">2026-02-28T18:47:22.3304114Z</dcterms:modified>
</coreProperties>
</file>