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255"/>
        <w:tabs>
          <w:tab w:val="num" w:pos="360" w:leader="none"/>
          <w:tab w:val="left" w:pos="822" w:leader="none"/>
        </w:tabs>
      </w:pPr>
      <w:r/>
      <w:r/>
    </w:p>
    <w:p>
      <w:pPr>
        <w:pStyle w:val="656"/>
        <w:jc w:val="center"/>
        <w:tabs>
          <w:tab w:val="left" w:pos="822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Политика в области информационной безопасности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56"/>
        <w:jc w:val="center"/>
        <w:tabs>
          <w:tab w:val="left" w:pos="822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56"/>
        <w:numPr>
          <w:ilvl w:val="0"/>
          <w:numId w:val="1"/>
        </w:numPr>
        <w:ind w:left="0" w:firstLine="709"/>
        <w:spacing w:before="0"/>
        <w:tabs>
          <w:tab w:val="num" w:pos="284" w:leader="none"/>
          <w:tab w:val="left" w:pos="822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Вводные положения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63"/>
        <w:numPr>
          <w:ilvl w:val="1"/>
          <w:numId w:val="1"/>
        </w:numPr>
        <w:ind w:left="0" w:right="162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/>
      <w:bookmarkStart w:id="0" w:name="_bookmark1"/>
      <w:r/>
      <w:bookmarkEnd w:id="0"/>
      <w:r>
        <w:rPr>
          <w:rFonts w:ascii="Arial Narrow" w:hAnsi="Arial Narrow"/>
          <w:lang w:eastAsia="ru-RU"/>
        </w:rPr>
        <w:t xml:space="preserve">Настоящая Политика</w:t>
      </w:r>
      <w:r>
        <w:rPr>
          <w:rFonts w:ascii="Arial Narrow" w:hAnsi="Arial Narrow"/>
          <w:lang w:eastAsia="ru-RU"/>
        </w:rPr>
        <w:t xml:space="preserve"> в области информационной безопасности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(далее - Политика) </w:t>
      </w:r>
      <w:r>
        <w:rPr>
          <w:rFonts w:ascii="Arial Narrow" w:hAnsi="Arial Narrow"/>
          <w:lang w:eastAsia="ru-RU"/>
        </w:rPr>
        <w:t xml:space="preserve">является основополагающим документом, предназначенным для выражения позиции</w:t>
      </w:r>
      <w:r>
        <w:rPr>
          <w:rFonts w:ascii="Arial Narrow" w:hAnsi="Arial Narrow"/>
          <w:lang w:eastAsia="ru-RU"/>
        </w:rPr>
        <w:t xml:space="preserve">  </w:t>
      </w:r>
      <w:r>
        <w:rPr>
          <w:rFonts w:ascii="Arial Narrow" w:hAnsi="Arial Narrow"/>
          <w:lang w:eastAsia="ru-RU"/>
        </w:rPr>
        <w:t xml:space="preserve">ООО «УК </w:t>
      </w:r>
      <w:r>
        <w:rPr>
          <w:rFonts w:ascii="Arial Narrow" w:hAnsi="Arial Narrow"/>
          <w:lang w:eastAsia="ru-RU"/>
        </w:rPr>
        <w:t xml:space="preserve">Волгаэнергором</w:t>
      </w:r>
      <w:r>
        <w:rPr>
          <w:rFonts w:ascii="Arial Narrow" w:hAnsi="Arial Narrow"/>
          <w:lang w:eastAsia="ru-RU"/>
        </w:rPr>
        <w:t xml:space="preserve">», ООО «ГК </w:t>
      </w:r>
      <w:r>
        <w:rPr>
          <w:rFonts w:ascii="Arial Narrow" w:hAnsi="Arial Narrow"/>
          <w:lang w:eastAsia="ru-RU"/>
        </w:rPr>
        <w:t xml:space="preserve">Волгаэнергопром</w:t>
      </w:r>
      <w:r>
        <w:rPr>
          <w:rFonts w:ascii="Arial Narrow" w:hAnsi="Arial Narrow"/>
          <w:lang w:eastAsia="ru-RU"/>
        </w:rPr>
        <w:t xml:space="preserve">», ООО «ТСК </w:t>
      </w:r>
      <w:r>
        <w:rPr>
          <w:rFonts w:ascii="Arial Narrow" w:hAnsi="Arial Narrow"/>
          <w:lang w:eastAsia="ru-RU"/>
        </w:rPr>
        <w:t xml:space="preserve">Волгаэнергопром</w:t>
      </w:r>
      <w:r>
        <w:rPr>
          <w:rFonts w:ascii="Arial Narrow" w:hAnsi="Arial Narrow"/>
          <w:lang w:eastAsia="ru-RU"/>
        </w:rPr>
        <w:t xml:space="preserve">», ООО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«</w:t>
      </w:r>
      <w:r>
        <w:rPr>
          <w:rFonts w:ascii="Arial Narrow" w:hAnsi="Arial Narrow"/>
          <w:lang w:eastAsia="ru-RU"/>
        </w:rPr>
        <w:t xml:space="preserve">Велдинг</w:t>
      </w:r>
      <w:r>
        <w:rPr>
          <w:rFonts w:ascii="Arial Narrow" w:hAnsi="Arial Narrow"/>
          <w:lang w:eastAsia="ru-RU"/>
        </w:rPr>
        <w:t xml:space="preserve"> Групп Самара», ООО «</w:t>
      </w:r>
      <w:r>
        <w:rPr>
          <w:rFonts w:ascii="Arial Narrow" w:hAnsi="Arial Narrow"/>
          <w:lang w:eastAsia="ru-RU"/>
        </w:rPr>
        <w:t xml:space="preserve">Тесвел</w:t>
      </w:r>
      <w:r>
        <w:rPr>
          <w:rFonts w:ascii="Arial Narrow" w:hAnsi="Arial Narrow"/>
          <w:lang w:eastAsia="ru-RU"/>
        </w:rPr>
        <w:t xml:space="preserve">»,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ООО «ВЭП-Робототехника», ООО «</w:t>
      </w:r>
      <w:r>
        <w:rPr>
          <w:rFonts w:ascii="Arial Narrow" w:hAnsi="Arial Narrow"/>
          <w:lang w:eastAsia="ru-RU"/>
        </w:rPr>
        <w:t xml:space="preserve">Центр Технических Компетенций ВЭП</w:t>
      </w:r>
      <w:r>
        <w:rPr>
          <w:rFonts w:ascii="Arial Narrow" w:hAnsi="Arial Narrow"/>
          <w:lang w:eastAsia="ru-RU"/>
        </w:rPr>
        <w:t xml:space="preserve">»</w:t>
      </w:r>
      <w:r>
        <w:rPr>
          <w:rFonts w:ascii="Arial Narrow" w:hAnsi="Arial Narrow"/>
          <w:lang w:eastAsia="ru-RU"/>
        </w:rPr>
        <w:t xml:space="preserve">,</w:t>
      </w:r>
      <w:r>
        <w:rPr>
          <w:rFonts w:ascii="Arial Narrow" w:hAnsi="Arial Narrow"/>
          <w:lang w:eastAsia="ru-RU"/>
        </w:rPr>
        <w:t xml:space="preserve"> ООО «Самарский завод Энергия», ООО «ВЭП-Сервис»,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ИП Исайкин (</w:t>
      </w:r>
      <w:r>
        <w:rPr>
          <w:rFonts w:ascii="Arial Narrow" w:hAnsi="Arial Narrow"/>
          <w:lang w:eastAsia="ru-RU"/>
        </w:rPr>
        <w:t xml:space="preserve">Далее</w:t>
      </w:r>
      <w:r>
        <w:rPr>
          <w:rFonts w:ascii="Arial Narrow" w:hAnsi="Arial Narrow"/>
          <w:lang w:eastAsia="ru-RU"/>
        </w:rPr>
        <w:t xml:space="preserve"> - </w:t>
      </w:r>
      <w:r>
        <w:rPr>
          <w:rFonts w:ascii="Arial Narrow" w:hAnsi="Arial Narrow"/>
          <w:lang w:eastAsia="ru-RU"/>
        </w:rPr>
        <w:t xml:space="preserve">Группа Компаний</w:t>
      </w:r>
      <w:r>
        <w:rPr>
          <w:rFonts w:ascii="Arial Narrow" w:hAnsi="Arial Narrow"/>
          <w:lang w:eastAsia="ru-RU"/>
        </w:rPr>
        <w:t xml:space="preserve">)</w:t>
      </w:r>
      <w:r>
        <w:rPr>
          <w:rFonts w:ascii="Arial Narrow" w:hAnsi="Arial Narrow"/>
          <w:lang w:eastAsia="ru-RU"/>
        </w:rPr>
        <w:t xml:space="preserve"> в области информационной безопасности, определяет систему взглядов, принципов и подходов в этой области для обеспечения защищенности бизнес-процессов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создания условий безопасного цифрового развития и обеспечения соответствия требованиям законодательства Российской Федерации в данной области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"/>
        </w:numPr>
        <w:ind w:left="0" w:right="166" w:firstLine="709"/>
        <w:jc w:val="both"/>
        <w:spacing w:before="1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Настоящая Политика разработана в соответствии с требованиями законодательства Российской Федерации в области информационной безопасности, с учетом применимых международных стандартов, передового опыта и лучших практик.</w:t>
      </w:r>
      <w:bookmarkStart w:id="1" w:name="_bookmark2"/>
      <w:r/>
      <w:bookmarkEnd w:id="1"/>
      <w:r/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"/>
        </w:numPr>
        <w:ind w:left="0" w:right="166" w:firstLine="709"/>
        <w:jc w:val="both"/>
        <w:spacing w:before="1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Субъектами, на которых распространяется действие </w:t>
      </w:r>
      <w:r>
        <w:rPr>
          <w:rFonts w:ascii="Arial Narrow" w:hAnsi="Arial Narrow"/>
          <w:lang w:eastAsia="ru-RU"/>
        </w:rPr>
        <w:t xml:space="preserve">Политики</w:t>
      </w:r>
      <w:r>
        <w:rPr>
          <w:rFonts w:ascii="Arial Narrow" w:hAnsi="Arial Narrow"/>
          <w:lang w:eastAsia="ru-RU"/>
        </w:rPr>
        <w:t xml:space="preserve">, являются:</w:t>
      </w:r>
      <w:r>
        <w:rPr>
          <w:rFonts w:ascii="Arial Narrow" w:hAnsi="Arial Narrow"/>
          <w:lang w:eastAsia="ru-RU"/>
        </w:rPr>
      </w:r>
    </w:p>
    <w:p>
      <w:pPr>
        <w:pStyle w:val="667"/>
        <w:numPr>
          <w:ilvl w:val="0"/>
          <w:numId w:val="7"/>
        </w:numPr>
        <w:contextualSpacing/>
        <w:ind w:left="284" w:firstLine="567"/>
        <w:jc w:val="both"/>
        <w:spacing w:before="0"/>
        <w:widowControl/>
        <w:tabs>
          <w:tab w:val="num" w:pos="28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работники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, а также физические лица, с которыми заключены договоры гражданско-правового характера (</w:t>
      </w:r>
      <w:r>
        <w:rPr>
          <w:rFonts w:ascii="Arial Narrow" w:hAnsi="Arial Narrow"/>
          <w:sz w:val="24"/>
          <w:szCs w:val="24"/>
          <w:lang w:eastAsia="ru-RU"/>
        </w:rPr>
        <w:t xml:space="preserve">Далее</w:t>
      </w:r>
      <w:r>
        <w:rPr>
          <w:rFonts w:ascii="Arial Narrow" w:hAnsi="Arial Narrow"/>
          <w:sz w:val="24"/>
          <w:szCs w:val="24"/>
          <w:lang w:eastAsia="ru-RU"/>
        </w:rPr>
        <w:t xml:space="preserve"> по тексту - Работники);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7"/>
        </w:numPr>
        <w:contextualSpacing/>
        <w:ind w:left="284" w:firstLine="567"/>
        <w:jc w:val="both"/>
        <w:spacing w:before="0"/>
        <w:widowControl/>
        <w:tabs>
          <w:tab w:val="num" w:pos="28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физические лица, не являющиеся Работниками, а также работники других юридических лиц, на основании заключенных соглашений (договоров) или иных законных основаниях: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8"/>
        </w:numPr>
        <w:contextualSpacing/>
        <w:ind w:left="567" w:firstLine="567"/>
        <w:jc w:val="both"/>
        <w:spacing w:before="0"/>
        <w:widowControl/>
        <w:tabs>
          <w:tab w:val="num" w:pos="28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получившие доступ к информации конфиденциального характера и объектам защиты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8"/>
        </w:numPr>
        <w:contextualSpacing/>
        <w:ind w:left="567" w:firstLine="567"/>
        <w:jc w:val="both"/>
        <w:spacing w:before="0"/>
        <w:widowControl/>
        <w:tabs>
          <w:tab w:val="num" w:pos="28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выполняющие действия в отношении информационной инфраструктуры, зданий и(или) сооружений Группы Компаний с размещенными объектами информационной инфраструктуры (включая проведение аудита, стажировок, уборки помещений).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3"/>
        <w:numPr>
          <w:ilvl w:val="1"/>
          <w:numId w:val="1"/>
        </w:numPr>
        <w:ind w:left="0" w:right="166" w:firstLine="709"/>
        <w:jc w:val="both"/>
        <w:spacing w:before="1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Настоящая Политика является локальным нормативным документом постоянного действия.</w:t>
      </w:r>
      <w:r>
        <w:rPr>
          <w:rFonts w:ascii="Arial Narrow" w:hAnsi="Arial Narrow"/>
          <w:lang w:eastAsia="ru-RU"/>
        </w:rPr>
      </w:r>
    </w:p>
    <w:p>
      <w:pPr>
        <w:pStyle w:val="663"/>
        <w:ind w:firstLine="709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</w:r>
      <w:r>
        <w:rPr>
          <w:rFonts w:ascii="Arial Narrow" w:hAnsi="Arial Narrow"/>
          <w:lang w:eastAsia="ru-RU"/>
        </w:rPr>
      </w:r>
    </w:p>
    <w:p>
      <w:pPr>
        <w:pStyle w:val="656"/>
        <w:numPr>
          <w:ilvl w:val="0"/>
          <w:numId w:val="1"/>
        </w:numPr>
        <w:ind w:left="0" w:firstLine="709"/>
        <w:spacing w:before="0"/>
        <w:tabs>
          <w:tab w:val="num" w:pos="284" w:leader="none"/>
          <w:tab w:val="left" w:pos="822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Голосарий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57"/>
        <w:numPr>
          <w:ilvl w:val="1"/>
          <w:numId w:val="1"/>
        </w:numPr>
        <w:ind w:left="0" w:firstLine="709"/>
        <w:tabs>
          <w:tab w:val="num" w:pos="284" w:leader="none"/>
          <w:tab w:val="left" w:pos="820" w:leader="none"/>
        </w:tabs>
        <w:rPr>
          <w:rFonts w:ascii="Arial Narrow" w:hAnsi="Arial Narrow" w:eastAsia="Times New Roman" w:cs="Times New Roman"/>
          <w:b w:val="0"/>
          <w:bCs w:val="0"/>
          <w:lang w:eastAsia="ru-RU"/>
        </w:rPr>
      </w:pPr>
      <w:r/>
      <w:bookmarkStart w:id="2" w:name="_bookmark5"/>
      <w:r/>
      <w:bookmarkEnd w:id="2"/>
      <w:r>
        <w:rPr>
          <w:rFonts w:ascii="Arial Narrow" w:hAnsi="Arial Narrow" w:eastAsia="Times New Roman" w:cs="Times New Roman"/>
          <w:b w:val="0"/>
          <w:bCs w:val="0"/>
          <w:lang w:eastAsia="ru-RU"/>
        </w:rPr>
        <w:t xml:space="preserve">Термины и обозначения</w:t>
      </w:r>
      <w:r>
        <w:rPr>
          <w:rFonts w:ascii="Arial Narrow" w:hAnsi="Arial Narrow" w:eastAsia="Times New Roman" w:cs="Times New Roman"/>
          <w:b w:val="0"/>
          <w:bCs w:val="0"/>
          <w:lang w:eastAsia="ru-RU"/>
        </w:rPr>
      </w:r>
    </w:p>
    <w:tbl>
      <w:tblPr>
        <w:tblStyle w:val="665"/>
        <w:tblW w:w="9201" w:type="dxa"/>
        <w:tblInd w:w="155" w:type="dxa"/>
        <w:tblLayout w:type="fixed"/>
        <w:tblLook w:val="04A0" w:firstRow="1" w:lastRow="0" w:firstColumn="1" w:lastColumn="0" w:noHBand="0" w:noVBand="1"/>
      </w:tblPr>
      <w:tblGrid>
        <w:gridCol w:w="2843"/>
        <w:gridCol w:w="6358"/>
      </w:tblGrid>
      <w:tr>
        <w:tblPrEx/>
        <w:trPr>
          <w:trHeight w:val="1434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1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КОМПЬЮТЕРНАЯ АТАКА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7" w:hanging="8"/>
              <w:jc w:val="both"/>
              <w:tabs>
                <w:tab w:val="num" w:pos="284" w:leader="none"/>
                <w:tab w:val="left" w:pos="4953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Действия, направленные на реализацию угроз несанкционированного доступа к ИТ-активу, воздействия на него или на ресурсы автоматизированной информационной системы с применением программных и (или) технических средств.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92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ИНФОРМАЦИОННАЯ БЕЗОПАСНОСТЬ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5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Состояние защищенности информационной среды, обеспечивающее ее формирование, использование и развитие в интересах Компании.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558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ИНФОРМАЦИОННАЯ ИНФРАСТРУКТУРА (ИТ- ИНФРАСТРУКТУРА)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9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компонентов информационных технологий, в том числе аппаратное (системы обработки и хранения данных, оборудование рабочего места, периферия и т.д.), системное программное и инженерное обеспечение, сети, специализированные помещения.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032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359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ИНФОРМАЦИОННАЯ СИСТЕМА (ИС)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7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содержащейся в базах данных информации и обеспечивающих ее обработку информационных технологий и технических средств.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48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ИНФОРМАЦИОННАЯ СРЕДА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9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разной информации вместе с ИТ- инфраструктурой, а также субъектами, которые занимаются сбором, использованием и распространением информации.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47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359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ИНФОРМАЦИОННО- ТЕЛЕКОММУНИКА- ЦИОННАЯ СЕТЬ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7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47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734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ИНФОРМАЦИЯ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10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Сведения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(сообщения,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данные)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независимо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от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формы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их представления.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026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ИТ-АКТИВ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10" w:hanging="8"/>
              <w:jc w:val="both"/>
              <w:spacing w:before="55"/>
              <w:tabs>
                <w:tab w:val="num" w:pos="284" w:leader="none"/>
                <w:tab w:val="left" w:pos="1357" w:leader="none"/>
                <w:tab w:val="left" w:pos="2839" w:leader="none"/>
                <w:tab w:val="left" w:pos="3887" w:leader="none"/>
                <w:tab w:val="left" w:pos="5288" w:leader="none"/>
                <w:tab w:val="left" w:pos="5729" w:leader="none"/>
                <w:tab w:val="left" w:pos="6653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Идентифицируемый предмет, вещь или объект в области информационных технологий, который имеет потенциальную или действительную ценность для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Групп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ы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Компаний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95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64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ИТ-ПРОСТРАНСТВО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10" w:hanging="8"/>
              <w:jc w:val="both"/>
              <w:spacing w:before="7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объектов (информационные ресурсы, средства информационного взаимодействия и информационная инфраструктура), вступающих друг с другом в информационное взаимодействие, а также сами информационные технологии, обеспечивающие данное взаимодействие.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549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6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  <w:p>
            <w:pPr>
              <w:pStyle w:val="666"/>
              <w:ind w:left="0" w:hanging="8"/>
              <w:spacing w:before="181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МОБИЛЬНОЕ ТЕХНИЧЕСКОЕ СРЕДСТВО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6" w:hanging="8"/>
              <w:jc w:val="both"/>
              <w:spacing w:before="269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Съемные машинные носители информации, портативные вычислительные устройства и устройства связи с возможностью обработки информации (переносные персональные компьютеры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,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ноутбуки, нетбуки, планшетные компьютеры, а также мобильные телефоны, смартфоны, умные часы/браслеты, цифровые камеры, звукозаписывающие устройства и иные средства).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310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97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ПРОГРАММНОЕ ОБЕСПЕЧЕНИЕ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5" w:hanging="8"/>
              <w:jc w:val="both"/>
              <w:spacing w:before="71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программ системы обработки информации и программных документов, необходимых для эксплуатации этих программ.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100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401" w:hanging="8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ПРОИЗВОДСТВЕННАЯ СИСТЕМА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8" w:hanging="8"/>
              <w:jc w:val="both"/>
              <w:spacing w:before="1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компонентов информационных технологий, обеспечивающих автоматизацию решения задач планирования и управления различными видами производственной деятельности и производственных процессов.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48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РИСК ИНФОРМАЦИОННОЙ БЕЗОПАСНОСТИ (ИБ-РИСК)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11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Сочетание вероятности реализации угрозы информационной безопасности и последствий её реализации, оказывающих негативное влияние на достижение целей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Групп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ы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Компаний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275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hanging="8"/>
              <w:spacing w:before="126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УГРОЗА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  <w:p>
            <w:pPr>
              <w:pStyle w:val="666"/>
              <w:ind w:left="0" w:right="401" w:hanging="8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ИНФОРМАЦИОННОЙ БЕЗОПАСНОСТИ</w:t>
            </w:r>
            <w:r>
              <w:rPr>
                <w:rFonts w:ascii="Arial Narrow" w:hAnsi="Arial Narrow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(УГРОЗА)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7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Совокупность условий и факторов, создающих потенциальную или реально существующую опасность нарушения безопасности информации или безопасности ИТ-актива.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948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103" w:hanging="8"/>
              <w:spacing w:before="151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УЯЗВИМОСТЬ ИТ-АКТИВА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8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Недостаток (слабость) ИТ-актива в целом, который(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ая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) может быть использован(а) для реализации угроз информационной безопасности.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  <w:tr>
        <w:tblPrEx/>
        <w:trPr>
          <w:trHeight w:val="1252"/>
        </w:trPr>
        <w:tc>
          <w:tcPr>
            <w:tcW w:w="2843" w:type="dxa"/>
            <w:textDirection w:val="lrTb"/>
            <w:noWrap w:val="false"/>
          </w:tcPr>
          <w:p>
            <w:pPr>
              <w:pStyle w:val="666"/>
              <w:ind w:left="0" w:right="401" w:hanging="8"/>
              <w:spacing w:before="180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ЦИФРОВИЗАЦИЯ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  <w:tc>
          <w:tcPr>
            <w:tcW w:w="6358" w:type="dxa"/>
            <w:textDirection w:val="lrTb"/>
            <w:noWrap w:val="false"/>
          </w:tcPr>
          <w:p>
            <w:pPr>
              <w:pStyle w:val="666"/>
              <w:ind w:left="0" w:right="104" w:hanging="8"/>
              <w:jc w:val="both"/>
              <w:spacing w:before="55"/>
              <w:tabs>
                <w:tab w:val="num" w:pos="284" w:leader="none"/>
              </w:tabs>
              <w:rPr>
                <w:rFonts w:ascii="Arial Narrow" w:hAnsi="Arial Narrow"/>
                <w:sz w:val="24"/>
                <w:szCs w:val="24"/>
                <w:lang w:val="ru-RU" w:eastAsia="ru-RU"/>
              </w:rPr>
            </w:pP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Применение прорывных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  <w:t xml:space="preserve"> технологий, трансформирующих операционные процессы за счет замещения или дополнения человека на базе использования качественно новой аналитики, искусственного интеллекта, мобильных и носимых устройств, роботизации, интеграционных технологических платформ.</w:t>
            </w:r>
            <w:r>
              <w:rPr>
                <w:rFonts w:ascii="Arial Narrow" w:hAnsi="Arial Narrow"/>
                <w:sz w:val="24"/>
                <w:szCs w:val="24"/>
                <w:lang w:val="ru-RU" w:eastAsia="ru-RU"/>
              </w:rPr>
            </w:r>
          </w:p>
        </w:tc>
      </w:tr>
    </w:tbl>
    <w:p>
      <w:pPr>
        <w:pStyle w:val="663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</w:r>
      <w:r>
        <w:rPr>
          <w:rFonts w:ascii="Arial Narrow" w:hAnsi="Arial Narrow"/>
          <w:lang w:eastAsia="ru-RU"/>
        </w:rPr>
      </w:r>
    </w:p>
    <w:p>
      <w:pPr>
        <w:pStyle w:val="656"/>
        <w:ind w:left="0" w:right="169" w:firstLine="709"/>
        <w:spacing w:before="0"/>
        <w:tabs>
          <w:tab w:val="left" w:pos="851" w:leader="none"/>
          <w:tab w:val="left" w:pos="3636" w:leader="none"/>
          <w:tab w:val="left" w:pos="4689" w:leader="none"/>
          <w:tab w:val="left" w:pos="7265" w:leader="none"/>
          <w:tab w:val="left" w:pos="8305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3. 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Заявление о политике в области информационной безопасности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Настоящая Политика выражает позицию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в области информационной безопасности. Принятием настоящей Политики </w:t>
      </w:r>
      <w:r>
        <w:rPr>
          <w:rFonts w:ascii="Arial Narrow" w:hAnsi="Arial Narrow"/>
          <w:lang w:eastAsia="ru-RU"/>
        </w:rPr>
        <w:t xml:space="preserve">Группа Компаний</w:t>
      </w:r>
      <w:r>
        <w:rPr>
          <w:rFonts w:ascii="Arial Narrow" w:hAnsi="Arial Narrow"/>
          <w:lang w:eastAsia="ru-RU"/>
        </w:rPr>
        <w:t xml:space="preserve"> провозглашает и обязуется осуществлять все возможные меры для защиты работников, имущества, информации, деловой репутации и бизнес-процессов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от риска причинения вреда, убытков и ущерба, возникающих в результате реализации угроз информационной безопасности.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Руководство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осознает важность и необходимость продвижения и совершенствования мер и средств обеспечения информационной безопасности в контексте развития законодательства РФ и регулирования норм информационной безопасности, а т</w:t>
      </w:r>
      <w:r>
        <w:rPr>
          <w:rFonts w:ascii="Arial Narrow" w:hAnsi="Arial Narrow"/>
          <w:lang w:eastAsia="ru-RU"/>
        </w:rPr>
        <w:t xml:space="preserve">акже развития используемых информационных технологий при автоматизации и цифровизации бизнес-процессов и технологических процессов на производствах. Соблюдение принципов информационной безопасности дополнительно позволит упрочить конкурентные преимущества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, обеспечить соответствие правовым, регуляторным и договорным требованиям, снизить имиджевые риски.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Настоящая Политика разработана с целью установления принципов, определяющих общие организационные и управленческие подходы, необходимые для обеспечения и управления информационной безопасностью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и защиты интересов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от рисков и угроз информационной безопасности.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Руководство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придерживается взглядов, что соблюдение принципов, правил и требований информационной безопасности является, в том числе, элементом корпоративной культуры. Следовани</w:t>
      </w:r>
      <w:r>
        <w:rPr>
          <w:rFonts w:ascii="Arial Narrow" w:hAnsi="Arial Narrow"/>
          <w:lang w:eastAsia="ru-RU"/>
        </w:rPr>
        <w:t xml:space="preserve">е требованиям информационной безопасности является важным условием при осуществлении повседневной деятельности (в том числе при реализации ИТ-проектов, проработке цифровых инициатив и т.д.), включая совместную работу с Деловыми партнерами. Каждый работник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и её Деловых партнеров несёт ответственность за безопасную работу с вверенными ему корпоративными ИТ-активами, компьютерным оборудованием, мобильными техническими средствами, носителями информации, предоставленной и обрабатываемой информацией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Руководители и специалисты по информационной безопасности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должны ответственно выполнять свои обязанности, осознавая, что качество их работы непосредственно влияет на состояние защищённости информации, ИТ-активов, бизнес- и технологических процессов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ы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9"/>
        </w:numPr>
        <w:ind w:left="0" w:right="162" w:firstLine="709"/>
        <w:jc w:val="both"/>
        <w:tabs>
          <w:tab w:val="num" w:pos="284" w:leader="none"/>
          <w:tab w:val="left" w:pos="851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Работники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должны руководствоваться настоящей Политикой в профессиональной деятельности, при внутрикорпоративном взаимодействии, личном развитии и повышении культуры информационной безопасности.</w:t>
      </w:r>
      <w:r>
        <w:rPr>
          <w:rFonts w:ascii="Arial Narrow" w:hAnsi="Arial Narrow"/>
          <w:lang w:eastAsia="ru-RU"/>
        </w:rPr>
      </w:r>
    </w:p>
    <w:p>
      <w:pPr>
        <w:pStyle w:val="663"/>
        <w:ind w:right="162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</w:r>
      <w:r>
        <w:rPr>
          <w:rFonts w:ascii="Arial Narrow" w:hAnsi="Arial Narrow"/>
          <w:lang w:eastAsia="ru-RU"/>
        </w:rPr>
      </w:r>
    </w:p>
    <w:p>
      <w:pPr>
        <w:pStyle w:val="657"/>
        <w:numPr>
          <w:ilvl w:val="0"/>
          <w:numId w:val="18"/>
        </w:numPr>
        <w:ind w:left="0" w:right="170" w:firstLine="709"/>
        <w:jc w:val="both"/>
        <w:tabs>
          <w:tab w:val="left" w:pos="851" w:leader="none"/>
          <w:tab w:val="left" w:pos="1825" w:leader="none"/>
          <w:tab w:val="left" w:pos="2319" w:leader="none"/>
          <w:tab w:val="left" w:pos="3652" w:leader="none"/>
          <w:tab w:val="left" w:pos="5371" w:leader="none"/>
          <w:tab w:val="left" w:pos="5867" w:leader="none"/>
          <w:tab w:val="left" w:pos="7382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 w:eastAsia="Times New Roman" w:cs="Times New Roman"/>
          <w:lang w:eastAsia="ru-RU"/>
        </w:rPr>
        <w:t xml:space="preserve">Цели и задачи </w:t>
      </w:r>
      <w:r>
        <w:rPr>
          <w:rFonts w:ascii="Arial Narrow" w:hAnsi="Arial Narrow" w:eastAsia="Times New Roman" w:cs="Times New Roman"/>
          <w:lang w:eastAsia="ru-RU"/>
        </w:rPr>
        <w:t xml:space="preserve">Группы Компаний</w:t>
      </w:r>
      <w:r>
        <w:rPr>
          <w:rFonts w:ascii="Arial Narrow" w:hAnsi="Arial Narrow" w:eastAsia="Times New Roman" w:cs="Times New Roman"/>
          <w:b w:val="0"/>
          <w:bCs w:val="0"/>
          <w:lang w:eastAsia="ru-RU"/>
        </w:rPr>
        <w:t xml:space="preserve"> </w:t>
      </w:r>
      <w:r>
        <w:rPr>
          <w:rFonts w:ascii="Arial Narrow" w:hAnsi="Arial Narrow" w:eastAsia="Times New Roman" w:cs="Times New Roman"/>
          <w:lang w:eastAsia="ru-RU"/>
        </w:rPr>
        <w:t xml:space="preserve">в области информационной безопасности </w:t>
      </w:r>
      <w:r>
        <w:rPr>
          <w:rFonts w:ascii="Arial Narrow" w:hAnsi="Arial Narrow"/>
          <w:lang w:eastAsia="ru-RU"/>
        </w:rPr>
      </w:r>
    </w:p>
    <w:p>
      <w:pPr>
        <w:pStyle w:val="657"/>
        <w:numPr>
          <w:ilvl w:val="1"/>
          <w:numId w:val="18"/>
        </w:numPr>
        <w:ind w:left="0" w:right="170" w:firstLine="709"/>
        <w:jc w:val="both"/>
        <w:tabs>
          <w:tab w:val="num" w:pos="284" w:leader="none"/>
          <w:tab w:val="left" w:pos="823" w:leader="none"/>
          <w:tab w:val="left" w:pos="1825" w:leader="none"/>
          <w:tab w:val="left" w:pos="2319" w:leader="none"/>
          <w:tab w:val="left" w:pos="3652" w:leader="none"/>
          <w:tab w:val="left" w:pos="5371" w:leader="none"/>
          <w:tab w:val="left" w:pos="5867" w:leader="none"/>
          <w:tab w:val="left" w:pos="7382" w:leader="none"/>
        </w:tabs>
        <w:rPr>
          <w:rFonts w:ascii="Arial Narrow" w:hAnsi="Arial Narrow"/>
          <w:b w:val="0"/>
          <w:bCs w:val="0"/>
          <w:lang w:eastAsia="ru-RU"/>
        </w:rPr>
      </w:pPr>
      <w:r>
        <w:rPr>
          <w:rFonts w:ascii="Arial Narrow" w:hAnsi="Arial Narrow"/>
          <w:b w:val="0"/>
          <w:bCs w:val="0"/>
          <w:lang w:eastAsia="ru-RU"/>
        </w:rPr>
        <w:t xml:space="preserve">Управление и обеспечение информационной безопасности </w:t>
      </w:r>
      <w:r>
        <w:rPr>
          <w:rFonts w:ascii="Arial Narrow" w:hAnsi="Arial Narrow"/>
          <w:b w:val="0"/>
          <w:bCs w:val="0"/>
          <w:lang w:eastAsia="ru-RU"/>
        </w:rPr>
        <w:t xml:space="preserve">Групп</w:t>
      </w:r>
      <w:r>
        <w:rPr>
          <w:rFonts w:ascii="Arial Narrow" w:hAnsi="Arial Narrow"/>
          <w:b w:val="0"/>
          <w:bCs w:val="0"/>
          <w:lang w:eastAsia="ru-RU"/>
        </w:rPr>
        <w:t xml:space="preserve">ы</w:t>
      </w:r>
      <w:r>
        <w:rPr>
          <w:rFonts w:ascii="Arial Narrow" w:hAnsi="Arial Narrow"/>
          <w:b w:val="0"/>
          <w:bCs w:val="0"/>
          <w:lang w:eastAsia="ru-RU"/>
        </w:rPr>
        <w:t xml:space="preserve"> Компаний</w:t>
      </w:r>
      <w:r>
        <w:rPr>
          <w:rFonts w:ascii="Arial Narrow" w:hAnsi="Arial Narrow"/>
          <w:b w:val="0"/>
          <w:bCs w:val="0"/>
          <w:lang w:eastAsia="ru-RU"/>
        </w:rPr>
        <w:t xml:space="preserve"> ориентированы на достижение следующих целей в области информационной безопасности:</w:t>
      </w:r>
      <w:r>
        <w:rPr>
          <w:rFonts w:ascii="Arial Narrow" w:hAnsi="Arial Narrow"/>
          <w:b w:val="0"/>
          <w:bCs w:val="0"/>
          <w:lang w:eastAsia="ru-RU"/>
        </w:rPr>
      </w:r>
    </w:p>
    <w:p>
      <w:pPr>
        <w:pStyle w:val="667"/>
        <w:numPr>
          <w:ilvl w:val="2"/>
          <w:numId w:val="18"/>
        </w:numPr>
        <w:ind w:left="284" w:right="164" w:firstLine="567"/>
        <w:jc w:val="both"/>
        <w:spacing w:before="0"/>
        <w:tabs>
          <w:tab w:val="num" w:pos="284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предоставление безопасной информационной среды для функционирования и развития бизнес-процессов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right="171" w:firstLine="567"/>
        <w:jc w:val="both"/>
        <w:spacing w:before="0"/>
        <w:tabs>
          <w:tab w:val="num" w:pos="284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снижение уровня ИБ-рисков и угроз информационной безопасности до приемлемого уровня, позволяющего осуществлять устойчивое цифровое развитие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3"/>
        <w:numPr>
          <w:ilvl w:val="1"/>
          <w:numId w:val="10"/>
        </w:numPr>
        <w:ind w:left="0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Для достижения данных целей необходимо решение следующих задач:</w:t>
      </w:r>
      <w:r>
        <w:rPr>
          <w:rFonts w:ascii="Arial Narrow" w:hAnsi="Arial Narrow"/>
          <w:lang w:eastAsia="ru-RU"/>
        </w:rPr>
      </w:r>
    </w:p>
    <w:p>
      <w:pPr>
        <w:pStyle w:val="667"/>
        <w:numPr>
          <w:ilvl w:val="2"/>
          <w:numId w:val="18"/>
        </w:numPr>
        <w:ind w:left="284" w:right="164" w:firstLine="567"/>
        <w:jc w:val="both"/>
        <w:spacing w:before="0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обеспечение информационной безопасности бизнес-процессов </w:t>
      </w:r>
      <w:bookmarkStart w:id="3" w:name="_Hlk197935401"/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bookmarkEnd w:id="3"/>
      <w:r>
        <w:rPr>
          <w:rFonts w:ascii="Arial Narrow" w:hAnsi="Arial Narrow"/>
          <w:sz w:val="24"/>
          <w:szCs w:val="24"/>
          <w:lang w:eastAsia="ru-RU"/>
        </w:rPr>
        <w:t xml:space="preserve"> в условиях возрастающего уровня угроз, включая обеспечение оперативного мониторинга и оценку состояния защищенности в </w:t>
      </w:r>
      <w:r>
        <w:rPr>
          <w:rFonts w:ascii="Arial Narrow" w:hAnsi="Arial Narrow"/>
          <w:sz w:val="24"/>
          <w:szCs w:val="24"/>
          <w:lang w:eastAsia="ru-RU"/>
        </w:rPr>
        <w:t xml:space="preserve">Групп</w:t>
      </w:r>
      <w:r>
        <w:rPr>
          <w:rFonts w:ascii="Arial Narrow" w:hAnsi="Arial Narrow"/>
          <w:sz w:val="24"/>
          <w:szCs w:val="24"/>
          <w:lang w:eastAsia="ru-RU"/>
        </w:rPr>
        <w:t xml:space="preserve">е</w:t>
      </w:r>
      <w:r>
        <w:rPr>
          <w:rFonts w:ascii="Arial Narrow" w:hAnsi="Arial Narrow"/>
          <w:sz w:val="24"/>
          <w:szCs w:val="24"/>
          <w:lang w:eastAsia="ru-RU"/>
        </w:rPr>
        <w:t xml:space="preserve">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; повышение эффективности защиты от спланированных целенаправленных компьютерных атак злоумышленниками; повышение информационной безопасности технологических и производственных систем;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right="163" w:firstLine="567"/>
        <w:jc w:val="both"/>
        <w:spacing w:before="0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применение новых современных методов для защищенной цифровизации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, включая организацию проработки вопросов информационной безопасности при реализации цифровых решений; организацию апробации и применения новых методов защиты информации от современных угроз, в том числе за счет</w:t>
      </w:r>
      <w:r>
        <w:rPr>
          <w:rFonts w:ascii="Arial Narrow" w:hAnsi="Arial Narrow"/>
          <w:sz w:val="24"/>
          <w:szCs w:val="24"/>
          <w:lang w:eastAsia="ru-RU"/>
        </w:rPr>
        <w:t xml:space="preserve"> взаимодействия и партнерства с лидерами отрасли информационной безопасности; обеспечение применения безопасных цифровых технологий при внедрении отечественных разработок и развитии собственного конкурентоспособного корпоративного программного обеспечения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3"/>
        <w:ind w:firstLine="709"/>
        <w:spacing w:before="8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</w:r>
      <w:r>
        <w:rPr>
          <w:rFonts w:ascii="Arial Narrow" w:hAnsi="Arial Narrow"/>
          <w:lang w:eastAsia="ru-RU"/>
        </w:rPr>
      </w:r>
    </w:p>
    <w:p>
      <w:pPr>
        <w:pStyle w:val="657"/>
        <w:numPr>
          <w:ilvl w:val="0"/>
          <w:numId w:val="18"/>
        </w:numPr>
        <w:ind w:left="0" w:firstLine="709"/>
        <w:jc w:val="both"/>
        <w:tabs>
          <w:tab w:val="num" w:pos="284" w:leader="none"/>
          <w:tab w:val="left" w:pos="823" w:leader="none"/>
        </w:tabs>
        <w:rPr>
          <w:rFonts w:ascii="Arial Narrow" w:hAnsi="Arial Narrow" w:eastAsia="Times New Roman" w:cs="Times New Roman"/>
          <w:lang w:eastAsia="ru-RU"/>
        </w:rPr>
      </w:pPr>
      <w:r/>
      <w:bookmarkStart w:id="4" w:name="_bookmark9"/>
      <w:r/>
      <w:bookmarkEnd w:id="4"/>
      <w:r>
        <w:rPr>
          <w:rFonts w:ascii="Arial Narrow" w:hAnsi="Arial Narrow" w:eastAsia="Times New Roman" w:cs="Times New Roman"/>
          <w:lang w:eastAsia="ru-RU"/>
        </w:rPr>
        <w:t xml:space="preserve">Объекты обеспечения информационной безопасности</w:t>
      </w:r>
      <w:r>
        <w:rPr>
          <w:rFonts w:ascii="Arial Narrow" w:hAnsi="Arial Narrow" w:eastAsia="Times New Roman" w:cs="Times New Roman"/>
          <w:lang w:eastAsia="ru-RU"/>
        </w:rPr>
      </w:r>
    </w:p>
    <w:p>
      <w:pPr>
        <w:pStyle w:val="663"/>
        <w:numPr>
          <w:ilvl w:val="1"/>
          <w:numId w:val="12"/>
        </w:numPr>
        <w:ind w:left="0" w:right="163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В рамках обеспечения информационной безопасности объектами защиты в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е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являются информация, обрабатываемая в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е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, вне зависимости от формы представления; ИТ-активы, включая, но не ограничиваясь следующим перечнем:</w:t>
      </w:r>
      <w:r>
        <w:rPr>
          <w:rFonts w:ascii="Arial Narrow" w:hAnsi="Arial Narrow"/>
          <w:lang w:eastAsia="ru-RU"/>
        </w:rPr>
      </w:r>
    </w:p>
    <w:p>
      <w:pPr>
        <w:pStyle w:val="667"/>
        <w:numPr>
          <w:ilvl w:val="2"/>
          <w:numId w:val="18"/>
        </w:numPr>
        <w:ind w:left="284" w:right="164" w:firstLine="567"/>
        <w:jc w:val="both"/>
        <w:spacing w:before="0"/>
        <w:tabs>
          <w:tab w:val="num" w:pos="284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автоматизированные рабочие места, средства обработки информации и мобильные технические средства;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right="167" w:firstLine="567"/>
        <w:jc w:val="both"/>
        <w:spacing w:before="0"/>
        <w:tabs>
          <w:tab w:val="num" w:pos="284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ИС, системы хранения данных, программное обеспечение и отдельные технические решения;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firstLine="567"/>
        <w:jc w:val="both"/>
        <w:spacing w:before="0"/>
        <w:tabs>
          <w:tab w:val="num" w:pos="284" w:leader="none"/>
          <w:tab w:val="left" w:pos="793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ИТ-инфраструктура, информационно-телекоммуникационные сети и системы связи;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firstLine="567"/>
        <w:jc w:val="both"/>
        <w:spacing w:before="0"/>
        <w:tabs>
          <w:tab w:val="num" w:pos="284" w:leader="none"/>
          <w:tab w:val="left" w:pos="793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ИТ-сервисы (ИТ-услуги), оказываемые </w:t>
      </w:r>
      <w:r>
        <w:rPr>
          <w:rFonts w:ascii="Arial Narrow" w:hAnsi="Arial Narrow"/>
          <w:sz w:val="24"/>
          <w:szCs w:val="24"/>
          <w:lang w:eastAsia="ru-RU"/>
        </w:rPr>
        <w:t xml:space="preserve">Групп</w:t>
      </w:r>
      <w:r>
        <w:rPr>
          <w:rFonts w:ascii="Arial Narrow" w:hAnsi="Arial Narrow"/>
          <w:sz w:val="24"/>
          <w:szCs w:val="24"/>
          <w:lang w:eastAsia="ru-RU"/>
        </w:rPr>
        <w:t xml:space="preserve">е</w:t>
      </w:r>
      <w:r>
        <w:rPr>
          <w:rFonts w:ascii="Arial Narrow" w:hAnsi="Arial Narrow"/>
          <w:sz w:val="24"/>
          <w:szCs w:val="24"/>
          <w:lang w:eastAsia="ru-RU"/>
        </w:rPr>
        <w:t xml:space="preserve">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 или в интересах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firstLine="567"/>
        <w:jc w:val="both"/>
        <w:spacing w:before="0"/>
        <w:tabs>
          <w:tab w:val="num" w:pos="284" w:leader="none"/>
          <w:tab w:val="left" w:pos="793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решения по цифровизации бизнес- и технологических (производственных) процессов</w:t>
      </w:r>
      <w:r>
        <w:rPr>
          <w:rFonts w:ascii="Arial Narrow" w:hAnsi="Arial Narrow"/>
          <w:sz w:val="24"/>
          <w:szCs w:val="24"/>
          <w:lang w:eastAsia="ru-RU"/>
        </w:rPr>
        <w:t xml:space="preserve">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2"/>
          <w:numId w:val="18"/>
        </w:numPr>
        <w:ind w:left="284" w:firstLine="567"/>
        <w:jc w:val="both"/>
        <w:spacing w:before="0"/>
        <w:tabs>
          <w:tab w:val="num" w:pos="284" w:leader="none"/>
          <w:tab w:val="left" w:pos="793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архитектура и конфигурация информационных систем, информационно-телекоммуникационных сетей, информация (данные) о параметрах (состоянии) управляемого (контролируемого) объекта или процесса (в том числе входная (выходная</w:t>
      </w:r>
      <w:r>
        <w:rPr>
          <w:rFonts w:ascii="Arial Narrow" w:hAnsi="Arial Narrow"/>
          <w:sz w:val="24"/>
          <w:szCs w:val="24"/>
          <w:lang w:eastAsia="ru-RU"/>
        </w:rPr>
        <w:t xml:space="preserve">)</w:t>
      </w:r>
      <w:r>
        <w:rPr>
          <w:rFonts w:ascii="Arial Narrow" w:hAnsi="Arial Narrow"/>
          <w:sz w:val="24"/>
          <w:szCs w:val="24"/>
          <w:lang w:eastAsia="ru-RU"/>
        </w:rPr>
        <w:t xml:space="preserve">) информация, управляющая (командная) информация, контрольно-измерительная информация, персональные данные, иная информация конфиденциального характера, в том числе представляющая коммерческую ценность в силу неизвестности третьим лицам.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ind w:left="0" w:firstLine="709"/>
        <w:jc w:val="both"/>
        <w:spacing w:before="0"/>
        <w:tabs>
          <w:tab w:val="num" w:pos="284" w:leader="none"/>
          <w:tab w:val="left" w:pos="793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57"/>
        <w:numPr>
          <w:ilvl w:val="0"/>
          <w:numId w:val="18"/>
        </w:numPr>
        <w:ind w:left="0" w:right="170" w:firstLine="709"/>
        <w:jc w:val="both"/>
        <w:tabs>
          <w:tab w:val="num" w:pos="284" w:leader="none"/>
          <w:tab w:val="left" w:pos="823" w:leader="none"/>
          <w:tab w:val="left" w:pos="2613" w:leader="none"/>
          <w:tab w:val="left" w:pos="4638" w:leader="none"/>
          <w:tab w:val="left" w:pos="5163" w:leader="none"/>
          <w:tab w:val="left" w:pos="7387" w:leader="none"/>
        </w:tabs>
        <w:rPr>
          <w:rFonts w:ascii="Arial Narrow" w:hAnsi="Arial Narrow" w:eastAsia="Times New Roman" w:cs="Times New Roman"/>
          <w:lang w:eastAsia="ru-RU"/>
        </w:rPr>
      </w:pPr>
      <w:r>
        <w:rPr>
          <w:rFonts w:ascii="Arial Narrow" w:hAnsi="Arial Narrow" w:eastAsia="Times New Roman" w:cs="Times New Roman"/>
          <w:lang w:eastAsia="ru-RU"/>
        </w:rPr>
        <w:t xml:space="preserve">Принципы управления и обеспечения информационной безопасности</w:t>
      </w:r>
      <w:r>
        <w:rPr>
          <w:rFonts w:ascii="Arial Narrow" w:hAnsi="Arial Narrow" w:eastAsia="Times New Roman" w:cs="Times New Roman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Ориентация на стратегию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– стратегические инициативы по информационной безопасности разрабатываются и осуществляются в соответствии с общей стратегией и целями развития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с учетом корпоративных стратегий в области информационных технологий и в области производственной автоматизации и контроля качества.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Централизация функций управления – принцип заключается в возможности принятия управленческих решений в области информационной безопасности на уровне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за счет оперативного мониторинга (ИТ-пространства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и внешней обстановки в информационной сфере) и оценки состояния информационной безопасности; осущ</w:t>
      </w:r>
      <w:r>
        <w:rPr>
          <w:rFonts w:ascii="Arial Narrow" w:hAnsi="Arial Narrow"/>
          <w:lang w:eastAsia="ru-RU"/>
        </w:rPr>
        <w:t xml:space="preserve">ествления централизованного управления стратегическими инициативами по информационной безопасности; контроля реализации мероприятий по развитию информационной безопасности; создания и развития централизованных решений в области информационной безопасности.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Проактивный</w:t>
      </w:r>
      <w:r>
        <w:rPr>
          <w:rFonts w:ascii="Arial Narrow" w:hAnsi="Arial Narrow"/>
          <w:lang w:eastAsia="ru-RU"/>
        </w:rPr>
        <w:t xml:space="preserve"> подход и управление рисками – базируется на мониторинге, анализе и оценке появляю</w:t>
      </w:r>
      <w:r>
        <w:rPr>
          <w:rFonts w:ascii="Arial Narrow" w:hAnsi="Arial Narrow"/>
          <w:lang w:eastAsia="ru-RU"/>
        </w:rPr>
        <w:t xml:space="preserve">щихся, актуальных и будущих ИБ-рисков и угроз информационной безопасности (включая изучение технологий, используемых злоумышленниками) с целью своевременного и осознанного принятия превентивных мер для предупреждения компьютерных атак и недопущения ущерба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е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Стандартизация и унификация – подразумевает разработку и тиражирование в </w:t>
      </w:r>
      <w:r>
        <w:rPr>
          <w:rFonts w:ascii="Arial Narrow" w:hAnsi="Arial Narrow"/>
          <w:lang w:eastAsia="ru-RU"/>
        </w:rPr>
        <w:t xml:space="preserve">ОГ стандартизованных требований и подходов, типовых технических решений и элементов архитектуры обеспечения информационной безопасности для унификации средств и методов решения однотипных задач; интерфейсов управления системами информационной безопасности.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Ресурсное обеспечение – означает необходимость выделения целевого финансирования на обеспечение и развитие информационной безопасности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поддержание требуемой организационной структуры.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Законность и соответствие – деятельность по обеспечению информационной безопасности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основывается на выполнении требований нормативных правовых актов Российской Федерации.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Повышение культуры информационной безопасности – декларирует необходимость не только информировать всех работников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её Деловых партнёров и третьих лиц,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использующих ИТ-активы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о требованиях информационной безопасности, но развивать навыки приемлемого обращения с информацией и безопасной работы с ИТ-активами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Развитие компетенций и пр</w:t>
      </w:r>
      <w:r>
        <w:rPr>
          <w:rFonts w:ascii="Arial Narrow" w:hAnsi="Arial Narrow"/>
          <w:lang w:eastAsia="ru-RU"/>
        </w:rPr>
        <w:t xml:space="preserve">офессионализма – принцип означает необходимость постоянного развития компетенций и практических навыков специалистов по информационной безопасности в условиях непрекращающегося изменения ИБ-рисков, ландшафта используемых информационных технологий и техник </w:t>
      </w:r>
      <w:r>
        <w:rPr>
          <w:rFonts w:ascii="Arial Narrow" w:hAnsi="Arial Narrow"/>
          <w:lang w:eastAsia="ru-RU"/>
        </w:rPr>
        <w:t xml:space="preserve">потенциальных нарушителей. Обеспечение информационной безопасности при автоматизации технологических и производственных процессов требует компетенций и знаний</w:t>
      </w:r>
      <w:r>
        <w:rPr>
          <w:rFonts w:ascii="Arial Narrow" w:hAnsi="Arial Narrow"/>
          <w:lang w:eastAsia="ru-RU"/>
        </w:rPr>
        <w:t xml:space="preserve">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Накопление знаний и обмен опытом – следует накапливать знания и обменив</w:t>
      </w:r>
      <w:r>
        <w:rPr>
          <w:rFonts w:ascii="Arial Narrow" w:hAnsi="Arial Narrow"/>
          <w:lang w:eastAsia="ru-RU"/>
        </w:rPr>
        <w:t xml:space="preserve">аться опытом в ходе осуществления практической деятельности по обеспечению информационной безопасности (при мониторинге и реагировании на компьютерные атаки, при внедрении и эксплуатации технических решений, при аудитах информационной безопасности и т.д.).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3"/>
        </w:numPr>
        <w:ind w:left="0" w:right="168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Информационная безопасность как неотъемлемое свойство ИТ-актива – принцип заключается в следующем:</w:t>
      </w:r>
      <w:r>
        <w:rPr>
          <w:rFonts w:ascii="Arial Narrow" w:hAnsi="Arial Narrow"/>
          <w:lang w:eastAsia="ru-RU"/>
        </w:rPr>
      </w:r>
    </w:p>
    <w:p>
      <w:pPr>
        <w:pStyle w:val="667"/>
        <w:numPr>
          <w:ilvl w:val="0"/>
          <w:numId w:val="3"/>
        </w:numPr>
        <w:ind w:left="284" w:right="165" w:firstLine="567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требования информационной безопасности учитываются на всех этапах жизненного цикла ИТ-актива, вне зависимости от уровня конфиденциальности информации, обрабатываемой в ИТ-активе;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3"/>
        </w:numPr>
        <w:ind w:left="284" w:right="167" w:firstLine="567"/>
        <w:jc w:val="both"/>
        <w:spacing w:before="121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создание программных продуктов в интересах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 осуществляется с применением методов безопасной разработки программного обеспечения;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3"/>
        </w:numPr>
        <w:ind w:left="284" w:right="171" w:firstLine="567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предпочтительными являются ИТ-активы с наибольшим покрытием требований информационной безопасности встроенными функциями (при прочих равных характеристиках);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3"/>
        </w:numPr>
        <w:ind w:left="284" w:right="166" w:firstLine="567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встроенные функции по информационной безопасности должны быть настроены и использоваться при эксплуатации ИТ-активов, включая программно-аппаратные средства, автоматизированные системы управления и т.д.;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0"/>
          <w:numId w:val="3"/>
        </w:numPr>
        <w:ind w:left="284" w:right="166" w:firstLine="567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соответствие приобретаемого/внедряемого ИТ-актива требуемому уровню информационной безопасности подтверждается существующими процедурами, с учетом требований применимого законодательства.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Информационная безопасность как неотъемлемое свойство ИТ-сервиса (ИТ-услуги) – означает, что предлагаемые и оказываемые </w:t>
      </w:r>
      <w:r>
        <w:rPr>
          <w:rFonts w:ascii="Arial Narrow" w:hAnsi="Arial Narrow"/>
          <w:sz w:val="24"/>
          <w:szCs w:val="24"/>
          <w:lang w:eastAsia="ru-RU"/>
        </w:rPr>
        <w:t xml:space="preserve">Групп</w:t>
      </w:r>
      <w:r>
        <w:rPr>
          <w:rFonts w:ascii="Arial Narrow" w:hAnsi="Arial Narrow"/>
          <w:sz w:val="24"/>
          <w:szCs w:val="24"/>
          <w:lang w:eastAsia="ru-RU"/>
        </w:rPr>
        <w:t xml:space="preserve">е</w:t>
      </w:r>
      <w:r>
        <w:rPr>
          <w:rFonts w:ascii="Arial Narrow" w:hAnsi="Arial Narrow"/>
          <w:sz w:val="24"/>
          <w:szCs w:val="24"/>
          <w:lang w:eastAsia="ru-RU"/>
        </w:rPr>
        <w:t xml:space="preserve">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 или в интересах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 ИТ-услуги и ИТ-сервисы должны разрабатываться и оказываться с учетом требований информационной безопасности.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Совместимость – подразумевает подбор компонентов для обеспечения информационной безопасности способом, гарантирующим их взаимную си</w:t>
      </w:r>
      <w:r>
        <w:rPr>
          <w:rFonts w:ascii="Arial Narrow" w:hAnsi="Arial Narrow"/>
          <w:sz w:val="24"/>
          <w:szCs w:val="24"/>
          <w:lang w:eastAsia="ru-RU"/>
        </w:rPr>
        <w:t xml:space="preserve">стемную совместимость на информационном, программном, электромагнитном и эксплуатационном уровнях, а также совместимость с используемыми ИТ-решениями, информационными технологиями и с решениями по автоматизации технологических и производственных процессов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Надежность – использование компонентов и средств для обеспечения информационной безопасности, соответствующих требованиям по надежности, готовности и обслуживаемости.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Адекватность и обоснованность решений – принимаемые в </w:t>
      </w:r>
      <w:r>
        <w:rPr>
          <w:rFonts w:ascii="Arial Narrow" w:hAnsi="Arial Narrow"/>
          <w:sz w:val="24"/>
          <w:szCs w:val="24"/>
          <w:lang w:eastAsia="ru-RU"/>
        </w:rPr>
        <w:t xml:space="preserve">Групп</w:t>
      </w:r>
      <w:r>
        <w:rPr>
          <w:rFonts w:ascii="Arial Narrow" w:hAnsi="Arial Narrow"/>
          <w:sz w:val="24"/>
          <w:szCs w:val="24"/>
          <w:lang w:eastAsia="ru-RU"/>
        </w:rPr>
        <w:t xml:space="preserve">е</w:t>
      </w:r>
      <w:r>
        <w:rPr>
          <w:rFonts w:ascii="Arial Narrow" w:hAnsi="Arial Narrow"/>
          <w:sz w:val="24"/>
          <w:szCs w:val="24"/>
          <w:lang w:eastAsia="ru-RU"/>
        </w:rPr>
        <w:t xml:space="preserve">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 меры и применяемые средства информационной безопасности эффективны, результативны и соразмерны с величиной ИБ-рисков и угроз информационной безопасности, влияющих на цели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Комплексность – применение любых доступных законных методов, средств и</w:t>
      </w:r>
      <w:r>
        <w:rPr>
          <w:rFonts w:ascii="Arial Narrow" w:hAnsi="Arial Narrow"/>
          <w:sz w:val="24"/>
          <w:szCs w:val="24"/>
          <w:lang w:eastAsia="ru-RU"/>
        </w:rPr>
        <w:t xml:space="preserve"> мероприятий (включая законодательные и нормативно-правовые, организационно-административные, программно-технические, инженерно-технические, физические), направленных на снижение ИБ-рисков, пресечение угроз информационной безопасности и недопущение ущерба </w:t>
      </w:r>
      <w:r>
        <w:rPr>
          <w:rFonts w:ascii="Arial Narrow" w:hAnsi="Arial Narrow"/>
          <w:sz w:val="24"/>
          <w:szCs w:val="24"/>
          <w:lang w:eastAsia="ru-RU"/>
        </w:rPr>
        <w:t xml:space="preserve">Группы Компаний</w:t>
      </w:r>
      <w:r>
        <w:rPr>
          <w:rFonts w:ascii="Arial Narrow" w:hAnsi="Arial Narrow"/>
          <w:sz w:val="24"/>
          <w:szCs w:val="24"/>
          <w:lang w:eastAsia="ru-RU"/>
        </w:rPr>
        <w:t xml:space="preserve">, её Деловым партнёрам и работникам.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Разделение и минимизация полномочий – означает, что выполнение критичных (итоговых) операций проводится только посредством разделения действий (например, алгоритмического разделения, вре</w:t>
      </w:r>
      <w:r>
        <w:rPr>
          <w:rFonts w:ascii="Arial Narrow" w:hAnsi="Arial Narrow"/>
          <w:sz w:val="24"/>
          <w:szCs w:val="24"/>
          <w:lang w:eastAsia="ru-RU"/>
        </w:rPr>
        <w:t xml:space="preserve">менного или ресурсного - в т.ч. двумя работниками). Исключение единоличного совершения критичной операции может быть организовано на уровне организационных мер и/или программно-технических средств за счет выделения полномочий или роли пользователя. Програм</w:t>
      </w:r>
      <w:r>
        <w:rPr>
          <w:rFonts w:ascii="Arial Narrow" w:hAnsi="Arial Narrow"/>
          <w:sz w:val="24"/>
          <w:szCs w:val="24"/>
          <w:lang w:eastAsia="ru-RU"/>
        </w:rPr>
        <w:t xml:space="preserve">мно-технический способ разделений полномочий является предпочтительным относительно организационного. Должны осуществляться контроль реализации принципов разграничения критических полномочий в ИС, ограничение прав доступа, в зависимости от уровня согласова</w:t>
      </w:r>
      <w:r>
        <w:rPr>
          <w:rFonts w:ascii="Arial Narrow" w:hAnsi="Arial Narrow"/>
          <w:sz w:val="24"/>
          <w:szCs w:val="24"/>
          <w:lang w:eastAsia="ru-RU"/>
        </w:rPr>
        <w:t xml:space="preserve">нных полномочий. Полномочия должны быть минимально достаточными для выполнения лицом своих должностных обязанностей, либо выполнения контрактных обязательств. При необходимости должен осуществляться контроль конфликта полномочий – организационный, а также </w:t>
      </w:r>
      <w:r>
        <w:rPr>
          <w:rFonts w:ascii="Arial Narrow" w:hAnsi="Arial Narrow"/>
          <w:sz w:val="24"/>
          <w:szCs w:val="24"/>
          <w:lang w:eastAsia="ru-RU"/>
        </w:rPr>
        <w:t xml:space="preserve">программно-аппаратный.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pStyle w:val="667"/>
        <w:numPr>
          <w:ilvl w:val="1"/>
          <w:numId w:val="14"/>
        </w:numPr>
        <w:ind w:left="0" w:right="166" w:firstLine="709"/>
        <w:jc w:val="both"/>
        <w:tabs>
          <w:tab w:val="num" w:pos="284" w:leader="none"/>
          <w:tab w:val="left" w:pos="792" w:leader="none"/>
          <w:tab w:val="left" w:pos="794" w:leader="none"/>
        </w:tabs>
        <w:rPr>
          <w:rFonts w:ascii="Arial Narrow" w:hAnsi="Arial Narrow"/>
          <w:sz w:val="24"/>
          <w:szCs w:val="24"/>
          <w:lang w:eastAsia="ru-RU"/>
        </w:rPr>
      </w:pPr>
      <w:r>
        <w:rPr>
          <w:rFonts w:ascii="Arial Narrow" w:hAnsi="Arial Narrow"/>
          <w:sz w:val="24"/>
          <w:szCs w:val="24"/>
          <w:lang w:eastAsia="ru-RU"/>
        </w:rPr>
        <w:t xml:space="preserve">Постоянство совершенствования информационной безопасности – обеспечение постоянного улучшения существующей практики и совершенствования средств и методов управления и обеспечения информационной безопасности на основе результатов аудитов инфор</w:t>
      </w:r>
      <w:r>
        <w:rPr>
          <w:rFonts w:ascii="Arial Narrow" w:hAnsi="Arial Narrow"/>
          <w:sz w:val="24"/>
          <w:szCs w:val="24"/>
          <w:lang w:eastAsia="ru-RU"/>
        </w:rPr>
        <w:t xml:space="preserve">мационной безопасности, мониторинга функционирования систем информационной безопасности, анализа изменений в методах и средствах компьютерных атак, анализа нормативных требований и существующего передового отечественного и зарубежного опыта в этой области.</w:t>
      </w:r>
      <w:r>
        <w:rPr>
          <w:rFonts w:ascii="Arial Narrow" w:hAnsi="Arial Narrow"/>
          <w:sz w:val="24"/>
          <w:szCs w:val="24"/>
          <w:lang w:eastAsia="ru-RU"/>
        </w:rPr>
      </w:r>
    </w:p>
    <w:p>
      <w:pPr>
        <w:ind w:firstLine="709"/>
        <w:jc w:val="both"/>
        <w:spacing w:after="0"/>
        <w:tabs>
          <w:tab w:val="num" w:pos="284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56"/>
        <w:ind w:left="709" w:right="170"/>
        <w:jc w:val="both"/>
        <w:spacing w:before="0"/>
        <w:tabs>
          <w:tab w:val="left" w:pos="822" w:leader="none"/>
          <w:tab w:val="left" w:pos="4490" w:leader="none"/>
          <w:tab w:val="left" w:pos="5267" w:leader="none"/>
          <w:tab w:val="left" w:pos="7723" w:leader="none"/>
          <w:tab w:val="left" w:pos="8303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7. 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Ответственность за нарушения в области информационной безопасности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Работники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должны выполнять требования и правила информационной безопасности при работе с информацией и ИТ-активами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и её Деловых партнёров.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Высокие корпоративные стандарты и правила обеспечения информационной безопасности обязательны для всех без исключения работников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и должны учитываться во взаимоотношениях с Деловыми партнерами.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Руководство </w:t>
      </w:r>
      <w:r>
        <w:rPr>
          <w:rFonts w:ascii="Arial Narrow" w:hAnsi="Arial Narrow"/>
          <w:lang w:eastAsia="ru-RU"/>
        </w:rPr>
        <w:t xml:space="preserve">Группы </w:t>
      </w:r>
      <w:r>
        <w:rPr>
          <w:rFonts w:ascii="Arial Narrow" w:hAnsi="Arial Narrow"/>
          <w:lang w:eastAsia="ru-RU"/>
        </w:rPr>
        <w:t xml:space="preserve">Компани</w:t>
      </w:r>
      <w:r>
        <w:rPr>
          <w:rFonts w:ascii="Arial Narrow" w:hAnsi="Arial Narrow"/>
          <w:lang w:eastAsia="ru-RU"/>
        </w:rPr>
        <w:t xml:space="preserve">й</w:t>
      </w:r>
      <w:r>
        <w:rPr>
          <w:rFonts w:ascii="Arial Narrow" w:hAnsi="Arial Narrow"/>
          <w:lang w:eastAsia="ru-RU"/>
        </w:rPr>
        <w:t xml:space="preserve"> возлагает ответственность на руководителей структурных подразделений, за организацию повседневной деятельности и выделение необходимых ресурсов для обеспечения информационной безопасности как неотъемл</w:t>
      </w:r>
      <w:r>
        <w:rPr>
          <w:rFonts w:ascii="Arial Narrow" w:hAnsi="Arial Narrow"/>
          <w:lang w:eastAsia="ru-RU"/>
        </w:rPr>
        <w:t xml:space="preserve">емой составляющей бизнес- и производственных процессов; за своевременную идентификацию значимых ИТ-активов, назначение ответственных за ИТ-активы и управление доступа к ним; за предъявление установленных требований информационной безопасности к работникам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и Деловым партнерам, использующим ИТ-активы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, и контроль за их выполнением.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При использовании сети Интернет, при общении в социальных сетях и мессенджерах, использовании электронной почты, других средств телекоммуникаций и мобильных технических средств работникам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</w:t>
      </w:r>
      <w:r>
        <w:rPr>
          <w:rFonts w:ascii="Arial Narrow" w:hAnsi="Arial Narrow"/>
          <w:lang w:eastAsia="ru-RU"/>
        </w:rPr>
        <w:t xml:space="preserve">надлежит</w:t>
      </w:r>
      <w:r>
        <w:rPr>
          <w:rFonts w:ascii="Arial Narrow" w:hAnsi="Arial Narrow"/>
          <w:lang w:eastAsia="ru-RU"/>
        </w:rPr>
        <w:t xml:space="preserve"> проявлять осмотрительность и сдержанность, чтобы не допускать рисков личной безопасности, а также избегать непреднамеренной утечки рабочей информации.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Каждый работник </w:t>
      </w:r>
      <w:r>
        <w:rPr>
          <w:rFonts w:ascii="Arial Narrow" w:hAnsi="Arial Narrow"/>
          <w:lang w:eastAsia="ru-RU"/>
        </w:rPr>
        <w:t xml:space="preserve">Группы Компаний</w:t>
      </w:r>
      <w:r>
        <w:rPr>
          <w:rFonts w:ascii="Arial Narrow" w:hAnsi="Arial Narrow"/>
          <w:lang w:eastAsia="ru-RU"/>
        </w:rPr>
        <w:t xml:space="preserve"> за несоблюдение требований информационной безопасности несет дисциплинарную, гражданско-правовую, административную и уголовную ответственность в соответствии с законодательством Российской Федерации.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5"/>
        </w:numPr>
        <w:ind w:left="0" w:right="166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Работники Деловых партнёров, использующие корпоративные ИТ-активы, а также предоставленную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ой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 информацию, несут ответственность в соответствии с договорными отношениями с </w:t>
      </w:r>
      <w:r>
        <w:rPr>
          <w:rFonts w:ascii="Arial Narrow" w:hAnsi="Arial Narrow"/>
          <w:lang w:eastAsia="ru-RU"/>
        </w:rPr>
        <w:t xml:space="preserve">Групп</w:t>
      </w:r>
      <w:r>
        <w:rPr>
          <w:rFonts w:ascii="Arial Narrow" w:hAnsi="Arial Narrow"/>
          <w:lang w:eastAsia="ru-RU"/>
        </w:rPr>
        <w:t xml:space="preserve">ой</w:t>
      </w:r>
      <w:r>
        <w:rPr>
          <w:rFonts w:ascii="Arial Narrow" w:hAnsi="Arial Narrow"/>
          <w:lang w:eastAsia="ru-RU"/>
        </w:rPr>
        <w:t xml:space="preserve"> Компаний</w:t>
      </w:r>
      <w:r>
        <w:rPr>
          <w:rFonts w:ascii="Arial Narrow" w:hAnsi="Arial Narrow"/>
          <w:lang w:eastAsia="ru-RU"/>
        </w:rPr>
        <w:t xml:space="preserve">, а также применимым законодательством.</w:t>
      </w:r>
      <w:r>
        <w:rPr>
          <w:rFonts w:ascii="Arial Narrow" w:hAnsi="Arial Narrow"/>
          <w:lang w:eastAsia="ru-RU"/>
        </w:rPr>
      </w:r>
    </w:p>
    <w:p>
      <w:pPr>
        <w:pStyle w:val="663"/>
        <w:ind w:left="709" w:right="166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</w:r>
      <w:r>
        <w:rPr>
          <w:rFonts w:ascii="Arial Narrow" w:hAnsi="Arial Narrow"/>
          <w:lang w:eastAsia="ru-RU"/>
        </w:rPr>
      </w:r>
    </w:p>
    <w:p>
      <w:pPr>
        <w:pStyle w:val="656"/>
        <w:numPr>
          <w:ilvl w:val="0"/>
          <w:numId w:val="19"/>
        </w:numPr>
        <w:ind w:left="0" w:firstLine="709"/>
        <w:jc w:val="both"/>
        <w:spacing w:before="0"/>
        <w:tabs>
          <w:tab w:val="left" w:pos="851" w:leader="none"/>
        </w:tabs>
        <w:rPr>
          <w:rFonts w:ascii="Arial Narrow" w:hAnsi="Arial Narrow" w:eastAsia="Times New Roman" w:cs="Times New Roman"/>
          <w:sz w:val="24"/>
          <w:szCs w:val="24"/>
          <w:lang w:eastAsia="ru-RU"/>
        </w:rPr>
      </w:pPr>
      <w:r>
        <w:rPr>
          <w:rFonts w:ascii="Arial Narrow" w:hAnsi="Arial Narrow" w:eastAsia="Times New Roman" w:cs="Times New Roman"/>
          <w:sz w:val="24"/>
          <w:szCs w:val="24"/>
          <w:lang w:eastAsia="ru-RU"/>
        </w:rPr>
        <w:t xml:space="preserve">Доведение и распространение политики</w:t>
      </w:r>
      <w:r>
        <w:rPr>
          <w:rFonts w:ascii="Arial Narrow" w:hAnsi="Arial Narrow" w:eastAsia="Times New Roman" w:cs="Times New Roman"/>
          <w:sz w:val="24"/>
          <w:szCs w:val="24"/>
          <w:lang w:eastAsia="ru-RU"/>
        </w:rPr>
      </w:r>
    </w:p>
    <w:p>
      <w:pPr>
        <w:pStyle w:val="663"/>
        <w:numPr>
          <w:ilvl w:val="1"/>
          <w:numId w:val="16"/>
        </w:numPr>
        <w:ind w:left="0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Настоящая Политика является публичной.</w:t>
      </w:r>
      <w:r>
        <w:rPr>
          <w:rFonts w:ascii="Arial Narrow" w:hAnsi="Arial Narrow"/>
          <w:lang w:eastAsia="ru-RU"/>
        </w:rPr>
      </w:r>
    </w:p>
    <w:p>
      <w:pPr>
        <w:pStyle w:val="663"/>
        <w:numPr>
          <w:ilvl w:val="1"/>
          <w:numId w:val="16"/>
        </w:numPr>
        <w:ind w:left="0" w:firstLine="709"/>
        <w:jc w:val="both"/>
        <w:tabs>
          <w:tab w:val="num" w:pos="284" w:leader="none"/>
        </w:tabs>
        <w:rPr>
          <w:rFonts w:ascii="Arial Narrow" w:hAnsi="Arial Narrow"/>
          <w:lang w:eastAsia="ru-RU"/>
        </w:rPr>
      </w:pPr>
      <w:r>
        <w:rPr>
          <w:rFonts w:ascii="Arial Narrow" w:hAnsi="Arial Narrow"/>
          <w:lang w:eastAsia="ru-RU"/>
        </w:rPr>
        <w:t xml:space="preserve">Группа Компаний</w:t>
      </w:r>
      <w:r>
        <w:rPr>
          <w:rFonts w:ascii="Arial Narrow" w:hAnsi="Arial Narrow"/>
          <w:lang w:eastAsia="ru-RU"/>
        </w:rPr>
        <w:t xml:space="preserve"> довод</w:t>
      </w:r>
      <w:r>
        <w:rPr>
          <w:rFonts w:ascii="Arial Narrow" w:hAnsi="Arial Narrow"/>
          <w:lang w:eastAsia="ru-RU"/>
        </w:rPr>
        <w:t xml:space="preserve">ит</w:t>
      </w:r>
      <w:r>
        <w:rPr>
          <w:rFonts w:ascii="Arial Narrow" w:hAnsi="Arial Narrow"/>
          <w:lang w:eastAsia="ru-RU"/>
        </w:rPr>
        <w:t xml:space="preserve"> настоящую Политику до своих Деловых партнеров, подрядных организаций и взаимодействуют с ними с учетом положений настоящей Политики.</w:t>
      </w:r>
      <w:r>
        <w:rPr>
          <w:rFonts w:ascii="Arial Narrow" w:hAnsi="Arial Narrow"/>
          <w:lang w:eastAsia="ru-RU"/>
        </w:rPr>
      </w:r>
    </w:p>
    <w:sectPr>
      <w:footnotePr/>
      <w:endnotePr/>
      <w:type w:val="nextPage"/>
      <w:pgSz w:w="11906" w:h="16838" w:orient="portrait"/>
      <w:pgMar w:top="1134" w:right="566" w:bottom="1134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Wingdings">
    <w:panose1 w:val="05010000000000000000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7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decimal"/>
      <w:isLgl w:val="false"/>
      <w:suff w:val="tab"/>
      <w:lvlText w:val="%1.%2."/>
      <w:lvlJc w:val="left"/>
      <w:pPr>
        <w:ind w:left="822" w:hanging="56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975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131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6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42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97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753" w:hanging="35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726" w:hanging="35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52" w:hanging="35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579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505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432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358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285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211" w:hanging="35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2"/>
      <w:numFmt w:val="decimal"/>
      <w:isLgl w:val="false"/>
      <w:suff w:val="tab"/>
      <w:lvlText w:val="%2."/>
      <w:lvlJc w:val="left"/>
      <w:pPr>
        <w:ind w:left="615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975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131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6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42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97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753" w:hanging="35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822" w:hanging="567"/>
      </w:pPr>
      <w:rPr>
        <w:rFonts w:hint="default" w:ascii="Arial Narrow" w:hAnsi="Arial Narrow" w:eastAsia="Arial" w:cs="Arial"/>
        <w:b w:val="0"/>
        <w:bCs w:val="0"/>
        <w:i w:val="0"/>
        <w:iCs w:val="0"/>
        <w:spacing w:val="0"/>
        <w:sz w:val="24"/>
        <w:szCs w:val="24"/>
      </w:rPr>
    </w:lvl>
    <w:lvl w:ilvl="2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</w:rPr>
    </w:lvl>
    <w:lvl w:ilvl="3">
      <w:start w:val="1"/>
      <w:numFmt w:val="bullet"/>
      <w:isLgl w:val="false"/>
      <w:suff w:val="tab"/>
      <w:lvlText w:val="•"/>
      <w:lvlJc w:val="left"/>
      <w:pPr>
        <w:ind w:left="1975" w:hanging="358"/>
      </w:pPr>
      <w:rPr>
        <w:rFonts w:hint="default"/>
      </w:rPr>
    </w:lvl>
    <w:lvl w:ilvl="4">
      <w:start w:val="1"/>
      <w:numFmt w:val="bullet"/>
      <w:isLgl w:val="false"/>
      <w:suff w:val="tab"/>
      <w:lvlText w:val="•"/>
      <w:lvlJc w:val="left"/>
      <w:pPr>
        <w:ind w:left="3131" w:hanging="358"/>
      </w:pPr>
      <w:rPr>
        <w:rFonts w:hint="default"/>
      </w:rPr>
    </w:lvl>
    <w:lvl w:ilvl="5">
      <w:start w:val="1"/>
      <w:numFmt w:val="bullet"/>
      <w:isLgl w:val="false"/>
      <w:suff w:val="tab"/>
      <w:lvlText w:val="•"/>
      <w:lvlJc w:val="left"/>
      <w:pPr>
        <w:ind w:left="4286" w:hanging="358"/>
      </w:pPr>
      <w:rPr>
        <w:rFonts w:hint="default"/>
      </w:rPr>
    </w:lvl>
    <w:lvl w:ilvl="6">
      <w:start w:val="1"/>
      <w:numFmt w:val="bullet"/>
      <w:isLgl w:val="false"/>
      <w:suff w:val="tab"/>
      <w:lvlText w:val="•"/>
      <w:lvlJc w:val="left"/>
      <w:pPr>
        <w:ind w:left="5442" w:hanging="358"/>
      </w:pPr>
      <w:rPr>
        <w:rFonts w:hint="default"/>
      </w:rPr>
    </w:lvl>
    <w:lvl w:ilvl="7">
      <w:start w:val="1"/>
      <w:numFmt w:val="bullet"/>
      <w:isLgl w:val="false"/>
      <w:suff w:val="tab"/>
      <w:lvlText w:val="•"/>
      <w:lvlJc w:val="left"/>
      <w:pPr>
        <w:ind w:left="6597" w:hanging="358"/>
      </w:pPr>
      <w:rPr>
        <w:rFonts w:hint="default"/>
      </w:rPr>
    </w:lvl>
    <w:lvl w:ilvl="8">
      <w:start w:val="1"/>
      <w:numFmt w:val="bullet"/>
      <w:isLgl w:val="false"/>
      <w:suff w:val="tab"/>
      <w:lvlText w:val="•"/>
      <w:lvlJc w:val="left"/>
      <w:pPr>
        <w:ind w:left="7753" w:hanging="358"/>
      </w:pPr>
      <w:rPr>
        <w:rFonts w:hint="default"/>
      </w:rPr>
    </w:lvl>
  </w:abstractNum>
  <w:abstractNum w:abstractNumId="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spacing w:val="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0"/>
        <w:sz w:val="24"/>
        <w:szCs w:val="24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</w:rPr>
    </w:lvl>
    <w:lvl w:ilvl="1">
      <w:start w:val="1"/>
      <w:numFmt w:val="decimal"/>
      <w:isLgl w:val="false"/>
      <w:suff w:val="tab"/>
      <w:lvlText w:val="%1.%2."/>
      <w:lvlJc w:val="left"/>
      <w:pPr>
        <w:ind w:left="822" w:hanging="56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</w:rPr>
    </w:lvl>
    <w:lvl w:ilvl="2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</w:rPr>
    </w:lvl>
    <w:lvl w:ilvl="3">
      <w:start w:val="1"/>
      <w:numFmt w:val="bullet"/>
      <w:isLgl w:val="false"/>
      <w:suff w:val="tab"/>
      <w:lvlText w:val="•"/>
      <w:lvlJc w:val="left"/>
      <w:pPr>
        <w:ind w:left="1975" w:hanging="358"/>
      </w:pPr>
      <w:rPr>
        <w:rFonts w:hint="default"/>
      </w:rPr>
    </w:lvl>
    <w:lvl w:ilvl="4">
      <w:start w:val="1"/>
      <w:numFmt w:val="bullet"/>
      <w:isLgl w:val="false"/>
      <w:suff w:val="tab"/>
      <w:lvlText w:val="•"/>
      <w:lvlJc w:val="left"/>
      <w:pPr>
        <w:ind w:left="3131" w:hanging="358"/>
      </w:pPr>
      <w:rPr>
        <w:rFonts w:hint="default"/>
      </w:rPr>
    </w:lvl>
    <w:lvl w:ilvl="5">
      <w:start w:val="1"/>
      <w:numFmt w:val="bullet"/>
      <w:isLgl w:val="false"/>
      <w:suff w:val="tab"/>
      <w:lvlText w:val="•"/>
      <w:lvlJc w:val="left"/>
      <w:pPr>
        <w:ind w:left="4286" w:hanging="358"/>
      </w:pPr>
      <w:rPr>
        <w:rFonts w:hint="default"/>
      </w:rPr>
    </w:lvl>
    <w:lvl w:ilvl="6">
      <w:start w:val="1"/>
      <w:numFmt w:val="bullet"/>
      <w:isLgl w:val="false"/>
      <w:suff w:val="tab"/>
      <w:lvlText w:val="•"/>
      <w:lvlJc w:val="left"/>
      <w:pPr>
        <w:ind w:left="5442" w:hanging="358"/>
      </w:pPr>
      <w:rPr>
        <w:rFonts w:hint="default"/>
      </w:rPr>
    </w:lvl>
    <w:lvl w:ilvl="7">
      <w:start w:val="1"/>
      <w:numFmt w:val="bullet"/>
      <w:isLgl w:val="false"/>
      <w:suff w:val="tab"/>
      <w:lvlText w:val="•"/>
      <w:lvlJc w:val="left"/>
      <w:pPr>
        <w:ind w:left="6597" w:hanging="358"/>
      </w:pPr>
      <w:rPr>
        <w:rFonts w:hint="default"/>
      </w:rPr>
    </w:lvl>
    <w:lvl w:ilvl="8">
      <w:start w:val="1"/>
      <w:numFmt w:val="bullet"/>
      <w:isLgl w:val="false"/>
      <w:suff w:val="tab"/>
      <w:lvlText w:val="•"/>
      <w:lvlJc w:val="left"/>
      <w:pPr>
        <w:ind w:left="7753" w:hanging="358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2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6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32"/>
        <w:szCs w:val="32"/>
        <w:lang w:val="ru-RU" w:eastAsia="en-US" w:bidi="ar-SA"/>
      </w:rPr>
    </w:lvl>
    <w:lvl w:ilvl="1">
      <w:start w:val="1"/>
      <w:numFmt w:val="decimal"/>
      <w:isLgl w:val="false"/>
      <w:suff w:val="tab"/>
      <w:lvlText w:val="%1.%2."/>
      <w:lvlJc w:val="left"/>
      <w:pPr>
        <w:ind w:left="822" w:hanging="567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"/>
      <w:lvlJc w:val="left"/>
      <w:pPr>
        <w:ind w:left="794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975" w:hanging="35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131" w:hanging="35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286" w:hanging="35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42" w:hanging="35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97" w:hanging="35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753" w:hanging="35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7"/>
  </w:num>
  <w:num w:numId="5">
    <w:abstractNumId w:val="18"/>
  </w:num>
  <w:num w:numId="6">
    <w:abstractNumId w:val="6"/>
  </w:num>
  <w:num w:numId="7">
    <w:abstractNumId w:val="4"/>
  </w:num>
  <w:num w:numId="8">
    <w:abstractNumId w:val="10"/>
  </w:num>
  <w:num w:numId="9">
    <w:abstractNumId w:val="8"/>
  </w:num>
  <w:num w:numId="10">
    <w:abstractNumId w:val="13"/>
  </w:num>
  <w:num w:numId="11">
    <w:abstractNumId w:val="3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6"/>
  </w:num>
  <w:num w:numId="17">
    <w:abstractNumId w:val="15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8"/>
    <w:link w:val="65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8"/>
    <w:link w:val="657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55"/>
    <w:next w:val="655"/>
    <w:link w:val="6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55"/>
    <w:next w:val="65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5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55"/>
    <w:next w:val="65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5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55"/>
    <w:next w:val="65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5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5"/>
    <w:next w:val="65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5"/>
    <w:next w:val="65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5"/>
    <w:next w:val="65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55"/>
    <w:next w:val="65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58"/>
    <w:link w:val="34"/>
    <w:uiPriority w:val="10"/>
    <w:rPr>
      <w:sz w:val="48"/>
      <w:szCs w:val="48"/>
    </w:rPr>
  </w:style>
  <w:style w:type="paragraph" w:styleId="36">
    <w:name w:val="Subtitle"/>
    <w:basedOn w:val="655"/>
    <w:next w:val="65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58"/>
    <w:link w:val="36"/>
    <w:uiPriority w:val="11"/>
    <w:rPr>
      <w:sz w:val="24"/>
      <w:szCs w:val="24"/>
    </w:rPr>
  </w:style>
  <w:style w:type="paragraph" w:styleId="38">
    <w:name w:val="Quote"/>
    <w:basedOn w:val="655"/>
    <w:next w:val="65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5"/>
    <w:next w:val="65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8"/>
    <w:link w:val="42"/>
    <w:uiPriority w:val="99"/>
  </w:style>
  <w:style w:type="paragraph" w:styleId="44">
    <w:name w:val="Footer"/>
    <w:basedOn w:val="65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8"/>
    <w:link w:val="44"/>
    <w:uiPriority w:val="99"/>
  </w:style>
  <w:style w:type="paragraph" w:styleId="46">
    <w:name w:val="Caption"/>
    <w:basedOn w:val="655"/>
    <w:next w:val="65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5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5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5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8"/>
    <w:uiPriority w:val="99"/>
    <w:unhideWhenUsed/>
    <w:rPr>
      <w:vertAlign w:val="superscript"/>
    </w:rPr>
  </w:style>
  <w:style w:type="paragraph" w:styleId="178">
    <w:name w:val="endnote text"/>
    <w:basedOn w:val="65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8"/>
    <w:uiPriority w:val="99"/>
    <w:semiHidden/>
    <w:unhideWhenUsed/>
    <w:rPr>
      <w:vertAlign w:val="superscript"/>
    </w:rPr>
  </w:style>
  <w:style w:type="paragraph" w:styleId="181">
    <w:name w:val="toc 1"/>
    <w:basedOn w:val="655"/>
    <w:next w:val="65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5"/>
    <w:next w:val="65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5"/>
    <w:next w:val="65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5"/>
    <w:next w:val="65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5"/>
    <w:next w:val="65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5"/>
    <w:next w:val="65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5"/>
    <w:next w:val="65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5"/>
    <w:next w:val="65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5"/>
    <w:next w:val="65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5"/>
    <w:next w:val="655"/>
    <w:uiPriority w:val="99"/>
    <w:unhideWhenUsed/>
    <w:pPr>
      <w:spacing w:after="0" w:afterAutospacing="0"/>
    </w:pPr>
  </w:style>
  <w:style w:type="paragraph" w:styleId="655" w:default="1">
    <w:name w:val="Normal"/>
    <w:qFormat/>
  </w:style>
  <w:style w:type="paragraph" w:styleId="656">
    <w:name w:val="Heading 1"/>
    <w:basedOn w:val="655"/>
    <w:link w:val="661"/>
    <w:uiPriority w:val="9"/>
    <w:qFormat/>
    <w:pPr>
      <w:ind w:left="255"/>
      <w:spacing w:before="271" w:after="0" w:line="240" w:lineRule="auto"/>
      <w:widowControl w:val="off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657">
    <w:name w:val="Heading 2"/>
    <w:basedOn w:val="655"/>
    <w:link w:val="662"/>
    <w:uiPriority w:val="9"/>
    <w:unhideWhenUsed/>
    <w:qFormat/>
    <w:pPr>
      <w:ind w:left="255"/>
      <w:spacing w:after="0" w:line="240" w:lineRule="auto"/>
      <w:widowControl w:val="off"/>
      <w:outlineLvl w:val="1"/>
    </w:pPr>
    <w:rPr>
      <w:rFonts w:ascii="Arial" w:hAnsi="Arial" w:eastAsia="Arial" w:cs="Arial"/>
      <w:b/>
      <w:bCs/>
      <w:sz w:val="24"/>
      <w:szCs w:val="24"/>
    </w:rPr>
  </w:style>
  <w:style w:type="character" w:styleId="658" w:default="1">
    <w:name w:val="Default Paragraph Font"/>
    <w:uiPriority w:val="1"/>
    <w:semiHidden/>
    <w:unhideWhenUsed/>
  </w:style>
  <w:style w:type="table" w:styleId="6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0" w:default="1">
    <w:name w:val="No List"/>
    <w:uiPriority w:val="99"/>
    <w:semiHidden/>
    <w:unhideWhenUsed/>
  </w:style>
  <w:style w:type="character" w:styleId="661" w:customStyle="1">
    <w:name w:val="Заголовок 1 Знак"/>
    <w:basedOn w:val="658"/>
    <w:link w:val="656"/>
    <w:uiPriority w:val="9"/>
    <w:rPr>
      <w:rFonts w:ascii="Arial" w:hAnsi="Arial" w:eastAsia="Arial" w:cs="Arial"/>
      <w:b/>
      <w:bCs/>
      <w:sz w:val="32"/>
      <w:szCs w:val="32"/>
    </w:rPr>
  </w:style>
  <w:style w:type="character" w:styleId="662" w:customStyle="1">
    <w:name w:val="Заголовок 2 Знак"/>
    <w:basedOn w:val="658"/>
    <w:link w:val="657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Body Text"/>
    <w:basedOn w:val="655"/>
    <w:link w:val="664"/>
    <w:uiPriority w:val="1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4"/>
      <w:szCs w:val="24"/>
    </w:rPr>
  </w:style>
  <w:style w:type="character" w:styleId="664" w:customStyle="1">
    <w:name w:val="Основной текст Знак"/>
    <w:basedOn w:val="658"/>
    <w:link w:val="663"/>
    <w:uiPriority w:val="1"/>
    <w:rPr>
      <w:rFonts w:ascii="Times New Roman" w:hAnsi="Times New Roman" w:eastAsia="Times New Roman" w:cs="Times New Roman"/>
      <w:sz w:val="24"/>
      <w:szCs w:val="24"/>
    </w:rPr>
  </w:style>
  <w:style w:type="table" w:styleId="665" w:customStyle="1">
    <w:name w:val="Table Normal"/>
    <w:uiPriority w:val="2"/>
    <w:semiHidden/>
    <w:unhideWhenUsed/>
    <w:qFormat/>
    <w:pPr>
      <w:spacing w:after="0" w:line="240" w:lineRule="auto"/>
      <w:widowControl w:val="off"/>
    </w:pPr>
    <w:rPr>
      <w:lang w:val="en-US"/>
    </w:rPr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66" w:customStyle="1">
    <w:name w:val="Table Paragraph"/>
    <w:basedOn w:val="655"/>
    <w:uiPriority w:val="1"/>
    <w:qFormat/>
    <w:pPr>
      <w:ind w:left="115"/>
      <w:spacing w:after="0" w:line="240" w:lineRule="auto"/>
      <w:widowControl w:val="off"/>
    </w:pPr>
    <w:rPr>
      <w:rFonts w:ascii="Times New Roman" w:hAnsi="Times New Roman" w:eastAsia="Times New Roman" w:cs="Times New Roman"/>
    </w:rPr>
  </w:style>
  <w:style w:type="paragraph" w:styleId="667">
    <w:name w:val="List Paragraph"/>
    <w:basedOn w:val="655"/>
    <w:uiPriority w:val="34"/>
    <w:qFormat/>
    <w:pPr>
      <w:ind w:left="794" w:hanging="358"/>
      <w:spacing w:before="120" w:after="0" w:line="240" w:lineRule="auto"/>
      <w:widowControl w:val="off"/>
    </w:pPr>
    <w:rPr>
      <w:rFonts w:ascii="Times New Roman" w:hAnsi="Times New Roman" w:eastAsia="Times New Roman" w:cs="Times New Roman"/>
    </w:rPr>
  </w:style>
  <w:style w:type="character" w:styleId="668" w:customStyle="1">
    <w:name w:val="Heading 3 Char"/>
    <w:basedOn w:val="658"/>
    <w:uiPriority w:val="9"/>
    <w:rPr>
      <w:rFonts w:ascii="Arial" w:hAnsi="Arial" w:eastAsia="Arial" w:cs="Arial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Быханов Валерий Алексеевич</dc:creator>
  <cp:keywords/>
  <dc:description/>
  <cp:lastModifiedBy>Габидуллин Ренат</cp:lastModifiedBy>
  <cp:revision>4</cp:revision>
  <dcterms:created xsi:type="dcterms:W3CDTF">2025-06-30T06:20:00Z</dcterms:created>
  <dcterms:modified xsi:type="dcterms:W3CDTF">2025-06-30T06:40:07Z</dcterms:modified>
</cp:coreProperties>
</file>