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28"/>
        </w:rPr>
        <w:t>БУЗОО "МИАЦ"</w:t>
      </w:r>
    </w:p>
    <w:p/>
    <w:p>
      <w:pPr>
        <w:jc w:val="center"/>
      </w:pPr>
      <w:r>
        <w:rPr>
          <w:b/>
          <w:color w:val="003366"/>
          <w:sz w:val="32"/>
        </w:rPr>
        <w:t>ИНСТРУКЦИЯ ПО ИНФОРМАЦИОННОЙ БЕЗОПАСНОСТИ</w:t>
      </w:r>
    </w:p>
    <w:p/>
    <w:p/>
    <w:p>
      <w:pPr>
        <w:jc w:val="center"/>
      </w:pPr>
      <w:r>
        <w:rPr>
          <w:color w:val="646464"/>
          <w:sz w:val="20"/>
        </w:rPr>
        <w:t>Версия: 1.0 | Дата: 28.04.2026</w:t>
      </w:r>
    </w:p>
    <w:p>
      <w:r>
        <w:br w:type="page"/>
      </w:r>
    </w:p>
    <w:p/>
    <w:p/>
    <w:p/>
    <w:p>
      <w:pPr>
        <w:jc w:val="right"/>
      </w:pPr>
      <w:r>
        <w:rPr>
          <w:rFonts w:ascii="Times New Roman" w:hAnsi="Times New Roman"/>
          <w:sz w:val="20"/>
        </w:rPr>
        <w:t>УТВЕРЖДАЮ</w:t>
        <w:br/>
      </w:r>
      <w:r>
        <w:rPr>
          <w:rFonts w:ascii="Times New Roman" w:hAnsi="Times New Roman"/>
          <w:sz w:val="20"/>
        </w:rPr>
        <w:t>Директор</w:t>
        <w:br/>
      </w:r>
      <w:r>
        <w:rPr>
          <w:rFonts w:ascii="Times New Roman" w:hAnsi="Times New Roman"/>
          <w:sz w:val="20"/>
        </w:rPr>
        <w:t>БУЗОО "МИАЦ"</w:t>
        <w:br/>
      </w:r>
      <w:r>
        <w:rPr>
          <w:rFonts w:ascii="Times New Roman" w:hAnsi="Times New Roman"/>
          <w:sz w:val="20"/>
        </w:rPr>
        <w:t>_________________ /</w:t>
      </w:r>
      <w:r>
        <w:rPr>
          <w:rFonts w:ascii="Times New Roman" w:hAnsi="Times New Roman"/>
          <w:sz w:val="20"/>
        </w:rPr>
        <w:t>____________</w:t>
      </w:r>
      <w:r>
        <w:rPr>
          <w:rFonts w:ascii="Times New Roman" w:hAnsi="Times New Roman"/>
          <w:sz w:val="20"/>
        </w:rPr>
        <w:t>/</w:t>
        <w:br/>
      </w:r>
      <w:r>
        <w:rPr>
          <w:rFonts w:ascii="Times New Roman" w:hAnsi="Times New Roman"/>
          <w:sz w:val="20"/>
        </w:rPr>
        <w:t>«___» ____________ 20__ г.</w:t>
      </w:r>
    </w:p>
    <w:p>
      <w:r>
        <w:br w:type="page"/>
      </w:r>
    </w:p>
    <w:p>
      <w:pPr>
        <w:pStyle w:val="Heading1"/>
      </w:pPr>
      <w:r>
        <w:t>ЛИСТ СОГЛАСОВАНИЯ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</w:rPr>
              <w:t>Должность</w:t>
            </w:r>
          </w:p>
        </w:tc>
        <w:tc>
          <w:tcPr>
            <w:tcW w:type="dxa" w:w="3230"/>
          </w:tcPr>
          <w:p>
            <w:r>
              <w:rPr>
                <w:b/>
              </w:rPr>
              <w:t>Подпись</w:t>
            </w:r>
          </w:p>
        </w:tc>
        <w:tc>
          <w:tcPr>
            <w:tcW w:type="dxa" w:w="3230"/>
          </w:tcPr>
          <w:p>
            <w:r>
              <w:rPr>
                <w:b/>
              </w:rPr>
              <w:t>Дата</w:t>
            </w:r>
          </w:p>
        </w:tc>
      </w:tr>
      <w:tr>
        <w:tc>
          <w:tcPr>
            <w:tcW w:type="dxa" w:w="3230"/>
          </w:tcPr>
          <w:p>
            <w:r>
              <w:t>Руководитель службы ИБ</w:t>
            </w:r>
          </w:p>
        </w:tc>
        <w:tc>
          <w:tcPr>
            <w:tcW w:type="dxa" w:w="3230"/>
          </w:tcPr>
          <w:p>
            <w:r>
              <w:t>_________________</w:t>
            </w:r>
          </w:p>
        </w:tc>
        <w:tc>
          <w:tcPr>
            <w:tcW w:type="dxa" w:w="3230"/>
          </w:tcPr>
          <w:p>
            <w:r>
              <w:t>___.___.____</w:t>
            </w:r>
          </w:p>
        </w:tc>
      </w:tr>
      <w:tr>
        <w:tc>
          <w:tcPr>
            <w:tcW w:type="dxa" w:w="3230"/>
          </w:tcPr>
          <w:p>
            <w:r>
              <w:t>Юрисконсульт</w:t>
            </w:r>
          </w:p>
        </w:tc>
        <w:tc>
          <w:tcPr>
            <w:tcW w:type="dxa" w:w="3230"/>
          </w:tcPr>
          <w:p>
            <w:r>
              <w:t>_________________</w:t>
            </w:r>
          </w:p>
        </w:tc>
        <w:tc>
          <w:tcPr>
            <w:tcW w:type="dxa" w:w="3230"/>
          </w:tcPr>
          <w:p>
            <w:r>
              <w:t>___.___.____</w:t>
            </w:r>
          </w:p>
        </w:tc>
      </w:tr>
      <w:tr>
        <w:tc>
          <w:tcPr>
            <w:tcW w:type="dxa" w:w="3230"/>
          </w:tcPr>
          <w:p>
            <w:r>
              <w:t>Начальник отдела кадров</w:t>
            </w:r>
          </w:p>
        </w:tc>
        <w:tc>
          <w:tcPr>
            <w:tcW w:type="dxa" w:w="3230"/>
          </w:tcPr>
          <w:p>
            <w:r>
              <w:t>_________________</w:t>
            </w:r>
          </w:p>
        </w:tc>
        <w:tc>
          <w:tcPr>
            <w:tcW w:type="dxa" w:w="3230"/>
          </w:tcPr>
          <w:p>
            <w:r>
              <w:t>___.___.____</w:t>
            </w:r>
          </w:p>
        </w:tc>
      </w:tr>
    </w:tbl>
    <w:p/>
    <w:p>
      <w:pPr>
        <w:pStyle w:val="Heading1"/>
      </w:pPr>
      <w:r>
        <w:t>ЛИСТ СОГЛАСОВАНИЯ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</w:rPr>
              <w:t>Должность</w:t>
            </w:r>
          </w:p>
        </w:tc>
        <w:tc>
          <w:tcPr>
            <w:tcW w:type="dxa" w:w="3230"/>
          </w:tcPr>
          <w:p>
            <w:r>
              <w:rPr>
                <w:b/>
              </w:rPr>
              <w:t>Подпись</w:t>
            </w:r>
          </w:p>
        </w:tc>
        <w:tc>
          <w:tcPr>
            <w:tcW w:type="dxa" w:w="3230"/>
          </w:tcPr>
          <w:p>
            <w:r>
              <w:rPr>
                <w:b/>
              </w:rPr>
              <w:t>Дата</w:t>
            </w:r>
          </w:p>
        </w:tc>
      </w:tr>
      <w:tr>
        <w:tc>
          <w:tcPr>
            <w:tcW w:type="dxa" w:w="3230"/>
          </w:tcPr>
          <w:p>
            <w:r>
              <w:t>Руководитель службы ИБ</w:t>
            </w:r>
          </w:p>
        </w:tc>
        <w:tc>
          <w:tcPr>
            <w:tcW w:type="dxa" w:w="3230"/>
          </w:tcPr>
          <w:p>
            <w:r>
              <w:t>_________________</w:t>
            </w:r>
          </w:p>
        </w:tc>
        <w:tc>
          <w:tcPr>
            <w:tcW w:type="dxa" w:w="3230"/>
          </w:tcPr>
          <w:p>
            <w:r>
              <w:t>___.___.____</w:t>
            </w:r>
          </w:p>
        </w:tc>
      </w:tr>
      <w:tr>
        <w:tc>
          <w:tcPr>
            <w:tcW w:type="dxa" w:w="3230"/>
          </w:tcPr>
          <w:p>
            <w:r>
              <w:t>Юрисконсульт</w:t>
            </w:r>
          </w:p>
        </w:tc>
        <w:tc>
          <w:tcPr>
            <w:tcW w:type="dxa" w:w="3230"/>
          </w:tcPr>
          <w:p>
            <w:r>
              <w:t>_________________</w:t>
            </w:r>
          </w:p>
        </w:tc>
        <w:tc>
          <w:tcPr>
            <w:tcW w:type="dxa" w:w="3230"/>
          </w:tcPr>
          <w:p>
            <w:r>
              <w:t>___.___.____</w:t>
            </w:r>
          </w:p>
        </w:tc>
      </w:tr>
      <w:tr>
        <w:tc>
          <w:tcPr>
            <w:tcW w:type="dxa" w:w="3230"/>
          </w:tcPr>
          <w:p>
            <w:r>
              <w:t>Начальник отдела кадров</w:t>
            </w:r>
          </w:p>
        </w:tc>
        <w:tc>
          <w:tcPr>
            <w:tcW w:type="dxa" w:w="3230"/>
          </w:tcPr>
          <w:p>
            <w:r>
              <w:t>_________________</w:t>
            </w:r>
          </w:p>
        </w:tc>
        <w:tc>
          <w:tcPr>
            <w:tcW w:type="dxa" w:w="3230"/>
          </w:tcPr>
          <w:p>
            <w:r>
              <w:t>___.___.____</w:t>
            </w:r>
          </w:p>
        </w:tc>
      </w:tr>
    </w:tbl>
    <w:p/>
    <w:p>
      <w:pPr>
        <w:pStyle w:val="Heading1"/>
      </w:pPr>
      <w:r>
        <w:t>1. КРАТКОЕ РЕЗЮМЕ</w:t>
      </w:r>
    </w:p>
    <w:p>
      <w:r>
        <w:t>• Сформировано разделов: 6</w:t>
        <w:br/>
      </w:r>
      <w:r>
        <w:t>• Источники: fstek_239, gost_57580</w:t>
        <w:br/>
      </w:r>
      <w:r>
        <w:t>• Стандарты: ГОСТ Р 57580, ISO 27001</w:t>
      </w:r>
    </w:p>
    <w:p/>
    <w:p>
      <w:pPr>
        <w:pStyle w:val="Heading1"/>
      </w:pPr>
      <w:r>
        <w:t>2. Область Применения</w:t>
      </w:r>
    </w:p>
    <w:p>
      <w:pPr>
        <w:spacing w:after="120"/>
      </w:pPr>
      <w:r>
        <w:t>Данный раздел регламентирует требования к информационной безопасности (ИБ) в отношении объектов и процессов, находящихся под управлением МИАЦ. Область применения охватывает все системы, сети, приложения и данные, используемые для выполнения функциональных задач МИАЦ, а также любые внешние ресурсы, с которыми осуществляется взаимодействие. В соответствии со статьей 4 ГОСТ Р 57580, все процессы обработки и хранения информации должны быть защищены от несанкционированного доступа, изменения, уничтожения или разглашения. МИАЦ обязуется обеспечить надежность и безопасность всей информационной инфраструктуры, включая физическое оборудование, программное обеспечение и персонал, а также соблюдать все действующие нормативные акты в области ИБ.</w:t>
      </w:r>
    </w:p>
    <w:p>
      <w:pPr>
        <w:pStyle w:val="Heading1"/>
      </w:pPr>
      <w:r>
        <w:t>3. Подготовка К Работе</w:t>
      </w:r>
    </w:p>
    <w:p>
      <w:pPr>
        <w:spacing w:after="120"/>
      </w:pPr>
      <w:r>
        <w:t>В целях обеспечения информационной безопасности в МИАЦ необходимо выполнить комплекс мероприятий по подготовке к работе. В первую очередь, следует организовать шифрование данных на всех рабочих местах и серверах для предотвращения несанкционированного доступа к конфиденциальной информации (ГОСТ Р 57580 п. 6.2). Шифрование должно быть применено как к статическим данным, так и к трафику в сети. Кроме того, необходимо внедрить журналирование всех операций с информационными ресурсами для последующего анализа и выявления нарушений (ГОСТ Р 57580 п. 6.3). Журналы должны содержать информацию о времени выполнения операции, пользователе, выполняющем действие, а также об объекте действия. Внедрение резервного копирования данных с периодичностью не менее одного раза в неделю обеспечит возможность восстановления информации при технических сбоях или кибератаках (ГОСТ Р 57580 п. 6.4). Регулярное тестирование резервных копий и их проверка на целостность являются обязательными шагами для поддержания надежности системы. Порядок контроля за выполнением мероприятий по подготовке к работе должен включать проведение внутренних аудитов с участием специализированного отдела информационной безопасности и регулярное обучение сотрудников МИАЦ о важности соблюдения мер информационной безопасности (ГОСТ Р 57580 п. 6.1).</w:t>
      </w:r>
    </w:p>
    <w:p>
      <w:pPr>
        <w:pStyle w:val="Heading1"/>
      </w:pPr>
      <w:r>
        <w:t>4. Порядок Выполнения</w:t>
      </w:r>
    </w:p>
    <w:p>
      <w:pPr>
        <w:spacing w:after="120"/>
      </w:pPr>
      <w:r>
        <w:t>Порядок выполнения мероприятий по обеспечению информационной безопасности в МИАЦ определяется следующими параметрами. В соответствии с требованиями ГОСТ Р 57580, все системы и приложения должны быть защищены от несанкционированного доступа и воздействия. Для защиты информации используется шифрование данных на всех этапах их хранения и передачи. Шифрование применяется с использованием стандартов ФСТЭК России, включая блочные и потоковые алгоритмы шифрования. В МИАЦ также внедрена система журналирования всех операций, выполняемых пользователями и системами, что позволяет отслеживать любые изменения в информации и действиях пользователей. Журналы хранятся на защищенных серверах с регулярным резервным копированием данных для обеспечения их сохранности при возникновении технических проблем или катастрофических событий. Регулярное резервное копирование осуществляется в соответствии с требованиями ГОСТ Р 57580, что гарантирует доступность информации в случае потери исходных данных. Контроль за соблюдением требований по информационной безопасности проводится ежеквартально, а также при выявлении угроз или изменений в законодательстве.</w:t>
      </w:r>
    </w:p>
    <w:p>
      <w:pPr>
        <w:pStyle w:val="Heading1"/>
      </w:pPr>
      <w:r>
        <w:t>5. Требования Безопасности</w:t>
      </w:r>
    </w:p>
    <w:p>
      <w:pPr>
        <w:spacing w:after="120"/>
      </w:pPr>
      <w:r>
        <w:t>В МИАЦ установлены строгие требования к обеспечению информационной безопасности, направленные на предотвращение несанкционированного доступа и утечки конфиденциальной информации. В соответствии с ГОСТ Р 57580-2013 "Информационная безопасность. Системы управления информационной безопасностью. Требования к созданию, функционированию и поддержке", все системы и приложения, используемые в МИАЦ, должны быть защищены с использованием комплекса мер, включающих шифрование данных, журналирование операций и регулярное резервное копирование. Шифрование применяется для защиты информации от несанкционированного доступа путем преобразования данных в непонятный вид без использования ключа шифрования. В МИАЦ используются стандарты шифрования, соответствующие требованиям ФСТЭК России. Журнал операций обеспечивает учет всех действий пользователей и систем, что позволяет выявлять нарушения и предотвращать утечки информации. Регулярное резервное копирование данных гарантирует их восстановление в случае технических сбоев или других непредвиденных ситуаций. Контроль за соблюдением требований безопасности осуществляется через регулярные аудиты и проверки, направленные на выявление возможных уязвимостей и недостатков в системах защиты информации.</w:t>
      </w:r>
    </w:p>
    <w:p>
      <w:pPr>
        <w:pStyle w:val="Heading1"/>
      </w:pPr>
      <w:r>
        <w:t>6. Действия В Нештатных Ситуациях</w:t>
      </w:r>
    </w:p>
    <w:p>
      <w:pPr>
        <w:spacing w:after="120"/>
      </w:pPr>
      <w:r>
        <w:t>В случае возникновения нештатной ситуации, связанной с информационной безопасностью (ИБ), МИАЦ немедленно приступает к выполнению установленных мер. В первую очередь осуществляется шифрование данных и систем, что обеспечивает их защиту от несанкционированного доступа или изменения. Шифрование применяется согласно требованиям ФСТЭК России, в частности, в соответствии с пунктом 4.2 ГОСТ Р 57580-2016 "Информационная безопасность. Электронные документы. Требования к защите информации". Кроме того, МИАЦ осуществляет журналирование всех действий, связанных с ИБ, включая действия по восстановлению системы и обработке данных. Журнал хранится на отдельном сервере, обеспечивающем его доступность и целостность. Регулярное резервное копирование данных также является обязательным мероприятием для предотвращения потери информации в случае аварийных ситуаций. Резервные копии хранятся на внешних носителях, защищенных от несанкционированного доступа и обеспечиваются регулярной проверкой их целостности и актуальности согласно пункту 5.3 ГОСТ Р ИСО/МЭК 27040-2016 "Информационная безопасность. Методы оценки рисков"</w:t>
      </w:r>
    </w:p>
    <w:p>
      <w:pPr>
        <w:pStyle w:val="Heading1"/>
      </w:pPr>
      <w:r>
        <w:t>7. Завершение Работы</w:t>
      </w:r>
    </w:p>
    <w:p>
      <w:pPr>
        <w:spacing w:after="120"/>
      </w:pPr>
      <w:r>
        <w:t>При завершении рабочего процесса в МИАЦ необходимо обеспечить безопасное прекращение всех операций, связанных с обработкой и хранением информации. Для этого применяются следующие меры: шифрование данных перед передачей или сохранением на носителях информации; журналирование всех действий, выполняемых в процессе работы системы; резервное копирование ключевых данных с последующим хранением их в защищенном виде. Шифрование данных осуществляется с использованием алгоритмов, соответствующих требованиям ГОСТ Р 57580-2019, что обеспечивает защиту информации от несанкционированного доступа и изменения. Журналы действий регистрируются в автоматизированной системе управления информационной безопасностью МИАЦ, где они хранятся на протяжении не менее трех лет для последующего анализа и проверки. Резервное копирование осуществляется ежедневно с использованием специализированных программных средств, обеспечивающих целостность данных и их защиту от потери или повреждения. Контроль за соблюдением требований по завершению работы проводится ежеквартально ответственными лицами МИАЦ с использованием методик, разработанных в соответствии с ГОСТ Р 57580-2019.</w:t>
      </w:r>
    </w:p>
    <w:p>
      <w:pPr>
        <w:pStyle w:val="Heading1"/>
      </w:pPr>
      <w:r>
        <w:t>Приложение А. Нормативные ссылки</w:t>
      </w:r>
    </w:p>
    <w:p>
      <w:pPr>
        <w:pStyle w:val="ListBullet"/>
        <w:spacing w:after="80"/>
      </w:pPr>
      <w:r>
        <w:t>fstek_239</w:t>
      </w:r>
    </w:p>
    <w:p>
      <w:pPr>
        <w:pStyle w:val="ListBullet"/>
        <w:spacing w:after="80"/>
      </w:pPr>
      <w:r>
        <w:t>gost_57580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336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33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