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БУЗОО "МИАЦ"</w:t>
      </w:r>
    </w:p>
    <w:p/>
    <w:p>
      <w:pPr>
        <w:jc w:val="center"/>
      </w:pPr>
      <w:r>
        <w:rPr>
          <w:b/>
          <w:color w:val="003366"/>
          <w:sz w:val="32"/>
        </w:rPr>
        <w:t>ИНСТРУКЦИЯ ПО ИНФОРМАЦИОННОЙ БЕЗОПАСНОСТИ</w:t>
      </w:r>
    </w:p>
    <w:p/>
    <w:p/>
    <w:p>
      <w:pPr>
        <w:jc w:val="center"/>
      </w:pPr>
      <w:r>
        <w:rPr>
          <w:color w:val="646464"/>
          <w:sz w:val="20"/>
        </w:rPr>
        <w:t>Версия: 1.0 | Дата: 28.04.2026</w:t>
      </w:r>
    </w:p>
    <w:p>
      <w:r>
        <w:br w:type="page"/>
      </w:r>
    </w:p>
    <w:p/>
    <w:p/>
    <w:p/>
    <w:p>
      <w:pPr>
        <w:jc w:val="right"/>
      </w:pPr>
      <w:r>
        <w:rPr>
          <w:rFonts w:ascii="Times New Roman" w:hAnsi="Times New Roman"/>
          <w:sz w:val="20"/>
        </w:rPr>
        <w:t>УТВЕРЖДАЮ</w:t>
        <w:br/>
      </w:r>
      <w:r>
        <w:rPr>
          <w:rFonts w:ascii="Times New Roman" w:hAnsi="Times New Roman"/>
          <w:sz w:val="20"/>
        </w:rPr>
        <w:t>Директор</w:t>
        <w:br/>
      </w:r>
      <w:r>
        <w:rPr>
          <w:rFonts w:ascii="Times New Roman" w:hAnsi="Times New Roman"/>
          <w:sz w:val="20"/>
        </w:rPr>
        <w:t>БУЗОО "МИАЦ"</w:t>
        <w:br/>
      </w:r>
      <w:r>
        <w:rPr>
          <w:rFonts w:ascii="Times New Roman" w:hAnsi="Times New Roman"/>
          <w:sz w:val="20"/>
        </w:rPr>
        <w:t>_________________ /</w:t>
      </w:r>
      <w:r>
        <w:rPr>
          <w:rFonts w:ascii="Times New Roman" w:hAnsi="Times New Roman"/>
          <w:sz w:val="20"/>
        </w:rPr>
        <w:t>____________</w:t>
      </w:r>
      <w:r>
        <w:rPr>
          <w:rFonts w:ascii="Times New Roman" w:hAnsi="Times New Roman"/>
          <w:sz w:val="20"/>
        </w:rPr>
        <w:t>/</w:t>
        <w:br/>
      </w:r>
      <w:r>
        <w:rPr>
          <w:rFonts w:ascii="Times New Roman" w:hAnsi="Times New Roman"/>
          <w:sz w:val="20"/>
        </w:rPr>
        <w:t>«___» ____________ 20__ г.</w:t>
      </w:r>
    </w:p>
    <w:p>
      <w:r>
        <w:br w:type="page"/>
      </w:r>
    </w:p>
    <w:p>
      <w:pPr>
        <w:pStyle w:val="Heading1"/>
      </w:pPr>
      <w:r>
        <w:t>ЛИСТ СОГЛАСОВАНИЯ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3230"/>
          </w:tcPr>
          <w:p>
            <w:r>
              <w:t>Руководитель службы ИБ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  <w:tr>
        <w:tc>
          <w:tcPr>
            <w:tcW w:type="dxa" w:w="3230"/>
          </w:tcPr>
          <w:p>
            <w:r>
              <w:t>Юрисконсульт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  <w:tr>
        <w:tc>
          <w:tcPr>
            <w:tcW w:type="dxa" w:w="3230"/>
          </w:tcPr>
          <w:p>
            <w:r>
              <w:t>Начальник отдела кадров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</w:tbl>
    <w:p/>
    <w:p>
      <w:pPr>
        <w:pStyle w:val="Heading1"/>
      </w:pPr>
      <w:r>
        <w:t>ЛИСТ СОГЛАСОВАНИЯ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3230"/>
          </w:tcPr>
          <w:p>
            <w:r>
              <w:t>Руководитель службы ИБ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  <w:tr>
        <w:tc>
          <w:tcPr>
            <w:tcW w:type="dxa" w:w="3230"/>
          </w:tcPr>
          <w:p>
            <w:r>
              <w:t>Юрисконсульт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  <w:tr>
        <w:tc>
          <w:tcPr>
            <w:tcW w:type="dxa" w:w="3230"/>
          </w:tcPr>
          <w:p>
            <w:r>
              <w:t>Начальник отдела кадров</w:t>
            </w:r>
          </w:p>
        </w:tc>
        <w:tc>
          <w:tcPr>
            <w:tcW w:type="dxa" w:w="3230"/>
          </w:tcPr>
          <w:p>
            <w:r>
              <w:t>_________________</w:t>
            </w:r>
          </w:p>
        </w:tc>
        <w:tc>
          <w:tcPr>
            <w:tcW w:type="dxa" w:w="3230"/>
          </w:tcPr>
          <w:p>
            <w:r>
              <w:t>___.___.____</w:t>
            </w:r>
          </w:p>
        </w:tc>
      </w:tr>
    </w:tbl>
    <w:p/>
    <w:p>
      <w:pPr>
        <w:pStyle w:val="Heading1"/>
      </w:pPr>
      <w:r>
        <w:t>1. КРАТКОЕ РЕЗЮМЕ</w:t>
      </w:r>
    </w:p>
    <w:p>
      <w:r>
        <w:t>• Сформировано разделов: 6</w:t>
        <w:br/>
      </w:r>
      <w:r>
        <w:t>• Источники: fstek_239, gost_57580</w:t>
        <w:br/>
      </w:r>
      <w:r>
        <w:t>• Стандарты: ГОСТ Р 57580, ISO 27001</w:t>
      </w:r>
    </w:p>
    <w:p/>
    <w:p>
      <w:pPr>
        <w:pStyle w:val="Heading1"/>
      </w:pPr>
      <w:r>
        <w:t>2. Область Применения</w:t>
      </w:r>
    </w:p>
    <w:p>
      <w:pPr>
        <w:spacing w:after="120"/>
      </w:pPr>
      <w:r>
        <w:t>Цель данного раздела — определение области применения нормативных требований к информационной безопасности (ИБ) в БУЗОО "МИАЦ". Настоящие требования распространяются на все системы, сети и устройства, используемые для обработки и хранения информации, а также на процесс передачи данных между различными подразделениями организации.</w:t>
      </w:r>
    </w:p>
    <w:p>
      <w:pPr>
        <w:pStyle w:val="ListNumber"/>
      </w:pPr>
      <w:r>
        <w:t>1. Внедрение системы шифрования AES-256 при передаче данных. Согласно ГОСТ Р 57580, п. 6.2, все данные, передаваемые по сетям МИАЦ, должны быть зашифрованы с использованием алгоритма AES-256 для обеспечения конфиденциальности информации. Шифротексты должны храниться на серверах и устройствах в защищенном виде, а ключи шифрования должны быть регулярно обновляемыми и сохраняться в надежных криптографических контейнерах.</w:t>
      </w:r>
    </w:p>
    <w:p>
      <w:pPr>
        <w:pStyle w:val="ListNumber"/>
      </w:pPr>
      <w:r>
        <w:t>2. Ведение журнала событий с фиксацией пользователя, времени и действия. Согласно ГОСТ Р 57580, п. 6.3, необходимо внедрить систему журналов событий для всех критически важных операций, включая входы в системы, изменения конфигураций и выполнение команд суперпользователями. Журналы должны храниться не менее трех лет и быть доступны для аудита и анализа.</w:t>
      </w:r>
    </w:p>
    <w:p>
      <w:pPr>
        <w:spacing w:after="120"/>
      </w:pPr>
      <w:r>
        <w:t>Детализация: журналы событий должны содержать информацию о пользователе, времени события и выполняемой операции. Формат журнала должен соответствовать стандартам организации, а хранение данных должно осуществляться на надежных носителях информации с регулярной проверкой целостности.</w:t>
      </w:r>
    </w:p>
    <w:p>
      <w:pPr>
        <w:spacing w:after="120"/>
      </w:pPr>
      <w:r>
        <w:t>Заключение: контроль за выполнением требований данного раздела будет проводиться ежеквартально ответственным отделом ИТ МИАЦ совместно с руководством подразделений, а также будет включать проверку наличия и актуальности шифровальных ключей и журналов событий.</w:t>
      </w:r>
    </w:p>
    <w:p>
      <w:pPr>
        <w:pStyle w:val="Heading1"/>
      </w:pPr>
      <w:r>
        <w:t>3. Подготовка К Работе</w:t>
      </w:r>
    </w:p>
    <w:p>
      <w:pPr>
        <w:spacing w:after="120"/>
      </w:pPr>
      <w:r>
        <w:t>Цель раздела: определение мер по подготовке к работе в области информационной безопасности (ИБ) для обеспечения защиты информации и соблюдения нормативных требований.</w:t>
      </w:r>
    </w:p>
    <w:p>
      <w:pPr>
        <w:pStyle w:val="ListNumber"/>
      </w:pPr>
      <w:r>
        <w:t>1. Внедрение системы шифрования данных при передаче согласно ГОСТ Р 57580, п. 6.2. Механизм заключается в использовании алгоритма AES-256 для защиты информации от несанкционированного доступа и утечек. Шифрование применяется к любым передаваемым данным, что обеспечивает их конфиденциальность. Ответственным за внедрение системы является отдел информационных технологий (ИТ) МИАЦ с периодичностью раз в квартал для обновления ключей шифрования и проверки работоспособности системы.</w:t>
      </w:r>
    </w:p>
    <w:p>
      <w:pPr>
        <w:pStyle w:val="ListNumber"/>
      </w:pPr>
      <w:r>
        <w:t>2. Ведение журнала событий согласно ГОСТ Р 57580, п. 6.3. Механизм заключается в фиксации всех действий пользователей с информацией, включая входы и выходы из системы, изменения данных и другие важные события. Журнал должен содержать информацию о пользователе, времени действия и выполняемой операции. Хранение журнала осуществляется на отдельном сервере с доступом только для администраторов ИТ отдела. Периодичность проверки журнала — один раз в месяц для анализа возможных угроз.</w:t>
      </w:r>
    </w:p>
    <w:p>
      <w:pPr>
        <w:spacing w:after="120"/>
      </w:pPr>
      <w:r>
        <w:t>Детализация: журнал событий хранится в формате XML, что позволяет автоматизировать процесс анализа и обработки данных. Журналы должны быть зашифрованы с использованием AES-256 для защиты от несанкционированного доступа. Ответственным за ведение журнала является отдел ИТ с периодичностью раз в неделю для записи новых событий.</w:t>
      </w:r>
    </w:p>
    <w:p>
      <w:pPr>
        <w:spacing w:after="120"/>
      </w:pPr>
      <w:r>
        <w:t>Заключение: контроль выполнения мер осуществляется ежеквартально комиссией по информационной безопасности МИАЦ, которая проверяет наличие и корректность внедренных систем шифрования и журналов событий.</w:t>
      </w:r>
    </w:p>
    <w:p>
      <w:pPr>
        <w:pStyle w:val="Heading1"/>
      </w:pPr>
      <w:r>
        <w:t>4. Порядок Выполнения</w:t>
      </w:r>
    </w:p>
    <w:p>
      <w:pPr>
        <w:spacing w:after="120"/>
      </w:pPr>
      <w:r>
        <w:t>Цель раздела: определение конкретных мер по обеспечению информационной безопасности в БУЗОО "МИАЦ" согласно установленным нормативам и стандартам.</w:t>
      </w:r>
    </w:p>
    <w:p>
      <w:pPr>
        <w:pStyle w:val="ListNumber"/>
      </w:pPr>
      <w:r>
        <w:t>1. Внедрение системы шифрования данных при передаче информации:</w:t>
      </w:r>
    </w:p>
    <w:p>
      <w:pPr>
        <w:pStyle w:val="ListBullet"/>
      </w:pPr>
      <w:r>
        <w:t>Механизм: внедрить систему шифрования AES-256 для защиты персональных данных пациентов и медицинской документации.</w:t>
      </w:r>
    </w:p>
    <w:p>
      <w:pPr>
        <w:pStyle w:val="ListBullet"/>
      </w:pPr>
      <w:r>
        <w:t>Обоснование: согласно ГОСТ Р 57580, п. 6.2, использование сильного алгоритма шифрования обеспечивает надежную защиту информации от несанкционированного доступа.</w:t>
      </w:r>
    </w:p>
    <w:p>
      <w:pPr>
        <w:pStyle w:val="ListBullet"/>
      </w:pPr>
      <w:r>
        <w:t>Ответственный: отдел информационных технологий МИАЦ</w:t>
      </w:r>
    </w:p>
    <w:p>
      <w:pPr>
        <w:pStyle w:val="ListBullet"/>
      </w:pPr>
      <w:r>
        <w:t>Периодичность: внедрение и настройка системы производится в течение месяца с момента принятия данного документа, далее ежеквартальное обновление ключей шифрования.</w:t>
      </w:r>
    </w:p>
    <w:p>
      <w:pPr>
        <w:pStyle w:val="ListNumber"/>
      </w:pPr>
      <w:r>
        <w:t>2. Ведение журнала событий для контроля доступа:</w:t>
      </w:r>
    </w:p>
    <w:p>
      <w:pPr>
        <w:pStyle w:val="ListBullet"/>
      </w:pPr>
      <w:r>
        <w:t>Механизм: установить систему журналов событий, фиксирующую действия пользователей, время и тип операции.</w:t>
      </w:r>
    </w:p>
    <w:p>
      <w:pPr>
        <w:pStyle w:val="ListBullet"/>
      </w:pPr>
      <w:r>
        <w:t>Обоснование: согласно ГОСТ Р 57580, п. 6.2, ведение журнала событий позволяет выявлять несанкционированные действия и обеспечивает аудиторский контроль.</w:t>
      </w:r>
    </w:p>
    <w:p>
      <w:pPr>
        <w:pStyle w:val="ListBullet"/>
      </w:pPr>
      <w:r>
        <w:t>Ответственный: отдел информационных технологий МИАЦ</w:t>
      </w:r>
    </w:p>
    <w:p>
      <w:pPr>
        <w:pStyle w:val="ListBullet"/>
      </w:pPr>
      <w:r>
        <w:t>Периодичность: журналы событий должны быть активированы в течение недели с момента принятия данного документа, далее ежемесячное обновление и хранение журнала на носителях, соответствующих требованиям безопасности.</w:t>
      </w:r>
    </w:p>
    <w:p>
      <w:pPr>
        <w:spacing w:after="120"/>
      </w:pPr>
      <w:r>
        <w:t>Детализация: формат журнала событий должен включать дату, время, имя пользователя, IP-адрес, тип операции и результат выполнения. Журналы хранятся на зашифрованных носителях с периодичностью резервного копирования раз в месяц.</w:t>
      </w:r>
    </w:p>
    <w:p>
      <w:pPr>
        <w:spacing w:after="120"/>
      </w:pPr>
      <w:r>
        <w:t>Заключение: порядок контроля выполнения состоит в ежеквартальном аудите системы шифрования и журналов событий, проведении инструктажей для сотрудников по вопросам информационной безопасности и обеспечении соблюдения установленных мер.</w:t>
      </w:r>
    </w:p>
    <w:p>
      <w:pPr>
        <w:pStyle w:val="Heading1"/>
      </w:pPr>
      <w:r>
        <w:t>5. Требования Безопасности</w:t>
      </w:r>
    </w:p>
    <w:p>
      <w:pPr>
        <w:spacing w:after="120"/>
      </w:pPr>
      <w:r>
        <w:t>Цель раздела: определение конкретных мер по обеспечению информационной безопасности в БУЗОО "МИАЦ" согласно действующим нормативным документам и стандартам.</w:t>
      </w:r>
    </w:p>
    <w:p>
      <w:pPr>
        <w:pStyle w:val="ListNumber"/>
      </w:pPr>
      <w:r>
        <w:t>1. Внедрение системы шифрования данных при передаче согласно ГОСТ Р 57580, п. 6.2. Необходимо использовать алгоритм AES-256 для защиты конфиденциальной информации, передаваемой по сетевым каналам. Ответственные за внедрение и поддержку системы шифрования: отдел информационных технологий. Внедрение должно быть завершено к 31 декабря текущего года.</w:t>
      </w:r>
    </w:p>
    <w:p>
      <w:pPr>
        <w:pStyle w:val="ListNumber"/>
      </w:pPr>
      <w:r>
        <w:t>2. Ведение журнала событий с фиксацией пользователя, времени и действия согласно ГОСТ Р ИСО/МЭК 27005-2, п. 6.3. Необходимо установить систему мониторинга и анализа событий, которая будет автоматически записывать все изменения в системе безопасности. Журналы должны храниться на носителях с высокой степенью защиты не менее трех лет для последующего анализа и проверки. Ответственными за ведение журнала событий являются сотрудники отдела информационной безопасности.</w:t>
      </w:r>
    </w:p>
    <w:p>
      <w:pPr>
        <w:spacing w:after="120"/>
      </w:pPr>
      <w:r>
        <w:t>Детализация: журналы событий должны содержать информацию о пользователе, времени события и его характере (например, вход в систему, изменение пароля). Формат хранения журналов должен соответствовать требованиям ГОСТ Р ИСО/МЭК 27005-2, п. 6.3.1. Периодичность проверки журнала событий: ежеквартально для выявления несанкционированных действий и обеспечения соблюдения политик безопасности.</w:t>
      </w:r>
    </w:p>
    <w:p>
      <w:pPr>
        <w:spacing w:after="120"/>
      </w:pPr>
      <w:r>
        <w:t>Заключение: контроль выполнения требований раздела осуществляется ежемесячно отделом информационной безопасности с последующим представлением отчета руководству МИАЦ.</w:t>
      </w:r>
    </w:p>
    <w:p>
      <w:pPr>
        <w:pStyle w:val="Heading1"/>
      </w:pPr>
      <w:r>
        <w:t>6. Действия В Нештатных Ситуациях</w:t>
      </w:r>
    </w:p>
    <w:p>
      <w:pPr>
        <w:spacing w:after="120"/>
      </w:pPr>
      <w:r>
        <w:t>{</w:t>
      </w:r>
    </w:p>
    <w:p>
      <w:pPr>
        <w:spacing w:after="120"/>
      </w:pPr>
      <w:r>
        <w:t>"sections": [</w:t>
      </w:r>
    </w:p>
    <w:p>
      <w:pPr>
        <w:spacing w:after="120"/>
      </w:pPr>
      <w:r>
        <w:t>{</w:t>
      </w:r>
    </w:p>
    <w:p>
      <w:pPr>
        <w:spacing w:after="120"/>
      </w:pPr>
      <w:r>
        <w:t>"section_number": "5",</w:t>
      </w:r>
    </w:p>
    <w:p>
      <w:pPr>
        <w:spacing w:after="120"/>
      </w:pPr>
      <w:r>
        <w:t>"title": "Действия в нештатных ситуациях",</w:t>
      </w:r>
    </w:p>
    <w:p>
      <w:pPr>
        <w:spacing w:after="120"/>
      </w:pPr>
      <w:r>
        <w:t>"content": "Цель раздела: определение и описание мер по обеспечению информационной безопасности при возникновении нештатных ситуаций, направленная на минимизацию ущерба и восстановление системы.",</w:t>
      </w:r>
    </w:p>
    <w:p>
      <w:pPr>
        <w:spacing w:after="120"/>
      </w:pPr>
      <w:r>
        <w:t>4.1. Внедрить систему шифрования данных с использованием алгоритма AES-256 согласно ГОСТ Р 57580, п. 6.2 при передаче и хранении конфиденциальной информации. Это позволит предотвратить несанкционированный доступ к данным в случае утечки или взлома системы. Ответственным за внедрение данной меры является отдел информационной безопасности, с периодичностью раз в год проводится проверка эффективности шифрования.</w:t>
      </w:r>
    </w:p>
    <w:p>
      <w:pPr>
        <w:spacing w:after="120"/>
      </w:pPr>
      <w:r>
        <w:t>4.2. Вести журнал событий с фиксацией пользователя, времени и действия согласно ГОСТ Р 57580, п. 6.2 для контроля доступа к системе и выявления потенциальных угроз. Журнал должен содержать подробную информацию о всех входах в систему, изменениях данных и д</w:t>
      </w:r>
    </w:p>
    <w:p>
      <w:pPr>
        <w:pStyle w:val="Heading1"/>
      </w:pPr>
      <w:r>
        <w:t>7. Завершение Работы</w:t>
      </w:r>
    </w:p>
    <w:p>
      <w:pPr>
        <w:spacing w:after="120"/>
      </w:pPr>
      <w:r>
        <w:t>Цель раздела: обеспечить безопасное завершение рабочего процесса и предотвратить утечку конфиденциальной информации.</w:t>
      </w:r>
    </w:p>
    <w:p>
      <w:pPr>
        <w:pStyle w:val="ListNumber"/>
      </w:pPr>
      <w:r>
        <w:t>1. Закрытие сессий пользователей: необходимо автоматически закрывать все открытые сессии пользователя после выхода из системы или истечения времени бездействия, согласно ГОСТ Р 57580, п. 6.2. Это предотвращает доступ к системе в случае несанкционированного присоединения к рабочему месту пользователя.</w:t>
      </w:r>
    </w:p>
    <w:p>
      <w:pPr>
        <w:pStyle w:val="ListNumber"/>
      </w:pPr>
      <w:r>
        <w:t>2. Внедрение системы шифрования данных: необходимо внедрить систему шифрования AES-256 при передаче и хранении конфиденциальной информации, согласно ГОСТ Р 57580, п. 6.2. Шифрование обеспечивает защиту данных от несанкционированного доступа.</w:t>
      </w:r>
    </w:p>
    <w:p>
      <w:pPr>
        <w:spacing w:after="120"/>
      </w:pPr>
      <w:r>
        <w:t>Детализация: ключи шифрования должны храниться за пределами системы и регулярно обновляться каждые три месяца. Внедрение системы должно быть выполнено в течение первого квартала следующего года, ответственными лицами являются отделы ИТ и безопасности.</w:t>
      </w:r>
    </w:p>
    <w:p>
      <w:pPr>
        <w:spacing w:after="120"/>
      </w:pPr>
      <w:r>
        <w:t>Заключение: контроль за выполнением мер осуществляется ежеквартально комиссией по информационной безопасности МИАЦ.</w:t>
      </w:r>
    </w:p>
    <w:p>
      <w:pPr>
        <w:pStyle w:val="Heading1"/>
      </w:pPr>
      <w:r>
        <w:t>Приложение А. Нормативные ссылки</w:t>
      </w:r>
    </w:p>
    <w:p>
      <w:pPr>
        <w:pStyle w:val="ListBullet"/>
        <w:spacing w:after="80"/>
      </w:pPr>
      <w:r>
        <w:t>fstek_239</w:t>
      </w:r>
    </w:p>
    <w:p>
      <w:pPr>
        <w:pStyle w:val="ListBullet"/>
        <w:spacing w:after="80"/>
      </w:pPr>
      <w:r>
        <w:t>gost_57580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