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28"/>
        </w:rPr>
        <w:t>БУЗОО "МИАЦ"</w:t>
      </w:r>
    </w:p>
    <w:p/>
    <w:p>
      <w:pPr>
        <w:jc w:val="center"/>
      </w:pPr>
      <w:r>
        <w:rPr>
          <w:b/>
          <w:color w:val="003366"/>
          <w:sz w:val="32"/>
        </w:rPr>
        <w:t>ПОЛИТИКА POLICY</w:t>
      </w:r>
    </w:p>
    <w:p/>
    <w:p/>
    <w:p>
      <w:pPr>
        <w:jc w:val="center"/>
      </w:pPr>
      <w:r>
        <w:rPr>
          <w:color w:val="646464"/>
          <w:sz w:val="20"/>
        </w:rPr>
        <w:t>Версия: 1.0 | Дата: 24.04.2026</w:t>
      </w:r>
    </w:p>
    <w:p>
      <w:r>
        <w:br w:type="page"/>
      </w:r>
    </w:p>
    <w:p>
      <w:pPr>
        <w:pStyle w:val="Heading1"/>
      </w:pPr>
      <w:r>
        <w:t>1. КРАТКОЕ РЕЗЮМЕ</w:t>
      </w:r>
    </w:p>
    <w:p>
      <w:r>
        <w:t>• Сформировано разделов: 8</w:t>
        <w:br/>
      </w:r>
      <w:r>
        <w:t>• Источники: gost_57580, fstek_239</w:t>
        <w:br/>
      </w:r>
      <w:r>
        <w:t>• Стандарты: ГОСТ Р 57580, ISO 27001</w:t>
      </w:r>
    </w:p>
    <w:p/>
    <w:p>
      <w:pPr>
        <w:pStyle w:val="Heading1"/>
      </w:pPr>
      <w:r>
        <w:t>2. Общие Положения</w:t>
      </w:r>
    </w:p>
    <w:p>
      <w:pPr>
        <w:spacing w:after="120"/>
      </w:pPr>
      <w:r>
        <w:t>{</w:t>
      </w:r>
    </w:p>
    <w:p>
      <w:pPr>
        <w:spacing w:after="120"/>
      </w:pPr>
      <w:r>
        <w:t>"sections": [</w:t>
      </w:r>
    </w:p>
    <w:p>
      <w:pPr>
        <w:spacing w:after="120"/>
      </w:pPr>
      <w:r>
        <w:t>{</w:t>
      </w:r>
    </w:p>
    <w:p>
      <w:pPr>
        <w:spacing w:after="120"/>
      </w:pPr>
      <w:r>
        <w:t>"section_number": "1",</w:t>
      </w:r>
    </w:p>
    <w:p>
      <w:pPr>
        <w:spacing w:after="120"/>
      </w:pPr>
      <w:r>
        <w:t>"title": "Общие положения",</w:t>
      </w:r>
    </w:p>
    <w:p>
      <w:pPr>
        <w:spacing w:after="120"/>
      </w:pPr>
      <w:r>
        <w:t>"content": "Настоящий раздел определяет цели, область применения и терминологию нормативного документа для Бюджетного учреждения здравоохранения Омской области \"Медицинский информационно-аналитический центр\" (далее - БУЗОО \"МИАЦ\").\</w:t>
      </w:r>
    </w:p>
    <w:p>
      <w:pPr>
        <w:spacing w:after="120"/>
      </w:pPr>
      <w:r>
        <w:t>1.1 Цели данного документа заключаются в обеспечении защиты информации, обрабатываемой и хранящейся в информационных системах БУЗОО \"МИАЦ\", от неправомерного доступа, изменения, уничтожения, блокирования, а также от和其他信息，请直接用中文回答。</w:t>
      </w:r>
    </w:p>
    <w:p>
      <w:pPr>
        <w:pStyle w:val="Heading1"/>
      </w:pPr>
      <w:r>
        <w:t>3. Нормативные Ссылки</w:t>
      </w:r>
    </w:p>
    <w:p>
      <w:pPr>
        <w:spacing w:after="120"/>
      </w:pPr>
      <w:r>
        <w:t>В настоящем разделе приведен перечень стандартов и нормативных документов, применяемых в организации БУЗОО "МИАЦ" для обеспечения информационной безопасности.</w:t>
      </w:r>
    </w:p>
    <w:p>
      <w:pPr>
        <w:pStyle w:val="ListNumber"/>
      </w:pPr>
      <w:r>
        <w:t>1. ГОСТ Р 57580.1-2017 «Информационная безопасность организаций. Общие требования к обеспечению информационной безопасности»</w:t>
      </w:r>
    </w:p>
    <w:p>
      <w:pPr>
        <w:spacing w:after="120"/>
      </w:pPr>
      <w:r>
        <w:t>1.1. Стандарт устанавливает общие требования к обеспечению информационной безопасности в организациях, включая требования к управлению информационной безопасностью, защите информации и средств массовой связи, а также к взаимодействию с органами государственной власти по вопросам информационной безопасности.</w:t>
      </w:r>
    </w:p>
    <w:p>
      <w:pPr>
        <w:spacing w:after="120"/>
      </w:pPr>
      <w:r>
        <w:t>1.2. Обязуется руководство организации обеспечить выполнение требований данного стандарта всеми подразделениями и сотрудниками.</w:t>
      </w:r>
    </w:p>
    <w:p>
      <w:pPr>
        <w:pStyle w:val="ListNumber"/>
      </w:pPr>
      <w:r>
        <w:t>2. ГОСТ Р ИСО/МЭК 27001-2016 «Информационная безопасность. Менеджмент рисков»</w:t>
      </w:r>
    </w:p>
    <w:p>
      <w:pPr>
        <w:spacing w:after="120"/>
      </w:pPr>
      <w:r>
        <w:t>2.1. Стандарт направлен на обеспечение эффективного управления рисками в области информационной безопасности путем внедрения системы менеджмента рисков (СМР).</w:t>
      </w:r>
    </w:p>
    <w:p>
      <w:pPr>
        <w:spacing w:after="120"/>
      </w:pPr>
      <w:r>
        <w:t>2.2. Необходимо обеспечить разработку и реализацию политики информационной безопасности, а также систему управления информационной безопасностью на основе СМР.</w:t>
      </w:r>
    </w:p>
    <w:p>
      <w:pPr>
        <w:pStyle w:val="ListNumber"/>
      </w:pPr>
      <w:r>
        <w:t>3. ГОСТ Р ИСО/МЭК 27005-2016 «Информационная безопасность. Оценка рисков»</w:t>
      </w:r>
    </w:p>
    <w:p>
      <w:pPr>
        <w:spacing w:after="120"/>
      </w:pPr>
      <w:r>
        <w:t>3.1. Стандарт предназначен для оценки рисков в области информационной безопасности и разработки мер по их снижению.</w:t>
      </w:r>
    </w:p>
    <w:p>
      <w:pPr>
        <w:spacing w:after="120"/>
      </w:pPr>
      <w:r>
        <w:t>3.2. Обязуется проводить регулярные оценки рисков, а также принимать меры по минимизации их влияния на организацию.</w:t>
      </w:r>
    </w:p>
    <w:p>
      <w:pPr>
        <w:pStyle w:val="ListNumber"/>
      </w:pPr>
      <w:r>
        <w:t>4. ГОСТ Р ИСО/МЭК 27018-2016 «Информационная безопасность. Обеспечение конфиденциальности персональных данных»</w:t>
      </w:r>
    </w:p>
    <w:p>
      <w:pPr>
        <w:spacing w:after="120"/>
      </w:pPr>
      <w:r>
        <w:t>4.1. Стандарт направлен на обеспечение защиты персональных данных от несанкционированного доступа, изменения и уничтожения.</w:t>
      </w:r>
    </w:p>
    <w:p>
      <w:pPr>
        <w:spacing w:after="120"/>
      </w:pPr>
      <w:r>
        <w:t>4.2. Необходимо внедрять механизмы шифрования и контроля доступа к данным для обеспечения их конфиденциальности.</w:t>
      </w:r>
    </w:p>
    <w:p>
      <w:pPr>
        <w:pStyle w:val="ListNumber"/>
      </w:pPr>
      <w:r>
        <w:t>5. ГОСТ Р ИСО/МЭК 27031-2016 «Информационная безопасность. Обеспечение надежности систем»</w:t>
      </w:r>
    </w:p>
    <w:p>
      <w:pPr>
        <w:spacing w:after="120"/>
      </w:pPr>
      <w:r>
        <w:t>5.1. Стандарт направлен на обеспечение надежности информационных систем путем внедрения мер по предотвращению отказов и восстановлению функциональности системы при возникновении аварийных ситуаций.</w:t>
      </w:r>
    </w:p>
    <w:p>
      <w:pPr>
        <w:spacing w:after="120"/>
      </w:pPr>
      <w:r>
        <w:t>5.2. Необходимо обеспечить резервное копирование данных, а также разработку планов восстановления для быстрого выхода из аварийных ситуаций.</w:t>
      </w:r>
    </w:p>
    <w:p>
      <w:pPr>
        <w:pStyle w:val="Heading1"/>
      </w:pPr>
      <w:r>
        <w:t>4. Термины И Определения</w:t>
      </w:r>
    </w:p>
    <w:p>
      <w:pPr>
        <w:spacing w:after="120"/>
      </w:pPr>
      <w:r>
        <w:t>В настоящем документе используются следующие термины с соответствующими определениями:</w:t>
      </w:r>
    </w:p>
    <w:p>
      <w:pPr>
        <w:spacing w:after="120"/>
      </w:pPr>
      <w:r>
        <w:t>1.1. "Безопасность информации" - комплекс мер, направленных на защиту информации от несанкционированного доступа, изменения, уничтожения и разглашения.</w:t>
      </w:r>
    </w:p>
    <w:p>
      <w:pPr>
        <w:spacing w:after="120"/>
      </w:pPr>
      <w:r>
        <w:t>1.2. "Критическая информация" - информация, важная для функционирования организации, которая требует усиленной защиты.</w:t>
      </w:r>
    </w:p>
    <w:p>
      <w:pPr>
        <w:spacing w:after="120"/>
      </w:pPr>
      <w:r>
        <w:t>1.3. "Информационная система" - совокупность технических средств, обеспечивающих обработку и хранение информации.</w:t>
      </w:r>
    </w:p>
    <w:p>
      <w:pPr>
        <w:spacing w:after="120"/>
      </w:pPr>
      <w:r>
        <w:t>1.4. "Ключевые элементы системы" - компоненты информационной системы, нарушение которых может привести к серьезным последствиям для организации.</w:t>
      </w:r>
    </w:p>
    <w:p>
      <w:pPr>
        <w:spacing w:after="120"/>
      </w:pPr>
      <w:r>
        <w:t>1.5. "Разграничение прав доступа" - процедура установления и контроля уровня доступа пользователей к информации в зависимости от их роли в организации.</w:t>
      </w:r>
    </w:p>
    <w:p>
      <w:pPr>
        <w:spacing w:after="120"/>
      </w:pPr>
      <w:r>
        <w:t>1.6. "Шифрование данных" - процесс преобразования информации с целью защиты от несанкционированного доступа путем использования ключей шифрования.</w:t>
      </w:r>
    </w:p>
    <w:p>
      <w:pPr>
        <w:spacing w:after="120"/>
      </w:pPr>
      <w:r>
        <w:t>1.7. "Журналирование событий" - автоматическое записывание всех действий, выполняемых пользователями и системой, для последующего анализа и контроля.</w:t>
      </w:r>
    </w:p>
    <w:p>
      <w:pPr>
        <w:spacing w:after="120"/>
      </w:pPr>
      <w:r>
        <w:t>1.8. "Резервное копирование данных" - процесс создания точной копии информации с целью восстановления при потере или повреждении исходных данных.</w:t>
      </w:r>
    </w:p>
    <w:p>
      <w:pPr>
        <w:pStyle w:val="Heading1"/>
      </w:pPr>
      <w:r>
        <w:t>5. Требования К Защите Информации Персональных Данных</w:t>
      </w:r>
    </w:p>
    <w:p>
      <w:pPr>
        <w:spacing w:after="120"/>
      </w:pPr>
      <w:r>
        <w:t>В целях обеспечения безопасности информации персональных данных в БУЗОО "МИАЦ" необходимо соблюдать следующие требования:</w:t>
      </w:r>
    </w:p>
    <w:p>
      <w:pPr>
        <w:pStyle w:val="ListNumber"/>
      </w:pPr>
      <w:r>
        <w:t>1. Технические меры защиты</w:t>
      </w:r>
    </w:p>
    <w:p>
      <w:pPr>
        <w:spacing w:after="120"/>
      </w:pPr>
      <w:r>
        <w:t>1.1. Обязуется внедрение и использование систем шифрования для защиты передачи и хранения персональных данных.</w:t>
      </w:r>
    </w:p>
    <w:p>
      <w:pPr>
        <w:spacing w:after="120"/>
      </w:pPr>
      <w:r>
        <w:t>1.2. Необходимо обеспечить журналирование всех операций с информацией, включая входы в системы, изменения данных и удаленные действия.</w:t>
      </w:r>
    </w:p>
    <w:p>
      <w:pPr>
        <w:pStyle w:val="ListNumber"/>
      </w:pPr>
      <w:r>
        <w:t>2. Физические меры защиты</w:t>
      </w:r>
    </w:p>
    <w:p>
      <w:pPr>
        <w:spacing w:after="120"/>
      </w:pPr>
      <w:r>
        <w:t>2.1. Запрещается хранение персональных данных на носителях информации без соответствующего контроля доступа.</w:t>
      </w:r>
    </w:p>
    <w:p>
      <w:pPr>
        <w:spacing w:after="120"/>
      </w:pPr>
      <w:r>
        <w:t>2.2. Необходимо обеспечить резервное копирование данных с периодичностью не реже одного раза в месяц и хранением резервных копий в защищенном виде.</w:t>
      </w:r>
    </w:p>
    <w:p>
      <w:pPr>
        <w:pStyle w:val="ListNumber"/>
      </w:pPr>
      <w:r>
        <w:t>3. Управление доступом</w:t>
      </w:r>
    </w:p>
    <w:p>
      <w:pPr>
        <w:spacing w:after="120"/>
      </w:pPr>
      <w:r>
        <w:t>3.1. Обязуется разграничение прав доступа к информации персональных данных на основе принципа минимального привилегирования.</w:t>
      </w:r>
    </w:p>
    <w:p>
      <w:pPr>
        <w:spacing w:after="120"/>
      </w:pPr>
      <w:r>
        <w:t>3.2. Необходимо обеспечить регулярное обновление учетных записей пользователей и удаление неактуальных учетных записей.</w:t>
      </w:r>
    </w:p>
    <w:p>
      <w:pPr>
        <w:pStyle w:val="ListNumber"/>
      </w:pPr>
      <w:r>
        <w:t>4. Обучение сотрудников</w:t>
      </w:r>
    </w:p>
    <w:p>
      <w:pPr>
        <w:spacing w:after="120"/>
      </w:pPr>
      <w:r>
        <w:t>4.1. Обязательно проведение обучения персонала по вопросам защиты информации персональных данных с периодичностью не реже одного раза в год.</w:t>
      </w:r>
    </w:p>
    <w:p>
      <w:pPr>
        <w:pStyle w:val="Heading1"/>
      </w:pPr>
      <w:r>
        <w:t>6. Управление Доступом</w:t>
      </w:r>
    </w:p>
    <w:p>
      <w:pPr>
        <w:spacing w:after="120"/>
      </w:pPr>
      <w:r>
        <w:t>Раздел 5 "Управление доступом" регламентирует правила аутентификации и авторизации в Бюджетном учреждении здравоохранения Омской области "Медицинский информационно-аналитический центр" (БУЗОО "МИАЦ").</w:t>
      </w:r>
    </w:p>
    <w:p>
      <w:pPr>
        <w:pStyle w:val="ListNumber"/>
      </w:pPr>
      <w:r>
        <w:t>1. Обязательство по обеспечению безопасности информации заключается в том, что все пользователи системы обязаны проходить аутентификацию перед доступом к любым ресурсам. Аутентификация осуществляется с использованием двухфакторной аутентификации (2FA), которая включает в себя использование логина и пароля, а также одноразового кода, отправляемого на мобильный телефон пользователя.</w:t>
      </w:r>
    </w:p>
    <w:p>
      <w:pPr>
        <w:pStyle w:val="ListNumber"/>
      </w:pPr>
      <w:r>
        <w:t>2. Авторизация пользователей осуществляется путем разграничения прав доступа к различным ресурсам системы. Права доступа определяются в зависимости от должности и роли сотрудника. Для каждого сотрудника устанавливается индивидуальный набор прав, обеспечивающий выполнение его должностных обязанностей.</w:t>
      </w:r>
    </w:p>
    <w:p>
      <w:pPr>
        <w:pStyle w:val="ListNumber"/>
      </w:pPr>
      <w:r>
        <w:t>3. В целях обеспечения конфиденциальности информации используется шифрование данных при передаче и хранении. Шифрование осуществляется с использованием протоколов TLS для передачи данных по сети и AES-256 для хранения данных на серверах.</w:t>
      </w:r>
    </w:p>
    <w:p>
      <w:pPr>
        <w:pStyle w:val="ListNumber"/>
      </w:pPr>
      <w:r>
        <w:t>4. Для обеспечения надежности системы применяются механизмы журналирования всех действий пользователей, включая входы в систему, изменения прав доступа, выполнение операций с данными. Журналы хранятся не менее 1 года и регулярно проверяются на наличие подозрительных действий.</w:t>
      </w:r>
    </w:p>
    <w:p>
      <w:pPr>
        <w:pStyle w:val="ListNumber"/>
      </w:pPr>
      <w:r>
        <w:t>5. Резервное копирование данных производится ежедневно и хранится в зашифрованном виде на отдельных серверах, доступ к которым ограничен только специализированным персоналом.</w:t>
      </w:r>
    </w:p>
    <w:p>
      <w:pPr>
        <w:pStyle w:val="ListNumber"/>
      </w:pPr>
      <w:r>
        <w:t>6. В случае выявления угроз или нарушений безопасности применяются меры реагирования, включающие блокирование учетной записи пользователя и проведение внутренней проверки.</w:t>
      </w:r>
    </w:p>
    <w:p>
      <w:pPr>
        <w:pStyle w:val="ListNumber"/>
      </w:pPr>
      <w:r>
        <w:t>7. Все изменения в политике аутентификации и авторизации должны быть документированы и одобрены руководством учреждения.</w:t>
      </w:r>
    </w:p>
    <w:p>
      <w:pPr>
        <w:pStyle w:val="Heading1"/>
      </w:pPr>
      <w:r>
        <w:t>7. Ответственность</w:t>
      </w:r>
    </w:p>
    <w:p>
      <w:pPr>
        <w:spacing w:after="120"/>
      </w:pPr>
      <w:r>
        <w:t>Раздел 6 Ответственность регламентирует распределение обязанностей по обеспечению информационной безопасности в БУЗОО "МИАЦ". В соответствии с настоящим разделом, все сотрудники организации несут ответственность за соблюдение требований нормативных документов и стандартов информационной безопасности.</w:t>
      </w:r>
    </w:p>
    <w:p>
      <w:pPr>
        <w:pStyle w:val="ListNumber"/>
      </w:pPr>
      <w:r>
        <w:t>1. Обязанности руководства:</w:t>
      </w:r>
    </w:p>
    <w:p>
      <w:pPr>
        <w:spacing w:after="120"/>
      </w:pPr>
      <w:r>
        <w:t>1.1. Руководство по обеспечению информационной безопасности должно осуществляться на высшем уровне управления организации. Председатель правления несет ответственность за разработку и реализацию стратегии информационной безопасности.</w:t>
      </w:r>
    </w:p>
    <w:p>
      <w:pPr>
        <w:spacing w:after="120"/>
      </w:pPr>
      <w:r>
        <w:t>1.2. Директор информационных технологий обязан координировать работу всех подразделений, связанных с информационной безопасностью, и обеспечивать выполнение установленных требований.</w:t>
      </w:r>
    </w:p>
    <w:p>
      <w:pPr>
        <w:pStyle w:val="ListNumber"/>
      </w:pPr>
      <w:r>
        <w:t>2. Обязанности специалистов по информационной безопасности:</w:t>
      </w:r>
    </w:p>
    <w:p>
      <w:pPr>
        <w:spacing w:after="120"/>
      </w:pPr>
      <w:r>
        <w:t>2.1. Необходимо осуществлять мониторинг системы безопасности и своевременно выявлять угрозы.</w:t>
      </w:r>
    </w:p>
    <w:p>
      <w:pPr>
        <w:spacing w:after="120"/>
      </w:pPr>
      <w:r>
        <w:t>2.2. Запрещается предоставление доступа к защищенным системам без соответствующих прав.</w:t>
      </w:r>
    </w:p>
    <w:p>
      <w:pPr>
        <w:pStyle w:val="ListNumber"/>
      </w:pPr>
      <w:r>
        <w:t>3. Обязанности сотрудников, работающих с информационными ресурсами:</w:t>
      </w:r>
    </w:p>
    <w:p>
      <w:pPr>
        <w:spacing w:after="120"/>
      </w:pPr>
      <w:r>
        <w:t>3.1. Необходимо соблюдать правила использования сети и электронной почты.</w:t>
      </w:r>
    </w:p>
    <w:p>
      <w:pPr>
        <w:spacing w:after="120"/>
      </w:pPr>
      <w:r>
        <w:t>3.2. Запрещается использование неподходящих программного обеспечения или веб-сайтов, которые могут представлять угрозу для системы.</w:t>
      </w:r>
    </w:p>
    <w:p>
      <w:pPr>
        <w:pStyle w:val="ListNumber"/>
      </w:pPr>
      <w:r>
        <w:t>4. Обязанности пользователей медицинской информации:</w:t>
      </w:r>
    </w:p>
    <w:p>
      <w:pPr>
        <w:spacing w:after="120"/>
      </w:pPr>
      <w:r>
        <w:t>4.1. Необходимо соблюдать конфиденциальность и целостность медицинских данных при их обработке и передаче.</w:t>
      </w:r>
    </w:p>
    <w:p>
      <w:pPr>
        <w:spacing w:after="120"/>
      </w:pPr>
      <w:r>
        <w:t>4.2. Запрещается использование несанкционированных средств для доступа к медицинским данным.</w:t>
      </w:r>
    </w:p>
    <w:p>
      <w:pPr>
        <w:pStyle w:val="ListNumber"/>
      </w:pPr>
      <w:r>
        <w:t>5. Обязанности сотрудников, ответственных за резервное копирование:</w:t>
      </w:r>
    </w:p>
    <w:p>
      <w:pPr>
        <w:spacing w:after="120"/>
      </w:pPr>
      <w:r>
        <w:t>5.1. Необходимо регулярно проводить резервное копирование данных и хранить их в надежном месте.</w:t>
      </w:r>
    </w:p>
    <w:p>
      <w:pPr>
        <w:spacing w:after="120"/>
      </w:pPr>
      <w:r>
        <w:t>5.2. Запрещается передача резервных копий без согласования с ответственным лицом.</w:t>
      </w:r>
    </w:p>
    <w:p>
      <w:pPr>
        <w:pStyle w:val="ListNumber"/>
      </w:pPr>
      <w:r>
        <w:t>6. Обязанности сотрудников, осуществляющих журналирование:</w:t>
      </w:r>
    </w:p>
    <w:p>
      <w:pPr>
        <w:spacing w:after="120"/>
      </w:pPr>
      <w:r>
        <w:t>6.1. Необходимо обеспечивать полное и точное журналирование всех действий в системе.</w:t>
      </w:r>
    </w:p>
    <w:p>
      <w:pPr>
        <w:spacing w:after="120"/>
      </w:pPr>
      <w:r>
        <w:t>6.2. Запрещается изменение или удаление записей без уважительной причины.</w:t>
      </w:r>
    </w:p>
    <w:p>
      <w:pPr>
        <w:pStyle w:val="ListNumber"/>
      </w:pPr>
      <w:r>
        <w:t>7. Обязанности сотрудников, осуществляющих шифрование:</w:t>
      </w:r>
    </w:p>
    <w:p>
      <w:pPr>
        <w:spacing w:after="120"/>
      </w:pPr>
      <w:r>
        <w:t>7.1. Необходимо применять современные методы шифрования для защиты данных.</w:t>
      </w:r>
    </w:p>
    <w:p>
      <w:pPr>
        <w:spacing w:after="120"/>
      </w:pPr>
      <w:r>
        <w:t>7.2. Запрещается использование устаревших или ненадежных методов шифрования.</w:t>
      </w:r>
    </w:p>
    <w:p>
      <w:pPr>
        <w:pStyle w:val="Heading1"/>
      </w:pPr>
      <w:r>
        <w:t>8. Контроль И Аудит</w:t>
      </w:r>
    </w:p>
    <w:p>
      <w:pPr>
        <w:spacing w:after="120"/>
      </w:pPr>
      <w:r>
        <w:t>Раздел 7 "Контроль и аудит" регламентирует процедуры проверки соблюдения требований информационной безопасности в БУЗОО "МИАЦ". В соответствии с ГОСТ Р 57580.1-2017, контроль и аудит должны быть организованы таким образом, чтобы обеспечить непрерывность процесса управления рисками ИБ.</w:t>
      </w:r>
    </w:p>
    <w:p>
      <w:pPr>
        <w:spacing w:after="120"/>
      </w:pPr>
      <w:r>
        <w:t>1.1. Контрольные процедуры включают:</w:t>
      </w:r>
    </w:p>
    <w:p>
      <w:pPr>
        <w:spacing w:after="120"/>
      </w:pPr>
      <w:r>
        <w:t>1.1.1. Проведение регулярных проверок соответствия информационной системы требованиям безопасности;</w:t>
      </w:r>
    </w:p>
    <w:p>
      <w:pPr>
        <w:spacing w:after="120"/>
      </w:pPr>
      <w:r>
        <w:t>1.1.2. Оценку рисков и уязвимостей информационных систем;</w:t>
      </w:r>
    </w:p>
    <w:p>
      <w:pPr>
        <w:spacing w:after="120"/>
      </w:pPr>
      <w:r>
        <w:t>1.1.3. Анализ журналов событий для выявления несанкционированных действий.</w:t>
      </w:r>
    </w:p>
    <w:p>
      <w:pPr>
        <w:spacing w:after="120"/>
      </w:pPr>
      <w:r>
        <w:t>1.2. Аудитные процедуры направлены на проверку соблюдения установленных политик и процедур:</w:t>
      </w:r>
    </w:p>
    <w:p>
      <w:pPr>
        <w:spacing w:after="120"/>
      </w:pPr>
      <w:r>
        <w:t>1.2.1. Проведение внутренних аудитов информационной системы с периодичностью не менее одного раза в год;</w:t>
      </w:r>
    </w:p>
    <w:p>
      <w:pPr>
        <w:spacing w:after="120"/>
      </w:pPr>
      <w:r>
        <w:t>1.2.2. Осуществление внешнего аудита по результатам которого принимаются меры по устранению выявленных недостатков.</w:t>
      </w:r>
    </w:p>
    <w:p>
      <w:pPr>
        <w:pStyle w:val="ListNumber"/>
      </w:pPr>
      <w:r>
        <w:t>2. Для обеспечения эффективности контрольно-аудиторских процедур необходимо:</w:t>
      </w:r>
    </w:p>
    <w:p>
      <w:pPr>
        <w:spacing w:after="120"/>
      </w:pPr>
      <w:r>
        <w:t>2.1. Разработка и внедрение стандартов и методик проведения проверок;</w:t>
      </w:r>
    </w:p>
    <w:p>
      <w:pPr>
        <w:spacing w:after="120"/>
      </w:pPr>
      <w:r>
        <w:t>2.2. Обеспечение доступа к журналам событий и отчетам о нарушениях для ответственных лиц;</w:t>
      </w:r>
    </w:p>
    <w:p>
      <w:pPr>
        <w:spacing w:after="120"/>
      </w:pPr>
      <w:r>
        <w:t>2.3. Использование автоматизированных систем мониторинга и анализа для повышения качества контрольных процедур.</w:t>
      </w:r>
    </w:p>
    <w:p>
      <w:pPr>
        <w:pStyle w:val="ListNumber"/>
      </w:pPr>
      <w:r>
        <w:t>3. Контрольные мероприятия должны включать:</w:t>
      </w:r>
    </w:p>
    <w:p>
      <w:pPr>
        <w:spacing w:after="120"/>
      </w:pPr>
      <w:r>
        <w:t>3.1. Проведение инвентаризации оборудования и программного обеспечения;</w:t>
      </w:r>
    </w:p>
    <w:p>
      <w:pPr>
        <w:spacing w:after="120"/>
      </w:pPr>
      <w:r>
        <w:t>3.2. Проверку прав доступа пользователей к информационным ресурсам;</w:t>
      </w:r>
    </w:p>
    <w:p>
      <w:pPr>
        <w:spacing w:after="120"/>
      </w:pPr>
      <w:r>
        <w:t>3.3. Анализ логов для выявления потенциальных угроз.</w:t>
      </w:r>
    </w:p>
    <w:p>
      <w:pPr>
        <w:pStyle w:val="ListNumber"/>
      </w:pPr>
      <w:r>
        <w:t>4. Аудиторские мероприятия должны включать:</w:t>
      </w:r>
    </w:p>
    <w:p>
      <w:pPr>
        <w:spacing w:after="120"/>
      </w:pPr>
      <w:r>
        <w:t>4.1. Оценку соответствия системы управления ИБ стандартам и нормативам;</w:t>
      </w:r>
    </w:p>
    <w:p>
      <w:pPr>
        <w:spacing w:after="120"/>
      </w:pPr>
      <w:r>
        <w:t>4.2. Проверку эффективности принимаемых мер по предотвращению рисков;</w:t>
      </w:r>
    </w:p>
    <w:p>
      <w:pPr>
        <w:spacing w:after="120"/>
      </w:pPr>
      <w:r>
        <w:t>4.3. Анализ результатов аудита для принятия решений о необходимых коррективах.</w:t>
      </w:r>
    </w:p>
    <w:p>
      <w:pPr>
        <w:pStyle w:val="ListNumber"/>
      </w:pPr>
      <w:r>
        <w:t>5. В случае выявления нарушений, необходимо:</w:t>
      </w:r>
    </w:p>
    <w:p>
      <w:pPr>
        <w:spacing w:after="120"/>
      </w:pPr>
      <w:r>
        <w:t>5.1. Определение причины и масштаба нарушения;</w:t>
      </w:r>
    </w:p>
    <w:p>
      <w:pPr>
        <w:spacing w:after="120"/>
      </w:pPr>
      <w:r>
        <w:t>5.2. Принятие мер по устранению недостатков;</w:t>
      </w:r>
    </w:p>
    <w:p>
      <w:pPr>
        <w:spacing w:after="120"/>
      </w:pPr>
      <w:r>
        <w:t>5.3. Отчетность о результатах аудита и принятых мерах.</w:t>
      </w:r>
    </w:p>
    <w:p>
      <w:pPr>
        <w:pStyle w:val="ListNumber"/>
      </w:pPr>
      <w:r>
        <w:t>6. Контрольные и аудиторские мероприятия должны быть документированы в соответствующих отчетах, которые будут использованы для анализа и планирования дальнейших действий по обеспечению информационной безопасности.</w:t>
      </w:r>
    </w:p>
    <w:p>
      <w:pPr>
        <w:pStyle w:val="Heading1"/>
      </w:pPr>
      <w:r>
        <w:t>9. Заключительные Положения</w:t>
      </w:r>
    </w:p>
    <w:p>
      <w:pPr>
        <w:spacing w:after="120"/>
      </w:pPr>
      <w:r>
        <w:t>8.1 В целях обеспечения актуальности и соответствия нормативным документам, регламентирующим вопросы информационной безопасности (ИБ), настоящий документ подлежит периодическому пересмотру.</w:t>
      </w:r>
    </w:p>
    <w:p>
      <w:pPr>
        <w:spacing w:after="120"/>
      </w:pPr>
      <w:r>
        <w:t>8.2 Процесс пересмотра осуществляется в соответствии с установленными процедурами, утвержденными руководством БУЗОО "МИАЦ" и отраженными в приложении к настоящему документу.</w:t>
      </w:r>
    </w:p>
    <w:p>
      <w:pPr>
        <w:spacing w:after="120"/>
      </w:pPr>
      <w:r>
        <w:t>8.3 Пересмотр документа проводится не реже одного раза в год или при изменении законодательства, регламентирующего вопросы ИБ, а также при обнаружении существенных недостатков в его содержании.</w:t>
      </w:r>
    </w:p>
    <w:p>
      <w:pPr>
        <w:spacing w:after="120"/>
      </w:pPr>
      <w:r>
        <w:t>8.4 При пересмотре документа необходимо учитывать следующие аспекты:</w:t>
      </w:r>
    </w:p>
    <w:p>
      <w:pPr>
        <w:pStyle w:val="ListNumber"/>
      </w:pPr>
      <w:r>
        <w:t>1. Изменения в действующем законодательстве и нормативных актах, касающихся вопросов информационной безопасности;</w:t>
      </w:r>
    </w:p>
    <w:p>
      <w:pPr>
        <w:pStyle w:val="ListNumber"/>
      </w:pPr>
      <w:r>
        <w:t>2. Результаты внутренних и внешних аудитов, выявленные нарушения и рекомендации по их устранению;</w:t>
      </w:r>
    </w:p>
    <w:p>
      <w:pPr>
        <w:pStyle w:val="ListNumber"/>
      </w:pPr>
      <w:r>
        <w:t>3. Новые методологии и технологии в области ИБ, которые могут повлиять на содержание документа.</w:t>
      </w:r>
    </w:p>
    <w:p>
      <w:pPr>
        <w:spacing w:after="120"/>
      </w:pPr>
      <w:r>
        <w:t>8.5 В ходе пересмотра необходимо:</w:t>
      </w:r>
    </w:p>
    <w:p>
      <w:pPr>
        <w:pStyle w:val="ListNumber"/>
      </w:pPr>
      <w:r>
        <w:t>1. Провести анализ текущего состояния ИБ системы организации;</w:t>
      </w:r>
    </w:p>
    <w:p>
      <w:pPr>
        <w:pStyle w:val="ListNumber"/>
      </w:pPr>
      <w:r>
        <w:t>2. Оценить соответствие действующих нормативных актов и стандартов;</w:t>
      </w:r>
    </w:p>
    <w:p>
      <w:pPr>
        <w:pStyle w:val="ListNumber"/>
      </w:pPr>
      <w:r>
        <w:t>3. Обновить информацию, если это требуется в связи с изменениями в законодательстве или технологиях.</w:t>
      </w:r>
    </w:p>
    <w:p>
      <w:pPr>
        <w:spacing w:after="120"/>
      </w:pPr>
      <w:r>
        <w:t>8.6 После завершения пересмотра документ подлежит утверждению руководством организации и распространению среди сотрудников.</w:t>
      </w:r>
    </w:p>
    <w:p>
      <w:pPr>
        <w:spacing w:after="120"/>
      </w:pPr>
      <w:r>
        <w:t>8.7 В случае обнаружения существенных изменений, требующих немедленного внесения в документ, необходимо принять соответствующие меры для их внедрения до завершения полного пересмотра.</w:t>
      </w:r>
    </w:p>
    <w:p>
      <w:pPr>
        <w:spacing w:after="120"/>
      </w:pPr>
      <w:r>
        <w:t>8.8 Для обеспечения безопасности процесса пересмотра рекомендуется использовать механизмы:</w:t>
      </w:r>
    </w:p>
    <w:p>
      <w:pPr>
        <w:pStyle w:val="ListNumber"/>
      </w:pPr>
      <w:r>
        <w:t>1. Журналирование всех изменений и действий, связанных с пересмотром;</w:t>
      </w:r>
    </w:p>
    <w:p>
      <w:pPr>
        <w:pStyle w:val="ListNumber"/>
      </w:pPr>
      <w:r>
        <w:t>2. Шифрование информации, содержащейся в документе;</w:t>
      </w:r>
    </w:p>
    <w:p>
      <w:pPr>
        <w:pStyle w:val="ListNumber"/>
      </w:pPr>
      <w:r>
        <w:t>3. Резервное копирование документов перед их изменениями.</w:t>
      </w:r>
    </w:p>
    <w:p>
      <w:pPr>
        <w:spacing w:after="120"/>
      </w:pPr>
      <w:r>
        <w:t>8.9 В случае возникновения вопросов или необходимости дополнительной информации по процессу пересмотра, следует обращаться в отдел информационной безопасности БУЗОО "МИАЦ".</w:t>
      </w:r>
    </w:p>
    <w:p>
      <w:pPr>
        <w:pStyle w:val="Heading1"/>
      </w:pPr>
      <w:r>
        <w:t>Приложение А. Нормативные ссылки</w:t>
      </w:r>
    </w:p>
    <w:p>
      <w:pPr>
        <w:pStyle w:val="ListBullet"/>
        <w:spacing w:after="80"/>
      </w:pPr>
      <w:r>
        <w:t>gost_57580</w:t>
      </w:r>
    </w:p>
    <w:p>
      <w:pPr>
        <w:pStyle w:val="ListBullet"/>
        <w:spacing w:after="80"/>
      </w:pPr>
      <w:r>
        <w:t>fstek_239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