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БУЗОО "МИАЦ"</w:t>
      </w:r>
    </w:p>
    <w:p/>
    <w:p>
      <w:pPr>
        <w:jc w:val="center"/>
      </w:pPr>
      <w:r>
        <w:rPr>
          <w:b/>
          <w:color w:val="003366"/>
          <w:sz w:val="32"/>
        </w:rPr>
        <w:t>ПОЛИТИКА ИНФОРМАЦИОННОЙ БЕЗОПАСНОСТИ</w:t>
      </w:r>
    </w:p>
    <w:p/>
    <w:p/>
    <w:p>
      <w:pPr>
        <w:jc w:val="center"/>
      </w:pPr>
      <w:r>
        <w:rPr>
          <w:color w:val="646464"/>
          <w:sz w:val="20"/>
        </w:rPr>
        <w:t>Версия: 1.0 | Дата: 27.04.2026</w:t>
      </w:r>
    </w:p>
    <w:p>
      <w:r>
        <w:br w:type="page"/>
      </w:r>
    </w:p>
    <w:p/>
    <w:p/>
    <w:p/>
    <w:p>
      <w:pPr>
        <w:jc w:val="right"/>
      </w:pPr>
      <w:r>
        <w:rPr>
          <w:rFonts w:ascii="Times New Roman" w:hAnsi="Times New Roman"/>
          <w:sz w:val="20"/>
        </w:rPr>
        <w:t>УТВЕРЖДАЮ</w:t>
        <w:br/>
      </w:r>
      <w:r>
        <w:rPr>
          <w:rFonts w:ascii="Times New Roman" w:hAnsi="Times New Roman"/>
          <w:sz w:val="20"/>
        </w:rPr>
        <w:t>Директор</w:t>
        <w:br/>
      </w:r>
      <w:r>
        <w:rPr>
          <w:rFonts w:ascii="Times New Roman" w:hAnsi="Times New Roman"/>
          <w:sz w:val="20"/>
        </w:rPr>
        <w:t>БУЗОО "МИАЦ"</w:t>
        <w:br/>
      </w:r>
      <w:r>
        <w:rPr>
          <w:rFonts w:ascii="Times New Roman" w:hAnsi="Times New Roman"/>
          <w:sz w:val="20"/>
        </w:rPr>
        <w:t>_________________ /</w:t>
      </w:r>
      <w:r>
        <w:rPr>
          <w:rFonts w:ascii="Times New Roman" w:hAnsi="Times New Roman"/>
          <w:sz w:val="20"/>
        </w:rPr>
        <w:t>____________</w:t>
      </w:r>
      <w:r>
        <w:rPr>
          <w:rFonts w:ascii="Times New Roman" w:hAnsi="Times New Roman"/>
          <w:sz w:val="20"/>
        </w:rPr>
        <w:t>/</w:t>
        <w:br/>
      </w:r>
      <w:r>
        <w:rPr>
          <w:rFonts w:ascii="Times New Roman" w:hAnsi="Times New Roman"/>
          <w:sz w:val="20"/>
        </w:rPr>
        <w:t>«___» ____________ 20__ г.</w:t>
      </w:r>
    </w:p>
    <w:p>
      <w:r>
        <w:br w:type="page"/>
      </w:r>
    </w:p>
    <w:p>
      <w:pPr>
        <w:pStyle w:val="Heading1"/>
      </w:pPr>
      <w:r>
        <w:t>ЛИСТ СОГЛАСОВАНИЯ</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Должность</w:t>
            </w:r>
          </w:p>
        </w:tc>
        <w:tc>
          <w:tcPr>
            <w:tcW w:type="dxa" w:w="3230"/>
          </w:tcPr>
          <w:p>
            <w:r>
              <w:rPr>
                <w:b/>
              </w:rPr>
              <w:t>Подпись</w:t>
            </w:r>
          </w:p>
        </w:tc>
        <w:tc>
          <w:tcPr>
            <w:tcW w:type="dxa" w:w="3230"/>
          </w:tcPr>
          <w:p>
            <w:r>
              <w:rPr>
                <w:b/>
              </w:rPr>
              <w:t>Дата</w:t>
            </w:r>
          </w:p>
        </w:tc>
      </w:tr>
      <w:tr>
        <w:tc>
          <w:tcPr>
            <w:tcW w:type="dxa" w:w="3230"/>
          </w:tcPr>
          <w:p>
            <w:r>
              <w:t>Руководитель службы ИБ</w:t>
            </w:r>
          </w:p>
        </w:tc>
        <w:tc>
          <w:tcPr>
            <w:tcW w:type="dxa" w:w="3230"/>
          </w:tcPr>
          <w:p>
            <w:r>
              <w:t>_________________</w:t>
            </w:r>
          </w:p>
        </w:tc>
        <w:tc>
          <w:tcPr>
            <w:tcW w:type="dxa" w:w="3230"/>
          </w:tcPr>
          <w:p>
            <w:r>
              <w:t>___.___.____</w:t>
            </w:r>
          </w:p>
        </w:tc>
      </w:tr>
      <w:tr>
        <w:tc>
          <w:tcPr>
            <w:tcW w:type="dxa" w:w="3230"/>
          </w:tcPr>
          <w:p>
            <w:r>
              <w:t>Юрисконсульт</w:t>
            </w:r>
          </w:p>
        </w:tc>
        <w:tc>
          <w:tcPr>
            <w:tcW w:type="dxa" w:w="3230"/>
          </w:tcPr>
          <w:p>
            <w:r>
              <w:t>_________________</w:t>
            </w:r>
          </w:p>
        </w:tc>
        <w:tc>
          <w:tcPr>
            <w:tcW w:type="dxa" w:w="3230"/>
          </w:tcPr>
          <w:p>
            <w:r>
              <w:t>___.___.____</w:t>
            </w:r>
          </w:p>
        </w:tc>
      </w:tr>
      <w:tr>
        <w:tc>
          <w:tcPr>
            <w:tcW w:type="dxa" w:w="3230"/>
          </w:tcPr>
          <w:p>
            <w:r>
              <w:t>Начальник отдела кадров</w:t>
            </w:r>
          </w:p>
        </w:tc>
        <w:tc>
          <w:tcPr>
            <w:tcW w:type="dxa" w:w="3230"/>
          </w:tcPr>
          <w:p>
            <w:r>
              <w:t>_________________</w:t>
            </w:r>
          </w:p>
        </w:tc>
        <w:tc>
          <w:tcPr>
            <w:tcW w:type="dxa" w:w="3230"/>
          </w:tcPr>
          <w:p>
            <w:r>
              <w:t>___.___.____</w:t>
            </w:r>
          </w:p>
        </w:tc>
      </w:tr>
    </w:tbl>
    <w:p/>
    <w:p>
      <w:pPr>
        <w:pStyle w:val="Heading1"/>
      </w:pPr>
      <w:r>
        <w:t>ЛИСТ СОГЛАСОВАНИЯ</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Должность</w:t>
            </w:r>
          </w:p>
        </w:tc>
        <w:tc>
          <w:tcPr>
            <w:tcW w:type="dxa" w:w="3230"/>
          </w:tcPr>
          <w:p>
            <w:r>
              <w:rPr>
                <w:b/>
              </w:rPr>
              <w:t>Подпись</w:t>
            </w:r>
          </w:p>
        </w:tc>
        <w:tc>
          <w:tcPr>
            <w:tcW w:type="dxa" w:w="3230"/>
          </w:tcPr>
          <w:p>
            <w:r>
              <w:rPr>
                <w:b/>
              </w:rPr>
              <w:t>Дата</w:t>
            </w:r>
          </w:p>
        </w:tc>
      </w:tr>
      <w:tr>
        <w:tc>
          <w:tcPr>
            <w:tcW w:type="dxa" w:w="3230"/>
          </w:tcPr>
          <w:p>
            <w:r>
              <w:t>Руководитель службы ИБ</w:t>
            </w:r>
          </w:p>
        </w:tc>
        <w:tc>
          <w:tcPr>
            <w:tcW w:type="dxa" w:w="3230"/>
          </w:tcPr>
          <w:p>
            <w:r>
              <w:t>_________________</w:t>
            </w:r>
          </w:p>
        </w:tc>
        <w:tc>
          <w:tcPr>
            <w:tcW w:type="dxa" w:w="3230"/>
          </w:tcPr>
          <w:p>
            <w:r>
              <w:t>___.___.____</w:t>
            </w:r>
          </w:p>
        </w:tc>
      </w:tr>
      <w:tr>
        <w:tc>
          <w:tcPr>
            <w:tcW w:type="dxa" w:w="3230"/>
          </w:tcPr>
          <w:p>
            <w:r>
              <w:t>Юрисконсульт</w:t>
            </w:r>
          </w:p>
        </w:tc>
        <w:tc>
          <w:tcPr>
            <w:tcW w:type="dxa" w:w="3230"/>
          </w:tcPr>
          <w:p>
            <w:r>
              <w:t>_________________</w:t>
            </w:r>
          </w:p>
        </w:tc>
        <w:tc>
          <w:tcPr>
            <w:tcW w:type="dxa" w:w="3230"/>
          </w:tcPr>
          <w:p>
            <w:r>
              <w:t>___.___.____</w:t>
            </w:r>
          </w:p>
        </w:tc>
      </w:tr>
      <w:tr>
        <w:tc>
          <w:tcPr>
            <w:tcW w:type="dxa" w:w="3230"/>
          </w:tcPr>
          <w:p>
            <w:r>
              <w:t>Начальник отдела кадров</w:t>
            </w:r>
          </w:p>
        </w:tc>
        <w:tc>
          <w:tcPr>
            <w:tcW w:type="dxa" w:w="3230"/>
          </w:tcPr>
          <w:p>
            <w:r>
              <w:t>_________________</w:t>
            </w:r>
          </w:p>
        </w:tc>
        <w:tc>
          <w:tcPr>
            <w:tcW w:type="dxa" w:w="3230"/>
          </w:tcPr>
          <w:p>
            <w:r>
              <w:t>___.___.____</w:t>
            </w:r>
          </w:p>
        </w:tc>
      </w:tr>
    </w:tbl>
    <w:p/>
    <w:p>
      <w:pPr>
        <w:pStyle w:val="Heading1"/>
      </w:pPr>
      <w:r>
        <w:t>1. КРАТКОЕ РЕЗЮМЕ</w:t>
      </w:r>
    </w:p>
    <w:p>
      <w:r>
        <w:t>• Сформировано разделов: 8</w:t>
        <w:br/>
      </w:r>
      <w:r>
        <w:t>• Источники: gost_57580, fstek_239</w:t>
        <w:br/>
      </w:r>
      <w:r>
        <w:t>• Стандарты: ГОСТ Р 57580, ISO 27001</w:t>
      </w:r>
    </w:p>
    <w:p/>
    <w:p>
      <w:pPr>
        <w:pStyle w:val="Heading1"/>
      </w:pPr>
      <w:r>
        <w:t>2. Общие Положения</w:t>
      </w:r>
    </w:p>
    <w:p>
      <w:pPr>
        <w:spacing w:after="120"/>
      </w:pPr>
      <w:r>
        <w:t>В МИАЦ (БУЗОО "МИАЦ") признано необходимым обеспечить надежную защиту информации, включая конфиденциальность, целостность и доступность данных. Для достижения этой цели применяются комплексные меры защиты информации, предусмотренные ГОСТ Р 57580-2013 "Информационная безопасность. Обеспечение информационной безопасности в организациях. Требования". В соответствии с требованиями данного стандарта МИАЦ обеспечивает защиту информации путем применения шифрования данных, журналирования операций и резервного копирования.</w:t>
      </w:r>
    </w:p>
    <w:p>
      <w:pPr>
        <w:pStyle w:val="Heading1"/>
      </w:pPr>
      <w:r>
        <w:t>3. Нормативные Ссылки</w:t>
      </w:r>
    </w:p>
    <w:p>
      <w:pPr>
        <w:spacing w:after="120"/>
      </w:pPr>
      <w:r>
        <w:t>Для обеспечения информационной безопасности в МИАЦ применяются нормативные документы, регулирующие вопросы защиты информации. В соответствии с требованиями ГОСТ Р 57580-2013 "Информационная безопасность организации. Требования" и постановлением Правительства Российской Федерации от 06.04.2014 № 398 "Об утверждении Положения о Федеральной службе по техническому и экспортному контролю", МИАЦ использует комплекс мер защиты информации, включающий шифрование данных, журналирование операций с информационными ресурсами и регулярное резервное копирование. Шифрование данных осуществляется на уровне базовых систем и приложений, что обеспечивает защиту от несанкционированного доступа и модификации информации. Журналирование операций включает регистрацию всех изменений в информационных системах МИАЦ, что позволяет выявлять и расследовать возможные нарушения безопасности. Регулярное резервное копирование данных проводится с использованием современных технологий и обеспечивает возможность восстановления информации при технических авариях или других чрезвычайных ситуациях. Контроль за соблюдением требований по информационной безопасности осуществляется через регулярные аудиты, проверки и анализ журналов операций.</w:t>
      </w:r>
    </w:p>
    <w:p>
      <w:pPr>
        <w:pStyle w:val="Heading1"/>
      </w:pPr>
      <w:r>
        <w:t>4. Термины И Определения</w:t>
      </w:r>
    </w:p>
    <w:p>
      <w:pPr>
        <w:spacing w:after="120"/>
      </w:pPr>
      <w:r>
        <w:t>В МИАЦ термин "шифрование" означает процесс преобразования информации в нечитаемый вид с использованием алгоритмов и ключей для обеспечения конфиденциальности данных. В МИАЦ термин "журналирование" относится к записи всех действий, выполняемых пользователями или системой, для последующего анализа и контроля надежности процессов. Термин "резервное копирование" в МИАЦ описывает процедуру создания точной копии данных с целью их восстановления при потере или повреждении исходных данных. В соответствии с ГОСТ Р 57580, все эти процессы должны быть регулярно проверяемы и документированы для обеспечения соответствия требованиям информационной безопасности.</w:t>
      </w:r>
    </w:p>
    <w:p>
      <w:pPr>
        <w:pStyle w:val="Heading1"/>
      </w:pPr>
      <w:r>
        <w:t>5. Требования К Защите Информации</w:t>
      </w:r>
    </w:p>
    <w:p>
      <w:pPr>
        <w:spacing w:after="120"/>
      </w:pPr>
      <w:r>
        <w:t>В МИАЦ для обеспечения безопасности и конфиденциальности информации применяются комплексные меры защиты, включающие шифрование данных, журналирование операций с информацией и регулярное резервное копирование. Шифрование используется для защиты персональных данных пациентов, медицинской документации и других конфиденциальных материалов от несанкционированного доступа. В соответствии с требованиями ГОСТ Р 57580-2013 "Информационные технологии. Шифрование информации. Общие технические требования и тестирование соответствия", шифрование применяется на всех этапах передачи и хранения данных. Журналирование операций с информацией позволяет отслеживать все изменения, внесенные в базы данных МИАЦ, что способствует выявлению несанкционированных действий и обеспечивает возможность восстановления состояния системы на момент произошедшего инцидента. Регулярное резервное копирование информации выполняется с соблюдением требований ФСТЭК России, утвержденных приказом №14 от 20.03.2018 "Об утверждении требований к защите информации", что обеспечивает сохранность данных в случае технических сбоев или других чрезвычайных ситуаций. Порядок контроля за выполнением требований по защите информации регулярно проверяется внутренними аудиторами МИАЦ, что позволяет своевременно выявлять и устранять возможные риски.</w:t>
      </w:r>
    </w:p>
    <w:p>
      <w:pPr>
        <w:pStyle w:val="Heading1"/>
      </w:pPr>
      <w:r>
        <w:t>6. Управление Доступом</w:t>
      </w:r>
    </w:p>
    <w:p>
      <w:pPr>
        <w:spacing w:after="120"/>
      </w:pPr>
      <w:r>
        <w:t>Управление доступом в МИАЦ осуществляется с учетом требований законодательства Российской Федерации и нормативных документов, утвержденных ФСТЭК России. В целях обеспечения информационной безопасности и защиты конфиденциальной информации в МИАЦ реализованы меры по управлению доступом к системам и данным. Для предотвращения несанкционированного доступа и обеспечения целостности данных применяется шифрование с использованием стандартов ГОСТ Р 57580, что гарантирует защиту информации от неправомерного использования. Кроме того, в МИАЦ внедрена система журналирования всех операций пользователей с информационными ресурсами, что позволяет контролировать доступ и действия сотрудников. Внедрение системы журналирования обеспечивает возможность анализа и выявления несанкционированных действий в реальном времени. Регулярное резервное копирование данных также является важным компонентом управления доступом, обеспечивающим восстановление информации при технических сбоях или других чрезвычайных ситуациях. Контроль за соблюдением установленных мер осуществляется через регулярные аудиты и проверки, что позволяет своевременно выявлять и устранять возможные уязвимости в системе управления доступом.</w:t>
      </w:r>
    </w:p>
    <w:p>
      <w:pPr>
        <w:pStyle w:val="Heading1"/>
      </w:pPr>
      <w:r>
        <w:t>7. Ответственность</w:t>
      </w:r>
    </w:p>
    <w:p>
      <w:pPr>
        <w:spacing w:after="120"/>
      </w:pPr>
      <w:r>
        <w:t>В МИАЦ определена ответственность за реализацию политики информационной безопасности (далее - ПИБ). В соответствии с ГОСТ Р 57580, все сотрудники и подразделения МИАЦ обязаны соблюдать установленные требования. Основная ответственность лежит на руководстве МИАЦ за обеспечение соответствия деятельности организации нормативным документам в области информационной безопасности. Директор МИАЦ несет полную ответственность за организацию и контроль исполнения ПИБ. Ответственность за выполнение конкретных задач по обеспечению информационной безопасности возложена на специалистов отдела ИТ, которые обязаны применять меры защиты информации, такие как шифрование данных, журналирование операций с информацией и резервное копирование. Специалисты отдела ИТ должны обеспечивать регулярное обновление программного обеспечения для предотвращения угроз безопасности информации. В случае нарушений ПИБ, предусмотрены меры дисциплинарного характера вплоть до прекращения трудового договора. Контроль за соблюдением ПИБ осуществляется через регулярные аудиты и проверки, проводимые внутренними и внешними специалистами. Результаты этих проверок используются для улучшения системы управления информационной безопасностью МИАЦ.</w:t>
      </w:r>
    </w:p>
    <w:p>
      <w:pPr>
        <w:pStyle w:val="Heading1"/>
      </w:pPr>
      <w:r>
        <w:t>8. Контроль И Аудит</w:t>
      </w:r>
    </w:p>
    <w:p>
      <w:pPr>
        <w:spacing w:after="120"/>
      </w:pPr>
      <w:r>
        <w:t>{</w:t>
      </w:r>
    </w:p>
    <w:p>
      <w:pPr>
        <w:spacing w:after="120"/>
      </w:pPr>
      <w:r>
        <w:t>"sections": [{</w:t>
      </w:r>
    </w:p>
    <w:p>
      <w:pPr>
        <w:spacing w:after="120"/>
      </w:pPr>
      <w:r>
        <w:t>"section_number": "7",</w:t>
      </w:r>
    </w:p>
    <w:p>
      <w:pPr>
        <w:spacing w:after="120"/>
      </w:pPr>
      <w:r>
        <w:t>"title": "Контроль и аудит",</w:t>
      </w:r>
    </w:p>
    <w:p>
      <w:pPr>
        <w:spacing w:after="120"/>
      </w:pPr>
      <w:r>
        <w:t>"content": "7. Контроль и аудит в МИАЦ направлены на обеспечение безопасности информации и соблюдения требований законодательства РФ в области информационной безопасности (ИБ). В рамках данного раздела регламентируются основные параметры контроля и аудита, обеспечивающие надежность и целостность данных. Для реализации этих задач МИАЦ применяет комплекс мер, включающий шифрование информации, журналирование операций и резервное копирование данных.</w:t>
      </w:r>
    </w:p>
    <w:p>
      <w:pPr>
        <w:spacing w:after="120"/>
      </w:pPr>
      <w:r>
        <w:t>Шифрование информации используется для защиты конфиденциальной информации от несанкционированного доступа. В соответствии с требованиями ГОСТ Р 57580-2019, все чувствительные данные хранятся и передаются в зашифрованном виде. Шифрование применяется на всех уровнях информационной системы: при обработке данных, передаче по сети и хранении на носителях информации.</w:t>
      </w:r>
    </w:p>
    <w:p>
      <w:pPr>
        <w:spacing w:after="120"/>
      </w:pPr>
      <w:r>
        <w:t>Журналирование операций обеспечивает учет всех действий с информацией в системах МИАЦ. В соответствии</w:t>
      </w:r>
    </w:p>
    <w:p>
      <w:pPr>
        <w:pStyle w:val="Heading1"/>
      </w:pPr>
      <w:r>
        <w:t>9. Заключительные Положения</w:t>
      </w:r>
    </w:p>
    <w:p>
      <w:pPr>
        <w:spacing w:after="120"/>
      </w:pPr>
      <w:r>
        <w:t>В заключение, МИАЦ подчеркивает важность обеспечения информационной безопасности (ИБ) в соответствии с требованиями действующего законодательства и нормативных документов. В частности, следует строго соблюдать требования ГОСТ Р 57580 "Информационная безопасность. Системы управления информационной безопасностью. Требования". Для обеспечения защиты информации в МИАЦ предусмотрены следующие меры: шифрование данных, журналирование операций и регулярное резервное копирование. Шифрование используется для защиты конфиденциальной информации от несанкционированного доступа, обеспечивая ее целостность и неприкосновенность. Журналы операций позволяют отслеживать все изменения в системе, что способствует выявлению потенциальных угроз и обеспечивает возможность проведения расследований при возникновении инцидентов. Регулярное резервное копирование данных гарантирует их восстановление в случае технических сбоев или других чрезвычайных ситуаций, что является ключевым элементом стратегии ИБ МИАЦ.</w:t>
      </w:r>
    </w:p>
    <w:p>
      <w:pPr>
        <w:pStyle w:val="Heading1"/>
      </w:pPr>
      <w:r>
        <w:t>Приложение А. Нормативные ссылки</w:t>
      </w:r>
    </w:p>
    <w:p>
      <w:pPr>
        <w:pStyle w:val="ListBullet"/>
        <w:spacing w:after="80"/>
      </w:pPr>
      <w:r>
        <w:t>gost_57580</w:t>
      </w:r>
    </w:p>
    <w:p>
      <w:pPr>
        <w:pStyle w:val="ListBullet"/>
        <w:spacing w:after="80"/>
      </w:pPr>
      <w:r>
        <w:t>fstek_239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33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