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D0B4A" w14:textId="2BA76085" w:rsidR="00146195" w:rsidRPr="000F0FCB" w:rsidRDefault="00000000" w:rsidP="000F0FCB">
      <w:pPr>
        <w:pStyle w:val="Title"/>
        <w:keepNext w:val="0"/>
        <w:keepLines w:val="0"/>
        <w:spacing w:before="320" w:after="0" w:line="240" w:lineRule="auto"/>
        <w:rPr>
          <w:rFonts w:ascii="Proxima Nova" w:eastAsia="Proxima Nova" w:hAnsi="Proxima Nova" w:cs="Proxima Nova"/>
          <w:b/>
          <w:color w:val="4A86E8"/>
          <w:sz w:val="58"/>
          <w:szCs w:val="58"/>
        </w:rPr>
      </w:pPr>
      <w:bookmarkStart w:id="0" w:name="_5x0d5h95i329" w:colFirst="0" w:colLast="0"/>
      <w:bookmarkEnd w:id="0"/>
      <w:r>
        <w:rPr>
          <w:rFonts w:ascii="Google Sans" w:eastAsia="Google Sans" w:hAnsi="Google Sans" w:cs="Google Sans"/>
          <w:b/>
          <w:color w:val="4A86E8"/>
          <w:sz w:val="58"/>
          <w:szCs w:val="58"/>
        </w:rPr>
        <w:t>Vulnerability Assessment Report</w:t>
      </w:r>
      <w:bookmarkStart w:id="1" w:name="_af80tl7prv5v" w:colFirst="0" w:colLast="0"/>
      <w:bookmarkEnd w:id="1"/>
    </w:p>
    <w:p w14:paraId="2986EC6D" w14:textId="77777777" w:rsidR="00146195" w:rsidRDefault="00000000">
      <w:pPr>
        <w:pStyle w:val="Subtitle"/>
        <w:keepNext w:val="0"/>
        <w:keepLines w:val="0"/>
        <w:spacing w:after="0" w:line="240" w:lineRule="auto"/>
        <w:rPr>
          <w:rFonts w:ascii="Google Sans" w:eastAsia="Google Sans" w:hAnsi="Google Sans" w:cs="Google Sans"/>
          <w:b/>
          <w:sz w:val="28"/>
          <w:szCs w:val="28"/>
        </w:rPr>
      </w:pPr>
      <w:bookmarkStart w:id="2" w:name="_nhcy8rpxthcf" w:colFirst="0" w:colLast="0"/>
      <w:bookmarkEnd w:id="2"/>
      <w:r>
        <w:pict w14:anchorId="1B889107">
          <v:rect id="_x0000_i1025" style="width:0;height:1.5pt" o:hralign="center" o:hrstd="t" o:hr="t" fillcolor="#a0a0a0" stroked="f"/>
        </w:pict>
      </w:r>
    </w:p>
    <w:p w14:paraId="3828E392" w14:textId="77777777" w:rsidR="00146195"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3" w:name="_buc6q0k08dmn" w:colFirst="0" w:colLast="0"/>
      <w:bookmarkEnd w:id="3"/>
      <w:r>
        <w:rPr>
          <w:rFonts w:ascii="Proxima Nova" w:eastAsia="Proxima Nova" w:hAnsi="Proxima Nova" w:cs="Proxima Nova"/>
          <w:b/>
          <w:color w:val="353744"/>
          <w:sz w:val="28"/>
          <w:szCs w:val="28"/>
        </w:rPr>
        <w:t>System Description</w:t>
      </w:r>
    </w:p>
    <w:p w14:paraId="13AF26F1" w14:textId="77777777" w:rsidR="00146195"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14:paraId="4175A94B" w14:textId="77777777" w:rsidR="00146195"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4" w:name="_e64wndl8jmz1" w:colFirst="0" w:colLast="0"/>
      <w:bookmarkEnd w:id="4"/>
      <w:r>
        <w:rPr>
          <w:rFonts w:ascii="Proxima Nova" w:eastAsia="Proxima Nova" w:hAnsi="Proxima Nova" w:cs="Proxima Nova"/>
          <w:b/>
          <w:color w:val="353744"/>
          <w:sz w:val="28"/>
          <w:szCs w:val="28"/>
        </w:rPr>
        <w:t>Scope</w:t>
      </w:r>
    </w:p>
    <w:p w14:paraId="59EC6F7F" w14:textId="77777777" w:rsidR="00146195"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 xml:space="preserve">The scope of this vulnerability assessment relates to the current access controls of the system. The assessment will cover a period of three months, from June 20XX to August 20XX. </w:t>
      </w:r>
      <w:hyperlink r:id="rId5" w:anchor="heading=h.hvbcmqwzo9do">
        <w:r w:rsidR="00146195">
          <w:rPr>
            <w:rFonts w:ascii="Google Sans" w:eastAsia="Google Sans" w:hAnsi="Google Sans" w:cs="Google Sans"/>
            <w:color w:val="1155CC"/>
            <w:u w:val="single"/>
          </w:rPr>
          <w:t>NIST SP 800-30 Rev. 1</w:t>
        </w:r>
      </w:hyperlink>
      <w:r>
        <w:rPr>
          <w:rFonts w:ascii="Google Sans" w:eastAsia="Google Sans" w:hAnsi="Google Sans" w:cs="Google Sans"/>
          <w:color w:val="353744"/>
        </w:rPr>
        <w:t xml:space="preserve"> is used to guide the risk analysis of the information system.</w:t>
      </w:r>
    </w:p>
    <w:p w14:paraId="5E7E3F64" w14:textId="77777777" w:rsidR="00146195"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5" w:name="_oymnw3nlvwib" w:colFirst="0" w:colLast="0"/>
      <w:bookmarkEnd w:id="5"/>
      <w:r>
        <w:rPr>
          <w:rFonts w:ascii="Proxima Nova" w:eastAsia="Proxima Nova" w:hAnsi="Proxima Nova" w:cs="Proxima Nova"/>
          <w:b/>
          <w:color w:val="353744"/>
          <w:sz w:val="28"/>
          <w:szCs w:val="28"/>
        </w:rPr>
        <w:t>Purpose</w:t>
      </w:r>
    </w:p>
    <w:p w14:paraId="72B65BAB" w14:textId="674F6294" w:rsidR="00223EB0" w:rsidRPr="00223EB0" w:rsidRDefault="00223EB0" w:rsidP="00223EB0">
      <w:r>
        <w:t xml:space="preserve">The purpose of this assessment is to determine the levels of risk associated with the server. The database server is valuable as it contains data that is crucial for business operations, which is accessed by the employees. It is important for the business to secure the data on the server as it is confidential and private, potentially destructive in the event of a data leak. </w:t>
      </w:r>
    </w:p>
    <w:p w14:paraId="528FCC64" w14:textId="77777777" w:rsidR="00146195"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6" w:name="_i2ip4lwifo50" w:colFirst="0" w:colLast="0"/>
      <w:bookmarkEnd w:id="6"/>
      <w:r>
        <w:rPr>
          <w:rFonts w:ascii="Proxima Nova" w:eastAsia="Proxima Nova" w:hAnsi="Proxima Nova" w:cs="Proxima Nova"/>
          <w:b/>
          <w:color w:val="353744"/>
          <w:sz w:val="28"/>
          <w:szCs w:val="28"/>
        </w:rPr>
        <w:t>Risk Assessment</w:t>
      </w:r>
    </w:p>
    <w:p w14:paraId="71A0F3E3" w14:textId="77777777" w:rsidR="00146195" w:rsidRDefault="00146195">
      <w:pPr>
        <w:spacing w:line="312" w:lineRule="auto"/>
        <w:rPr>
          <w:rFonts w:ascii="Google Sans" w:eastAsia="Google Sans" w:hAnsi="Google Sans" w:cs="Google Sans"/>
          <w:color w:val="353744"/>
        </w:rPr>
      </w:pPr>
    </w:p>
    <w:tbl>
      <w:tblPr>
        <w:tblStyle w:val="a"/>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3615"/>
        <w:gridCol w:w="1395"/>
        <w:gridCol w:w="1320"/>
        <w:gridCol w:w="1110"/>
      </w:tblGrid>
      <w:tr w:rsidR="00146195" w14:paraId="3322B95E" w14:textId="77777777">
        <w:tc>
          <w:tcPr>
            <w:tcW w:w="1860" w:type="dxa"/>
            <w:shd w:val="clear" w:color="auto" w:fill="C9DAF8"/>
            <w:tcMar>
              <w:top w:w="100" w:type="dxa"/>
              <w:left w:w="100" w:type="dxa"/>
              <w:bottom w:w="100" w:type="dxa"/>
              <w:right w:w="100" w:type="dxa"/>
            </w:tcMar>
          </w:tcPr>
          <w:p w14:paraId="46B94A52" w14:textId="77777777" w:rsidR="00146195"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Threat source</w:t>
            </w:r>
          </w:p>
        </w:tc>
        <w:tc>
          <w:tcPr>
            <w:tcW w:w="3615" w:type="dxa"/>
            <w:shd w:val="clear" w:color="auto" w:fill="C9DAF8"/>
            <w:tcMar>
              <w:top w:w="100" w:type="dxa"/>
              <w:left w:w="100" w:type="dxa"/>
              <w:bottom w:w="100" w:type="dxa"/>
              <w:right w:w="100" w:type="dxa"/>
            </w:tcMar>
          </w:tcPr>
          <w:p w14:paraId="4D64F332" w14:textId="77777777" w:rsidR="00146195"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Threat event</w:t>
            </w:r>
          </w:p>
        </w:tc>
        <w:tc>
          <w:tcPr>
            <w:tcW w:w="1395" w:type="dxa"/>
            <w:shd w:val="clear" w:color="auto" w:fill="C9DAF8"/>
            <w:tcMar>
              <w:top w:w="100" w:type="dxa"/>
              <w:left w:w="100" w:type="dxa"/>
              <w:bottom w:w="100" w:type="dxa"/>
              <w:right w:w="100" w:type="dxa"/>
            </w:tcMar>
          </w:tcPr>
          <w:p w14:paraId="34D2A2FA" w14:textId="77777777" w:rsidR="00146195"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Likelihood</w:t>
            </w:r>
          </w:p>
        </w:tc>
        <w:tc>
          <w:tcPr>
            <w:tcW w:w="1320" w:type="dxa"/>
            <w:shd w:val="clear" w:color="auto" w:fill="C9DAF8"/>
            <w:tcMar>
              <w:top w:w="100" w:type="dxa"/>
              <w:left w:w="100" w:type="dxa"/>
              <w:bottom w:w="100" w:type="dxa"/>
              <w:right w:w="100" w:type="dxa"/>
            </w:tcMar>
          </w:tcPr>
          <w:p w14:paraId="0FC3142F" w14:textId="77777777" w:rsidR="00146195"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Severity</w:t>
            </w:r>
          </w:p>
        </w:tc>
        <w:tc>
          <w:tcPr>
            <w:tcW w:w="1110" w:type="dxa"/>
            <w:shd w:val="clear" w:color="auto" w:fill="C9DAF8"/>
            <w:tcMar>
              <w:top w:w="100" w:type="dxa"/>
              <w:left w:w="100" w:type="dxa"/>
              <w:bottom w:w="100" w:type="dxa"/>
              <w:right w:w="100" w:type="dxa"/>
            </w:tcMar>
          </w:tcPr>
          <w:p w14:paraId="49EA0DDD" w14:textId="77777777" w:rsidR="00146195"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Risk</w:t>
            </w:r>
          </w:p>
        </w:tc>
      </w:tr>
      <w:tr w:rsidR="00146195" w14:paraId="42AAE55C" w14:textId="77777777">
        <w:tc>
          <w:tcPr>
            <w:tcW w:w="1860" w:type="dxa"/>
            <w:tcMar>
              <w:top w:w="100" w:type="dxa"/>
              <w:left w:w="100" w:type="dxa"/>
              <w:bottom w:w="100" w:type="dxa"/>
              <w:right w:w="100" w:type="dxa"/>
            </w:tcMar>
          </w:tcPr>
          <w:p w14:paraId="562E1C12" w14:textId="7F48E471" w:rsidR="00146195" w:rsidRPr="00223EB0" w:rsidRDefault="00223EB0">
            <w:pPr>
              <w:widowControl w:val="0"/>
              <w:spacing w:line="240" w:lineRule="auto"/>
              <w:rPr>
                <w:rFonts w:ascii="Google Sans" w:eastAsia="Google Sans" w:hAnsi="Google Sans" w:cs="Google Sans"/>
                <w:iCs/>
                <w:color w:val="353744"/>
              </w:rPr>
            </w:pPr>
            <w:r>
              <w:rPr>
                <w:rFonts w:ascii="Google Sans" w:eastAsia="Google Sans" w:hAnsi="Google Sans" w:cs="Google Sans"/>
                <w:iCs/>
                <w:color w:val="353744"/>
              </w:rPr>
              <w:t>Competitor</w:t>
            </w:r>
          </w:p>
        </w:tc>
        <w:tc>
          <w:tcPr>
            <w:tcW w:w="3615" w:type="dxa"/>
            <w:tcMar>
              <w:top w:w="100" w:type="dxa"/>
              <w:left w:w="100" w:type="dxa"/>
              <w:bottom w:w="100" w:type="dxa"/>
              <w:right w:w="100" w:type="dxa"/>
            </w:tcMar>
          </w:tcPr>
          <w:p w14:paraId="41F7BEF9" w14:textId="77777777" w:rsidR="00146195" w:rsidRPr="00223EB0" w:rsidRDefault="00000000">
            <w:pPr>
              <w:widowControl w:val="0"/>
              <w:spacing w:line="240" w:lineRule="auto"/>
              <w:rPr>
                <w:rFonts w:ascii="Google Sans" w:eastAsia="Google Sans" w:hAnsi="Google Sans" w:cs="Google Sans"/>
                <w:iCs/>
                <w:color w:val="353744"/>
              </w:rPr>
            </w:pPr>
            <w:r w:rsidRPr="00223EB0">
              <w:rPr>
                <w:rFonts w:ascii="Google Sans" w:eastAsia="Google Sans" w:hAnsi="Google Sans" w:cs="Google Sans"/>
                <w:iCs/>
                <w:color w:val="353744"/>
              </w:rPr>
              <w:t>Obtain sensitive information via exfiltration</w:t>
            </w:r>
          </w:p>
        </w:tc>
        <w:tc>
          <w:tcPr>
            <w:tcW w:w="1395" w:type="dxa"/>
            <w:tcMar>
              <w:top w:w="100" w:type="dxa"/>
              <w:left w:w="100" w:type="dxa"/>
              <w:bottom w:w="100" w:type="dxa"/>
              <w:right w:w="100" w:type="dxa"/>
            </w:tcMar>
          </w:tcPr>
          <w:p w14:paraId="58662787" w14:textId="77777777" w:rsidR="00146195"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320" w:type="dxa"/>
            <w:tcMar>
              <w:top w:w="100" w:type="dxa"/>
              <w:left w:w="100" w:type="dxa"/>
              <w:bottom w:w="100" w:type="dxa"/>
              <w:right w:w="100" w:type="dxa"/>
            </w:tcMar>
          </w:tcPr>
          <w:p w14:paraId="62075469" w14:textId="77777777" w:rsidR="00146195"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110" w:type="dxa"/>
            <w:tcMar>
              <w:top w:w="100" w:type="dxa"/>
              <w:left w:w="100" w:type="dxa"/>
              <w:bottom w:w="100" w:type="dxa"/>
              <w:right w:w="100" w:type="dxa"/>
            </w:tcMar>
          </w:tcPr>
          <w:p w14:paraId="4E3E2F56" w14:textId="77777777" w:rsidR="00146195"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9</w:t>
            </w:r>
          </w:p>
        </w:tc>
      </w:tr>
      <w:tr w:rsidR="00146195" w14:paraId="59809629" w14:textId="77777777">
        <w:tc>
          <w:tcPr>
            <w:tcW w:w="1860" w:type="dxa"/>
            <w:tcMar>
              <w:top w:w="100" w:type="dxa"/>
              <w:left w:w="100" w:type="dxa"/>
              <w:bottom w:w="100" w:type="dxa"/>
              <w:right w:w="100" w:type="dxa"/>
            </w:tcMar>
          </w:tcPr>
          <w:p w14:paraId="312DE293" w14:textId="0FCFEB67" w:rsidR="00146195" w:rsidRPr="00223EB0" w:rsidRDefault="00223EB0">
            <w:pPr>
              <w:widowControl w:val="0"/>
              <w:spacing w:line="240" w:lineRule="auto"/>
              <w:rPr>
                <w:rFonts w:ascii="Google Sans" w:eastAsia="Google Sans" w:hAnsi="Google Sans" w:cs="Google Sans"/>
                <w:iCs/>
                <w:color w:val="353744"/>
              </w:rPr>
            </w:pPr>
            <w:r>
              <w:rPr>
                <w:rFonts w:ascii="Google Sans" w:eastAsia="Google Sans" w:hAnsi="Google Sans" w:cs="Google Sans"/>
                <w:iCs/>
                <w:color w:val="353744"/>
              </w:rPr>
              <w:t>Hacker</w:t>
            </w:r>
          </w:p>
        </w:tc>
        <w:tc>
          <w:tcPr>
            <w:tcW w:w="3615" w:type="dxa"/>
            <w:tcMar>
              <w:top w:w="100" w:type="dxa"/>
              <w:left w:w="100" w:type="dxa"/>
              <w:bottom w:w="100" w:type="dxa"/>
              <w:right w:w="100" w:type="dxa"/>
            </w:tcMar>
          </w:tcPr>
          <w:p w14:paraId="4859E74F" w14:textId="47605AB9" w:rsidR="00146195" w:rsidRPr="00223EB0" w:rsidRDefault="004E1EBD">
            <w:pPr>
              <w:widowControl w:val="0"/>
              <w:spacing w:line="240" w:lineRule="auto"/>
              <w:rPr>
                <w:rFonts w:ascii="Google Sans" w:eastAsia="Google Sans" w:hAnsi="Google Sans" w:cs="Google Sans"/>
                <w:iCs/>
                <w:color w:val="353744"/>
              </w:rPr>
            </w:pPr>
            <w:r>
              <w:rPr>
                <w:rFonts w:ascii="Google Sans" w:eastAsia="Google Sans" w:hAnsi="Google Sans" w:cs="Google Sans"/>
                <w:iCs/>
                <w:color w:val="353744"/>
              </w:rPr>
              <w:t xml:space="preserve">Conducting “man-in-the-middle” attacks. </w:t>
            </w:r>
          </w:p>
        </w:tc>
        <w:tc>
          <w:tcPr>
            <w:tcW w:w="1395" w:type="dxa"/>
            <w:tcMar>
              <w:top w:w="100" w:type="dxa"/>
              <w:left w:w="100" w:type="dxa"/>
              <w:bottom w:w="100" w:type="dxa"/>
              <w:right w:w="100" w:type="dxa"/>
            </w:tcMar>
          </w:tcPr>
          <w:p w14:paraId="3C0BAD99" w14:textId="5B0DA6F1" w:rsidR="00146195" w:rsidRPr="00223EB0" w:rsidRDefault="004E1EBD">
            <w:pPr>
              <w:widowControl w:val="0"/>
              <w:spacing w:line="240" w:lineRule="auto"/>
              <w:rPr>
                <w:rFonts w:ascii="Google Sans" w:eastAsia="Google Sans" w:hAnsi="Google Sans" w:cs="Google Sans"/>
                <w:iCs/>
                <w:color w:val="353744"/>
              </w:rPr>
            </w:pPr>
            <w:r>
              <w:rPr>
                <w:rFonts w:ascii="Google Sans" w:eastAsia="Google Sans" w:hAnsi="Google Sans" w:cs="Google Sans"/>
                <w:iCs/>
                <w:color w:val="353744"/>
              </w:rPr>
              <w:t>3</w:t>
            </w:r>
          </w:p>
        </w:tc>
        <w:tc>
          <w:tcPr>
            <w:tcW w:w="1320" w:type="dxa"/>
            <w:tcMar>
              <w:top w:w="100" w:type="dxa"/>
              <w:left w:w="100" w:type="dxa"/>
              <w:bottom w:w="100" w:type="dxa"/>
              <w:right w:w="100" w:type="dxa"/>
            </w:tcMar>
          </w:tcPr>
          <w:p w14:paraId="270F8FA4" w14:textId="39F01FDD" w:rsidR="00146195" w:rsidRPr="004E1EBD" w:rsidRDefault="004E1EBD">
            <w:pPr>
              <w:widowControl w:val="0"/>
              <w:spacing w:line="240" w:lineRule="auto"/>
              <w:rPr>
                <w:rFonts w:ascii="Google Sans" w:eastAsia="Google Sans" w:hAnsi="Google Sans" w:cs="Google Sans"/>
                <w:iCs/>
                <w:color w:val="353744"/>
              </w:rPr>
            </w:pPr>
            <w:r>
              <w:rPr>
                <w:rFonts w:ascii="Google Sans" w:eastAsia="Google Sans" w:hAnsi="Google Sans" w:cs="Google Sans"/>
                <w:iCs/>
                <w:color w:val="353744"/>
              </w:rPr>
              <w:t>3</w:t>
            </w:r>
          </w:p>
        </w:tc>
        <w:tc>
          <w:tcPr>
            <w:tcW w:w="1110" w:type="dxa"/>
            <w:tcMar>
              <w:top w:w="100" w:type="dxa"/>
              <w:left w:w="100" w:type="dxa"/>
              <w:bottom w:w="100" w:type="dxa"/>
              <w:right w:w="100" w:type="dxa"/>
            </w:tcMar>
          </w:tcPr>
          <w:p w14:paraId="1B063DE1" w14:textId="4C03265E" w:rsidR="00146195" w:rsidRPr="004E1EBD" w:rsidRDefault="004E1EBD">
            <w:pPr>
              <w:widowControl w:val="0"/>
              <w:spacing w:line="240" w:lineRule="auto"/>
              <w:rPr>
                <w:rFonts w:ascii="Google Sans" w:eastAsia="Google Sans" w:hAnsi="Google Sans" w:cs="Google Sans"/>
                <w:iCs/>
                <w:color w:val="353744"/>
              </w:rPr>
            </w:pPr>
            <w:r>
              <w:rPr>
                <w:rFonts w:ascii="Google Sans" w:eastAsia="Google Sans" w:hAnsi="Google Sans" w:cs="Google Sans"/>
                <w:iCs/>
                <w:color w:val="353744"/>
              </w:rPr>
              <w:t>9</w:t>
            </w:r>
          </w:p>
        </w:tc>
      </w:tr>
      <w:tr w:rsidR="00146195" w14:paraId="367CB5A2" w14:textId="77777777">
        <w:tc>
          <w:tcPr>
            <w:tcW w:w="1860" w:type="dxa"/>
            <w:tcMar>
              <w:top w:w="100" w:type="dxa"/>
              <w:left w:w="100" w:type="dxa"/>
              <w:bottom w:w="100" w:type="dxa"/>
              <w:right w:w="100" w:type="dxa"/>
            </w:tcMar>
          </w:tcPr>
          <w:p w14:paraId="350D904A" w14:textId="017FEBC8" w:rsidR="00146195" w:rsidRPr="00223EB0" w:rsidRDefault="00223EB0">
            <w:pPr>
              <w:widowControl w:val="0"/>
              <w:spacing w:line="240" w:lineRule="auto"/>
              <w:rPr>
                <w:rFonts w:ascii="Google Sans" w:eastAsia="Google Sans" w:hAnsi="Google Sans" w:cs="Google Sans"/>
                <w:iCs/>
                <w:color w:val="353744"/>
              </w:rPr>
            </w:pPr>
            <w:r>
              <w:rPr>
                <w:rFonts w:ascii="Google Sans" w:eastAsia="Google Sans" w:hAnsi="Google Sans" w:cs="Google Sans"/>
                <w:iCs/>
                <w:color w:val="353744"/>
              </w:rPr>
              <w:t>Customer</w:t>
            </w:r>
          </w:p>
        </w:tc>
        <w:tc>
          <w:tcPr>
            <w:tcW w:w="3615" w:type="dxa"/>
            <w:tcMar>
              <w:top w:w="100" w:type="dxa"/>
              <w:left w:w="100" w:type="dxa"/>
              <w:bottom w:w="100" w:type="dxa"/>
              <w:right w:w="100" w:type="dxa"/>
            </w:tcMar>
          </w:tcPr>
          <w:p w14:paraId="64654836" w14:textId="54AC27B2" w:rsidR="00146195" w:rsidRPr="00223EB0" w:rsidRDefault="004E1EBD">
            <w:pPr>
              <w:widowControl w:val="0"/>
              <w:spacing w:line="240" w:lineRule="auto"/>
              <w:rPr>
                <w:rFonts w:ascii="Google Sans" w:eastAsia="Google Sans" w:hAnsi="Google Sans" w:cs="Google Sans"/>
                <w:iCs/>
                <w:color w:val="353744"/>
              </w:rPr>
            </w:pPr>
            <w:r>
              <w:rPr>
                <w:rFonts w:ascii="Google Sans" w:eastAsia="Google Sans" w:hAnsi="Google Sans" w:cs="Google Sans"/>
                <w:iCs/>
                <w:color w:val="353744"/>
              </w:rPr>
              <w:t>Altering or deleting critical information.</w:t>
            </w:r>
          </w:p>
        </w:tc>
        <w:tc>
          <w:tcPr>
            <w:tcW w:w="1395" w:type="dxa"/>
            <w:tcMar>
              <w:top w:w="100" w:type="dxa"/>
              <w:left w:w="100" w:type="dxa"/>
              <w:bottom w:w="100" w:type="dxa"/>
              <w:right w:w="100" w:type="dxa"/>
            </w:tcMar>
          </w:tcPr>
          <w:p w14:paraId="1C903DF3" w14:textId="2FE3D01F" w:rsidR="00146195" w:rsidRPr="004E1EBD" w:rsidRDefault="004E1EBD">
            <w:pPr>
              <w:widowControl w:val="0"/>
              <w:spacing w:line="240" w:lineRule="auto"/>
              <w:rPr>
                <w:rFonts w:ascii="Google Sans" w:eastAsia="Google Sans" w:hAnsi="Google Sans" w:cs="Google Sans"/>
                <w:iCs/>
                <w:color w:val="353744"/>
              </w:rPr>
            </w:pPr>
            <w:r>
              <w:rPr>
                <w:rFonts w:ascii="Google Sans" w:eastAsia="Google Sans" w:hAnsi="Google Sans" w:cs="Google Sans"/>
                <w:iCs/>
                <w:color w:val="353744"/>
              </w:rPr>
              <w:t>2</w:t>
            </w:r>
          </w:p>
        </w:tc>
        <w:tc>
          <w:tcPr>
            <w:tcW w:w="1320" w:type="dxa"/>
            <w:tcMar>
              <w:top w:w="100" w:type="dxa"/>
              <w:left w:w="100" w:type="dxa"/>
              <w:bottom w:w="100" w:type="dxa"/>
              <w:right w:w="100" w:type="dxa"/>
            </w:tcMar>
          </w:tcPr>
          <w:p w14:paraId="64A55031" w14:textId="51B40549" w:rsidR="00146195" w:rsidRPr="004E1EBD" w:rsidRDefault="004E1EBD">
            <w:pPr>
              <w:widowControl w:val="0"/>
              <w:spacing w:line="240" w:lineRule="auto"/>
              <w:rPr>
                <w:rFonts w:ascii="Google Sans" w:eastAsia="Google Sans" w:hAnsi="Google Sans" w:cs="Google Sans"/>
                <w:iCs/>
                <w:color w:val="353744"/>
              </w:rPr>
            </w:pPr>
            <w:r>
              <w:rPr>
                <w:rFonts w:ascii="Google Sans" w:eastAsia="Google Sans" w:hAnsi="Google Sans" w:cs="Google Sans"/>
                <w:iCs/>
                <w:color w:val="353744"/>
              </w:rPr>
              <w:t>3</w:t>
            </w:r>
          </w:p>
        </w:tc>
        <w:tc>
          <w:tcPr>
            <w:tcW w:w="1110" w:type="dxa"/>
            <w:tcMar>
              <w:top w:w="100" w:type="dxa"/>
              <w:left w:w="100" w:type="dxa"/>
              <w:bottom w:w="100" w:type="dxa"/>
              <w:right w:w="100" w:type="dxa"/>
            </w:tcMar>
          </w:tcPr>
          <w:p w14:paraId="35025B7E" w14:textId="023B9B10" w:rsidR="00146195" w:rsidRPr="004E1EBD" w:rsidRDefault="004E1EBD">
            <w:pPr>
              <w:widowControl w:val="0"/>
              <w:spacing w:line="240" w:lineRule="auto"/>
              <w:rPr>
                <w:rFonts w:ascii="Google Sans" w:eastAsia="Google Sans" w:hAnsi="Google Sans" w:cs="Google Sans"/>
                <w:iCs/>
                <w:color w:val="353744"/>
              </w:rPr>
            </w:pPr>
            <w:r>
              <w:rPr>
                <w:rFonts w:ascii="Google Sans" w:eastAsia="Google Sans" w:hAnsi="Google Sans" w:cs="Google Sans"/>
                <w:iCs/>
                <w:color w:val="353744"/>
              </w:rPr>
              <w:t>6</w:t>
            </w:r>
          </w:p>
        </w:tc>
      </w:tr>
    </w:tbl>
    <w:p w14:paraId="3B61288D" w14:textId="77777777" w:rsidR="000F0FCB" w:rsidRDefault="000F0FCB">
      <w:pPr>
        <w:pStyle w:val="Heading1"/>
        <w:keepNext w:val="0"/>
        <w:keepLines w:val="0"/>
        <w:spacing w:before="480" w:after="0" w:line="240" w:lineRule="auto"/>
        <w:rPr>
          <w:rFonts w:ascii="Proxima Nova" w:eastAsia="Proxima Nova" w:hAnsi="Proxima Nova" w:cs="Proxima Nova"/>
          <w:b/>
          <w:color w:val="353744"/>
          <w:sz w:val="28"/>
          <w:szCs w:val="28"/>
        </w:rPr>
      </w:pPr>
      <w:bookmarkStart w:id="7" w:name="_a9ivkvfuz16w" w:colFirst="0" w:colLast="0"/>
      <w:bookmarkEnd w:id="7"/>
    </w:p>
    <w:p w14:paraId="6950DEEB" w14:textId="141316DF" w:rsidR="00146195" w:rsidRDefault="00000000">
      <w:pPr>
        <w:pStyle w:val="Heading1"/>
        <w:keepNext w:val="0"/>
        <w:keepLines w:val="0"/>
        <w:spacing w:before="480" w:after="0" w:line="240" w:lineRule="auto"/>
        <w:rPr>
          <w:rFonts w:ascii="Proxima Nova" w:eastAsia="Proxima Nova" w:hAnsi="Proxima Nova" w:cs="Proxima Nova"/>
          <w:b/>
          <w:color w:val="353744"/>
          <w:sz w:val="28"/>
          <w:szCs w:val="28"/>
        </w:rPr>
      </w:pPr>
      <w:r>
        <w:rPr>
          <w:rFonts w:ascii="Proxima Nova" w:eastAsia="Proxima Nova" w:hAnsi="Proxima Nova" w:cs="Proxima Nova"/>
          <w:b/>
          <w:color w:val="353744"/>
          <w:sz w:val="28"/>
          <w:szCs w:val="28"/>
        </w:rPr>
        <w:lastRenderedPageBreak/>
        <w:t>Approach</w:t>
      </w:r>
    </w:p>
    <w:p w14:paraId="14DECC8D" w14:textId="77777777" w:rsidR="004E1EBD" w:rsidRDefault="004E1EBD" w:rsidP="004E1EBD">
      <w:pPr>
        <w:rPr>
          <w:rFonts w:ascii="Google Sans" w:eastAsia="Google Sans" w:hAnsi="Google Sans" w:cs="Google Sans"/>
          <w:i/>
          <w:color w:val="353744"/>
        </w:rPr>
      </w:pPr>
    </w:p>
    <w:p w14:paraId="10EF43A2" w14:textId="1837493D" w:rsidR="004E1EBD" w:rsidRPr="004E1EBD" w:rsidRDefault="004E1EBD" w:rsidP="004E1EBD">
      <w:pPr>
        <w:rPr>
          <w:rFonts w:ascii="Google Sans" w:eastAsia="Google Sans" w:hAnsi="Google Sans" w:cs="Google Sans"/>
          <w:iCs/>
          <w:color w:val="353744"/>
        </w:rPr>
      </w:pPr>
      <w:r>
        <w:rPr>
          <w:rFonts w:ascii="Google Sans" w:eastAsia="Google Sans" w:hAnsi="Google Sans" w:cs="Google Sans"/>
          <w:iCs/>
          <w:color w:val="353744"/>
        </w:rPr>
        <w:t xml:space="preserve">These risks that were evaluated are relevant considering the nature of the business and the vulnerability that is present and exposes them to being attacked and having data exfiltrated. Competition might attempt to disrupt their operations to gain an edge, customers are likely to accidentally delete data, and hackers will exploit the vulnerability for their own gain. When scoring, I considered the potential impacts based on the threat posed to the business. </w:t>
      </w:r>
    </w:p>
    <w:p w14:paraId="2F13DC8F" w14:textId="77777777" w:rsidR="00146195"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8" w:name="_vf6vykh0xvv7" w:colFirst="0" w:colLast="0"/>
      <w:bookmarkEnd w:id="8"/>
      <w:r>
        <w:rPr>
          <w:rFonts w:ascii="Proxima Nova" w:eastAsia="Proxima Nova" w:hAnsi="Proxima Nova" w:cs="Proxima Nova"/>
          <w:b/>
          <w:color w:val="353744"/>
          <w:sz w:val="28"/>
          <w:szCs w:val="28"/>
        </w:rPr>
        <w:t>Remediation Strategy</w:t>
      </w:r>
    </w:p>
    <w:p w14:paraId="2A41D732" w14:textId="77777777" w:rsidR="004E1EBD" w:rsidRDefault="004E1EBD" w:rsidP="004E1EBD">
      <w:pPr>
        <w:rPr>
          <w:rFonts w:ascii="Google Sans" w:eastAsia="Google Sans" w:hAnsi="Google Sans" w:cs="Google Sans"/>
          <w:i/>
          <w:color w:val="353744"/>
        </w:rPr>
      </w:pPr>
    </w:p>
    <w:p w14:paraId="2583E65A" w14:textId="665E569D" w:rsidR="004E1EBD" w:rsidRPr="004E1EBD" w:rsidRDefault="004E1EBD" w:rsidP="004E1EBD">
      <w:pPr>
        <w:rPr>
          <w:rFonts w:ascii="Google Sans" w:eastAsia="Google Sans" w:hAnsi="Google Sans" w:cs="Google Sans"/>
          <w:iCs/>
          <w:color w:val="353744"/>
        </w:rPr>
      </w:pPr>
      <w:r>
        <w:rPr>
          <w:rFonts w:ascii="Google Sans" w:eastAsia="Google Sans" w:hAnsi="Google Sans" w:cs="Google Sans"/>
          <w:iCs/>
          <w:color w:val="353744"/>
        </w:rPr>
        <w:t xml:space="preserve">The business should consider a </w:t>
      </w:r>
      <w:proofErr w:type="spellStart"/>
      <w:r>
        <w:rPr>
          <w:rFonts w:ascii="Google Sans" w:eastAsia="Google Sans" w:hAnsi="Google Sans" w:cs="Google Sans"/>
          <w:iCs/>
          <w:color w:val="353744"/>
        </w:rPr>
        <w:t>defence</w:t>
      </w:r>
      <w:proofErr w:type="spellEnd"/>
      <w:r>
        <w:rPr>
          <w:rFonts w:ascii="Google Sans" w:eastAsia="Google Sans" w:hAnsi="Google Sans" w:cs="Google Sans"/>
          <w:iCs/>
          <w:color w:val="353744"/>
        </w:rPr>
        <w:t xml:space="preserve">-in-depth approach to ensure that critical systems cannot be easily accessed and exploited by actors. This should include technical controls such as MFA and managerial controls like IAM to ensure every one who accessed the servers is rightfully doing so. The results expose the weaknesses and thus should invoke actionable steps of actions. </w:t>
      </w:r>
    </w:p>
    <w:p w14:paraId="09E796CB" w14:textId="77777777" w:rsidR="00146195" w:rsidRDefault="00146195"/>
    <w:sectPr w:rsidR="0014619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embedRegular r:id="rId1" w:fontKey="{C19D251B-A693-499A-948E-060C34F465E0}"/>
    <w:embedBold r:id="rId2" w:fontKey="{968D7C8B-0F90-4432-AE4D-E28B4225AA7D}"/>
  </w:font>
  <w:font w:name="Google Sans">
    <w:charset w:val="00"/>
    <w:family w:val="auto"/>
    <w:pitch w:val="default"/>
    <w:embedRegular r:id="rId3" w:fontKey="{10D9310D-301F-4D7E-872C-97D8F1E224D6}"/>
    <w:embedBold r:id="rId4" w:fontKey="{833445FB-0A82-472F-9CF1-DEA4084AA94D}"/>
    <w:embedItalic r:id="rId5" w:fontKey="{A66A0D5B-D024-4C57-B982-E2226498855B}"/>
  </w:font>
  <w:font w:name="Calibri">
    <w:panose1 w:val="020F0502020204030204"/>
    <w:charset w:val="00"/>
    <w:family w:val="swiss"/>
    <w:pitch w:val="variable"/>
    <w:sig w:usb0="E4002EFF" w:usb1="C200247B" w:usb2="00000009" w:usb3="00000000" w:csb0="000001FF" w:csb1="00000000"/>
    <w:embedRegular r:id="rId6" w:fontKey="{C38344E7-E3AF-4317-9A6B-5920EFB28A78}"/>
  </w:font>
  <w:font w:name="Cambria">
    <w:panose1 w:val="02040503050406030204"/>
    <w:charset w:val="00"/>
    <w:family w:val="roman"/>
    <w:pitch w:val="variable"/>
    <w:sig w:usb0="E00006FF" w:usb1="420024FF" w:usb2="02000000" w:usb3="00000000" w:csb0="0000019F" w:csb1="00000000"/>
    <w:embedRegular r:id="rId7" w:fontKey="{2D50FB89-81F2-4C49-BF28-E1D0CC310E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26802"/>
    <w:multiLevelType w:val="multilevel"/>
    <w:tmpl w:val="E9586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0AA427A"/>
    <w:multiLevelType w:val="multilevel"/>
    <w:tmpl w:val="E812A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8B1AD0"/>
    <w:multiLevelType w:val="multilevel"/>
    <w:tmpl w:val="B7942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0347176">
    <w:abstractNumId w:val="2"/>
  </w:num>
  <w:num w:numId="2" w16cid:durableId="401413742">
    <w:abstractNumId w:val="0"/>
  </w:num>
  <w:num w:numId="3" w16cid:durableId="1388455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195"/>
    <w:rsid w:val="000F0FCB"/>
    <w:rsid w:val="00146195"/>
    <w:rsid w:val="00217196"/>
    <w:rsid w:val="00223EB0"/>
    <w:rsid w:val="004E1EBD"/>
    <w:rsid w:val="008C3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0CBFB"/>
  <w15:docId w15:val="{364AC2E5-FAC2-4836-A268-DE91C9D85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d/1Fc4L2azQlnUM-8r43PU9mYlT30BnxTwdjAMqpT7JeZk/edit?resourcekey=0-Q-XglnC3Li7JPK2hIvMkV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Musawenkosi Sifani</cp:lastModifiedBy>
  <cp:revision>3</cp:revision>
  <dcterms:created xsi:type="dcterms:W3CDTF">2026-06-21T15:03:00Z</dcterms:created>
  <dcterms:modified xsi:type="dcterms:W3CDTF">2026-09-30T16:56:00Z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17582652-1b75-478b-ae41-118d6c173379</vt:lpwstr>
  </property>
</Properties>
</file>