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728000" cy="375967"/>
            <wp:docPr id="1" name="Picture 1" descr="사립학교교직원연금공단 TP 로고"/>
            <wp:cNvGraphicFramePr>
              <a:graphicFrameLocks noChangeAspect="1"/>
            </wp:cNvGraphicFramePr>
            <a:graphic>
              <a:graphicData uri="http://schemas.openxmlformats.org/drawingml/2006/picture">
                <pic:pic>
                  <pic:nvPicPr>
                    <pic:cNvPr id="0" name="tp_logo.png"/>
                    <pic:cNvPicPr/>
                  </pic:nvPicPr>
                  <pic:blipFill>
                    <a:blip r:embed="rId9"/>
                    <a:stretch>
                      <a:fillRect/>
                    </a:stretch>
                  </pic:blipFill>
                  <pic:spPr>
                    <a:xfrm>
                      <a:off x="0" y="0"/>
                      <a:ext cx="1728000" cy="375967"/>
                    </a:xfrm>
                    <a:prstGeom prst="rect"/>
                  </pic:spPr>
                </pic:pic>
              </a:graphicData>
            </a:graphic>
          </wp:inline>
        </w:drawing>
      </w:r>
    </w:p>
    <w:p>
      <w:pPr>
        <w:spacing w:after="560"/>
      </w:pPr>
    </w:p>
    <w:p>
      <w:pPr>
        <w:shd w:fill="138ACB"/>
        <w:spacing w:after="0"/>
      </w:pPr>
      <w:r>
        <w:t xml:space="preserve"> </w:t>
      </w:r>
    </w:p>
    <w:p>
      <w:pPr>
        <w:shd w:fill="24364B"/>
        <w:spacing w:after="600"/>
      </w:pPr>
      <w:r>
        <w:t xml:space="preserve"> </w:t>
      </w:r>
    </w:p>
    <w:p>
      <w:pPr>
        <w:spacing w:after="200"/>
        <w:jc w:val="center"/>
      </w:pPr>
      <w:r>
        <w:rPr>
          <w:rFonts w:ascii="Nanum Gothic" w:hAnsi="Nanum Gothic" w:eastAsia="Nanum Gothic"/>
          <w:b/>
          <w:color w:val="138ACB"/>
          <w:sz w:val="26"/>
        </w:rPr>
        <w:t>공공데이터 활용 연구보고서</w:t>
      </w:r>
    </w:p>
    <w:p>
      <w:pPr>
        <w:spacing w:line="276" w:lineRule="auto" w:after="320"/>
        <w:jc w:val="center"/>
      </w:pPr>
      <w:r>
        <w:rPr>
          <w:rFonts w:ascii="Nanum Gothic" w:hAnsi="Nanum Gothic" w:eastAsia="Nanum Gothic"/>
          <w:b/>
          <w:color w:val="24364B"/>
          <w:sz w:val="48"/>
        </w:rPr>
        <w:t>사학연금 수급자 증가에 대응한</w:t>
        <w:br/>
        <w:t>디지털 서비스 공공데이터 개방 방안</w:t>
      </w:r>
    </w:p>
    <w:p>
      <w:pPr>
        <w:jc w:val="center"/>
      </w:pPr>
      <w:r>
        <w:rPr>
          <w:rFonts w:ascii="Nanum Gothic" w:hAnsi="Nanum Gothic" w:eastAsia="Nanum Gothic"/>
          <w:b w:val="0"/>
          <w:color w:val="5D6670"/>
          <w:sz w:val="24"/>
        </w:rPr>
        <w:t>퇴직자·퇴직연금수급자·연금액 추이 분석을 중심으로</w:t>
      </w:r>
    </w:p>
    <w:p>
      <w:pPr>
        <w:spacing w:after="760"/>
      </w:pPr>
    </w:p>
    <w:tbl>
      <w:tblPr>
        <w:tblW w:type="dxa" w:w="750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Ind w:w="110" w:type="dxa"/>
      </w:tblPr>
      <w:tblGrid>
        <w:gridCol w:w="1800"/>
        <w:gridCol w:w="5700"/>
      </w:tblGrid>
      <w:tr>
        <w:trPr>
          <w:tblHeader w:val="true"/>
          <w:cantSplit/>
        </w:trPr>
        <w:tc>
          <w:tcPr>
            <w:tcW w:type="dxa" w:w="1800"/>
            <w:shd w:fill="F4F6F8"/>
            <w:tcMar>
              <w:top w:w="100" w:type="dxa"/>
              <w:start w:w="110" w:type="dxa"/>
              <w:bottom w:w="100" w:type="dxa"/>
              <w:end w:w="110" w:type="dxa"/>
            </w:tcMar>
            <w:vAlign w:val="center"/>
          </w:tcPr>
          <w:p>
            <w:pPr>
              <w:jc w:val="center"/>
            </w:pPr>
            <w:r/>
            <w:r>
              <w:rPr>
                <w:rFonts w:ascii="Nanum Gothic" w:hAnsi="Nanum Gothic" w:eastAsia="Nanum Gothic"/>
                <w:b/>
                <w:color w:val="24364B"/>
                <w:sz w:val="19"/>
              </w:rPr>
              <w:t>수행 팀</w:t>
            </w:r>
          </w:p>
        </w:tc>
        <w:tc>
          <w:tcPr>
            <w:tcW w:type="dxa" w:w="5700"/>
            <w:tcMar>
              <w:top w:w="100" w:type="dxa"/>
              <w:start w:w="110" w:type="dxa"/>
              <w:bottom w:w="100" w:type="dxa"/>
              <w:end w:w="110" w:type="dxa"/>
            </w:tcMar>
            <w:vAlign w:val="center"/>
          </w:tcPr>
          <w:p>
            <w:r/>
            <w:r>
              <w:rPr>
                <w:rFonts w:ascii="Nanum Gothic" w:hAnsi="Nanum Gothic" w:eastAsia="Nanum Gothic"/>
                <w:b w:val="0"/>
                <w:color w:val="222222"/>
                <w:sz w:val="19"/>
              </w:rPr>
              <w:t>상상이상 (서경대학교, 3인)</w:t>
            </w:r>
          </w:p>
        </w:tc>
      </w:tr>
      <w:tr>
        <w:trPr>
          <w:cantSplit/>
        </w:trPr>
        <w:tc>
          <w:tcPr>
            <w:tcW w:type="dxa" w:w="1800"/>
            <w:shd w:fill="F4F6F8"/>
            <w:tcMar>
              <w:top w:w="100" w:type="dxa"/>
              <w:start w:w="110" w:type="dxa"/>
              <w:bottom w:w="100" w:type="dxa"/>
              <w:end w:w="110" w:type="dxa"/>
            </w:tcMar>
            <w:vAlign w:val="center"/>
          </w:tcPr>
          <w:p>
            <w:pPr>
              <w:jc w:val="center"/>
            </w:pPr>
            <w:r/>
            <w:r>
              <w:rPr>
                <w:rFonts w:ascii="Nanum Gothic" w:hAnsi="Nanum Gothic" w:eastAsia="Nanum Gothic"/>
                <w:b/>
                <w:color w:val="24364B"/>
                <w:sz w:val="19"/>
              </w:rPr>
              <w:t>작성 책임</w:t>
            </w:r>
          </w:p>
        </w:tc>
        <w:tc>
          <w:tcPr>
            <w:tcW w:type="dxa" w:w="5700"/>
            <w:tcMar>
              <w:top w:w="100" w:type="dxa"/>
              <w:start w:w="110" w:type="dxa"/>
              <w:bottom w:w="100" w:type="dxa"/>
              <w:end w:w="110" w:type="dxa"/>
            </w:tcMar>
            <w:vAlign w:val="center"/>
          </w:tcPr>
          <w:p>
            <w:r/>
            <w:r>
              <w:rPr>
                <w:rFonts w:ascii="Nanum Gothic" w:hAnsi="Nanum Gothic" w:eastAsia="Nanum Gothic"/>
                <w:b w:val="0"/>
                <w:color w:val="222222"/>
                <w:sz w:val="19"/>
              </w:rPr>
              <w:t>박수연</w:t>
            </w:r>
          </w:p>
        </w:tc>
      </w:tr>
      <w:tr>
        <w:trPr>
          <w:cantSplit/>
        </w:trPr>
        <w:tc>
          <w:tcPr>
            <w:tcW w:type="dxa" w:w="1800"/>
            <w:shd w:fill="F4F6F8"/>
            <w:tcMar>
              <w:top w:w="100" w:type="dxa"/>
              <w:start w:w="110" w:type="dxa"/>
              <w:bottom w:w="100" w:type="dxa"/>
              <w:end w:w="110" w:type="dxa"/>
            </w:tcMar>
            <w:vAlign w:val="center"/>
          </w:tcPr>
          <w:p>
            <w:pPr>
              <w:jc w:val="center"/>
            </w:pPr>
            <w:r/>
            <w:r>
              <w:rPr>
                <w:rFonts w:ascii="Nanum Gothic" w:hAnsi="Nanum Gothic" w:eastAsia="Nanum Gothic"/>
                <w:b/>
                <w:color w:val="24364B"/>
                <w:sz w:val="19"/>
              </w:rPr>
              <w:t>작성일</w:t>
            </w:r>
          </w:p>
        </w:tc>
        <w:tc>
          <w:tcPr>
            <w:tcW w:type="dxa" w:w="5700"/>
            <w:tcMar>
              <w:top w:w="100" w:type="dxa"/>
              <w:start w:w="110" w:type="dxa"/>
              <w:bottom w:w="100" w:type="dxa"/>
              <w:end w:w="110" w:type="dxa"/>
            </w:tcMar>
            <w:vAlign w:val="center"/>
          </w:tcPr>
          <w:p>
            <w:r/>
            <w:r>
              <w:rPr>
                <w:rFonts w:ascii="Nanum Gothic" w:hAnsi="Nanum Gothic" w:eastAsia="Nanum Gothic"/>
                <w:b w:val="0"/>
                <w:color w:val="222222"/>
                <w:sz w:val="19"/>
              </w:rPr>
              <w:t>2026. 8. 31.</w:t>
            </w:r>
          </w:p>
        </w:tc>
      </w:tr>
    </w:tbl>
    <w:p>
      <w:pPr>
        <w:spacing w:after="560"/>
      </w:pPr>
    </w:p>
    <w:p>
      <w:pPr>
        <w:jc w:val="center"/>
        <w:shd w:fill="E7E4ED"/>
      </w:pPr>
      <w:r>
        <w:rPr>
          <w:rFonts w:ascii="Nanum Gothic" w:hAnsi="Nanum Gothic" w:eastAsia="Nanum Gothic"/>
          <w:b/>
          <w:color w:val="24364B"/>
          <w:sz w:val="21"/>
        </w:rPr>
        <w:t>공공데이터로 보이는 수급 규모와, 아직 보이지 않는 디지털 이용 경험을 연결하다</w:t>
      </w:r>
    </w:p>
    <w:p>
      <w:pPr>
        <w:sectPr>
          <w:pgSz w:w="11906" w:h="16838"/>
          <w:pgMar w:top="1020" w:right="1247" w:bottom="1020" w:left="1247" w:header="454" w:footer="454" w:gutter="0"/>
          <w:cols w:space="720"/>
          <w:docGrid w:linePitch="360"/>
        </w:sectPr>
      </w:pPr>
    </w:p>
    <w:p>
      <w:pPr>
        <w:spacing w:after="280"/>
        <w:jc w:val="center"/>
      </w:pPr>
      <w:r>
        <w:rPr>
          <w:rFonts w:ascii="Nanum Gothic" w:hAnsi="Nanum Gothic" w:eastAsia="Nanum Gothic"/>
          <w:b/>
          <w:color w:val="24364B"/>
          <w:sz w:val="36"/>
        </w:rPr>
        <w:t>제출 정보</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800"/>
        <w:gridCol w:w="5700"/>
      </w:tblGrid>
      <w:tr>
        <w:trPr>
          <w:tblHeader w:val="true"/>
          <w:cantSplit/>
        </w:trPr>
        <w:tc>
          <w:tcPr>
            <w:tcW w:type="dxa" w:w="18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8"/>
              </w:rPr>
              <w:t>구분</w:t>
            </w:r>
          </w:p>
        </w:tc>
        <w:tc>
          <w:tcPr>
            <w:tcW w:type="dxa" w:w="5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8"/>
              </w:rPr>
              <w:t>내용</w:t>
            </w:r>
          </w:p>
        </w:tc>
      </w:tr>
      <w:tr>
        <w:trPr>
          <w:cantSplit/>
        </w:trPr>
        <w:tc>
          <w:tcPr>
            <w:tcW w:type="dxa" w:w="18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연구 주제</w:t>
            </w:r>
          </w:p>
        </w:tc>
        <w:tc>
          <w:tcPr>
            <w:tcW w:type="dxa" w:w="5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사학연금 수급자 증가에 대응한 디지털 서비스 공공데이터 개방</w:t>
            </w:r>
          </w:p>
        </w:tc>
      </w:tr>
      <w:tr>
        <w:trPr>
          <w:cantSplit/>
        </w:trPr>
        <w:tc>
          <w:tcPr>
            <w:tcW w:type="dxa" w:w="18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수행 팀</w:t>
            </w:r>
          </w:p>
        </w:tc>
        <w:tc>
          <w:tcPr>
            <w:tcW w:type="dxa" w:w="5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상상이상 (서경대학교, 3인)</w:t>
            </w:r>
          </w:p>
        </w:tc>
      </w:tr>
      <w:tr>
        <w:trPr>
          <w:cantSplit/>
        </w:trPr>
        <w:tc>
          <w:tcPr>
            <w:tcW w:type="dxa" w:w="18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작성 책임</w:t>
            </w:r>
          </w:p>
        </w:tc>
        <w:tc>
          <w:tcPr>
            <w:tcW w:type="dxa" w:w="5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박수연</w:t>
            </w:r>
          </w:p>
        </w:tc>
      </w:tr>
      <w:tr>
        <w:trPr>
          <w:cantSplit/>
        </w:trPr>
        <w:tc>
          <w:tcPr>
            <w:tcW w:type="dxa" w:w="18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활용 데이터</w:t>
            </w:r>
          </w:p>
        </w:tc>
        <w:tc>
          <w:tcPr>
            <w:tcW w:type="dxa" w:w="5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공공데이터포털 공식 CSV 2종(퇴직현황, 연금수급자 및 연금액)</w:t>
            </w:r>
          </w:p>
        </w:tc>
      </w:tr>
      <w:tr>
        <w:trPr>
          <w:cantSplit/>
        </w:trPr>
        <w:tc>
          <w:tcPr>
            <w:tcW w:type="dxa" w:w="18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분석 환경</w:t>
            </w:r>
          </w:p>
        </w:tc>
        <w:tc>
          <w:tcPr>
            <w:tcW w:type="dxa" w:w="5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Python 재현 코드, 2026-08-31 기준 공식 파일 검증</w:t>
            </w:r>
          </w:p>
        </w:tc>
      </w:tr>
      <w:tr>
        <w:trPr>
          <w:cantSplit/>
        </w:trPr>
        <w:tc>
          <w:tcPr>
            <w:tcW w:type="dxa" w:w="18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보고서 범위</w:t>
            </w:r>
          </w:p>
        </w:tc>
        <w:tc>
          <w:tcPr>
            <w:tcW w:type="dxa" w:w="5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가명·개인 단위 데이터를 사용하지 않은 집계 공개데이터 연구</w:t>
            </w:r>
          </w:p>
        </w:tc>
      </w:tr>
    </w:tbl>
    <w:p>
      <w:pPr>
        <w:spacing w:after="20"/>
      </w:pPr>
    </w:p>
    <w:p>
      <w:pPr>
        <w:pStyle w:val="Callout"/>
        <w:shd w:fill="E7E4ED"/>
        <w:spacing w:before="100" w:after="160" w:line="288" w:lineRule="auto"/>
        <w:ind w:left="227" w:right="227"/>
      </w:pPr>
      <w:r>
        <w:rPr>
          <w:rFonts w:ascii="Nanum Gothic" w:hAnsi="Nanum Gothic" w:eastAsia="Nanum Gothic"/>
          <w:b/>
          <w:color w:val="138ACB"/>
          <w:sz w:val="21"/>
        </w:rPr>
        <w:t xml:space="preserve">판단 원칙  </w:t>
      </w:r>
      <w:r>
        <w:rPr>
          <w:rFonts w:ascii="Nanum Gothic" w:hAnsi="Nanum Gothic" w:eastAsia="Nanum Gothic"/>
          <w:b w:val="0"/>
          <w:color w:val="24364B"/>
          <w:sz w:val="21"/>
        </w:rPr>
        <w:t>공개데이터로 확인되는 수치와, 현재 데이터로는 확인할 수 없는 가설을 분리했다. 고령 수급자의 디지털 실패를 사실로 전제하지 않고, 그 가설을 검증할 집계데이터 설계에 초점을 두었다.</w:t>
      </w:r>
    </w:p>
    <w:p>
      <w:r>
        <w:br w:type="page"/>
      </w:r>
    </w:p>
    <w:p>
      <w:pPr>
        <w:jc w:val="center"/>
      </w:pPr>
      <w:r>
        <w:rPr>
          <w:rFonts w:ascii="Nanum Gothic" w:hAnsi="Nanum Gothic" w:eastAsia="Nanum Gothic"/>
          <w:b/>
          <w:color w:val="24364B"/>
          <w:sz w:val="36"/>
        </w:rPr>
        <w:t>요 약 문</w:t>
      </w:r>
    </w:p>
    <w:p>
      <w:pPr>
        <w:pStyle w:val="Callout"/>
        <w:shd w:fill="EAF5FB"/>
        <w:spacing w:before="100" w:after="160" w:line="288" w:lineRule="auto"/>
        <w:ind w:left="227" w:right="227"/>
      </w:pPr>
      <w:r>
        <w:rPr>
          <w:rFonts w:ascii="Nanum Gothic" w:hAnsi="Nanum Gothic" w:eastAsia="Nanum Gothic"/>
          <w:b/>
          <w:color w:val="138ACB"/>
          <w:sz w:val="21"/>
        </w:rPr>
        <w:t xml:space="preserve">한 문장 결론  </w:t>
      </w:r>
      <w:r>
        <w:rPr>
          <w:rFonts w:ascii="Nanum Gothic" w:hAnsi="Nanum Gothic" w:eastAsia="Nanum Gothic"/>
          <w:b w:val="0"/>
          <w:color w:val="24364B"/>
          <w:sz w:val="21"/>
        </w:rPr>
        <w:t>퇴직연금수급자는 1997년 4,997명에서 2025년 111,389명으로 증가했지만, 현재 공개데이터로는 이들이 어떤 채널·인증단계에서 어려움을 겪는지 알 수 없으므로 연령대·채널·인증단계별 집계데이터를 신규 개방해야 한다.</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550"/>
        <w:gridCol w:w="2850"/>
        <w:gridCol w:w="3100"/>
      </w:tblGrid>
      <w:tr>
        <w:trPr>
          <w:tblHeader w:val="true"/>
          <w:cantSplit/>
        </w:trPr>
        <w:tc>
          <w:tcPr>
            <w:tcW w:type="dxa" w:w="15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근거</w:t>
            </w:r>
          </w:p>
        </w:tc>
        <w:tc>
          <w:tcPr>
            <w:tcW w:type="dxa" w:w="2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핵심 결과</w:t>
            </w:r>
          </w:p>
        </w:tc>
        <w:tc>
          <w:tcPr>
            <w:tcW w:type="dxa" w:w="31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의미</w:t>
            </w:r>
          </w:p>
        </w:tc>
      </w:tr>
      <w:tr>
        <w:trPr>
          <w:cantSplit/>
        </w:trPr>
        <w:tc>
          <w:tcPr>
            <w:tcW w:type="dxa" w:w="155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수급 규모</w:t>
            </w:r>
          </w:p>
        </w:tc>
        <w:tc>
          <w:tcPr>
            <w:tcW w:type="dxa" w:w="2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4,997명(1997) → 111,389명(2025)</w:t>
              <w:br/>
              <w:t>22.29배, 연평균 11.72%</w:t>
            </w:r>
          </w:p>
        </w:tc>
        <w:tc>
          <w:tcPr>
            <w:tcW w:type="dxa" w:w="31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수급자 접점을 지속적으로 관리할 필요</w:t>
            </w:r>
          </w:p>
        </w:tc>
      </w:tr>
      <w:tr>
        <w:trPr>
          <w:cantSplit/>
        </w:trPr>
        <w:tc>
          <w:tcPr>
            <w:tcW w:type="dxa" w:w="155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최근 변화</w:t>
            </w:r>
          </w:p>
        </w:tc>
        <w:tc>
          <w:tcPr>
            <w:tcW w:type="dxa" w:w="2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2025년 수급자 순증 5,623명(+5.32%)</w:t>
            </w:r>
          </w:p>
        </w:tc>
        <w:tc>
          <w:tcPr>
            <w:tcW w:type="dxa" w:w="31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디지털 접근성은 일회성 개선이 아닌 상시 과제</w:t>
            </w:r>
          </w:p>
        </w:tc>
      </w:tr>
      <w:tr>
        <w:trPr>
          <w:cantSplit/>
        </w:trPr>
        <w:tc>
          <w:tcPr>
            <w:tcW w:type="dxa" w:w="155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연금액</w:t>
            </w:r>
          </w:p>
        </w:tc>
        <w:tc>
          <w:tcPr>
            <w:tcW w:type="dxa" w:w="2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136.5만원(1997) → 331.8만원(2025)</w:t>
              <w:br/>
              <w:t>명목 기준 +143.06%</w:t>
            </w:r>
          </w:p>
        </w:tc>
        <w:tc>
          <w:tcPr>
            <w:tcW w:type="dxa" w:w="31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수급 규모와 함께 정확한 디지털 안내 중요</w:t>
            </w:r>
          </w:p>
        </w:tc>
      </w:tr>
      <w:tr>
        <w:trPr>
          <w:cantSplit/>
        </w:trPr>
        <w:tc>
          <w:tcPr>
            <w:tcW w:type="dxa" w:w="155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현재 거버넌스</w:t>
            </w:r>
          </w:p>
        </w:tc>
        <w:tc>
          <w:tcPr>
            <w:tcW w:type="dxa" w:w="2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가입자 현황은 있지만 연령·채널·인증 성공/실패 미포함</w:t>
            </w:r>
          </w:p>
        </w:tc>
        <w:tc>
          <w:tcPr>
            <w:tcW w:type="dxa" w:w="31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실제 이용성과 완결성을 판단할 수 없음</w:t>
            </w:r>
          </w:p>
        </w:tc>
      </w:tr>
    </w:tbl>
    <w:p>
      <w:pPr>
        <w:spacing w:after="20"/>
      </w:pPr>
    </w:p>
    <w:p>
      <w:pPr>
        <w:spacing w:before="120" w:after="120"/>
        <w:jc w:val="left"/>
      </w:pPr>
      <w:r>
        <w:rPr>
          <w:rFonts w:ascii="Nanum Gothic" w:hAnsi="Nanum Gothic" w:eastAsia="Nanum Gothic"/>
          <w:b/>
          <w:color w:val="138ACB"/>
          <w:sz w:val="19"/>
        </w:rPr>
        <w:t>핵심 제안</w:t>
      </w:r>
    </w:p>
    <w:p>
      <w:pPr>
        <w:numPr>
          <w:ilvl w:val="0"/>
          <w:numId w:val="10"/>
        </w:numPr>
        <w:spacing w:after="60"/>
      </w:pPr>
      <w:r>
        <w:rPr>
          <w:rFonts w:ascii="Nanum Gothic" w:hAnsi="Nanum Gothic" w:eastAsia="Nanum Gothic"/>
          <w:b w:val="0"/>
          <w:color w:val="222222"/>
          <w:sz w:val="20"/>
        </w:rPr>
        <w:t>1단계 최소 개방: 접속, 인증방법, 인증 성공·실패, 비밀번호 분실·인증 알림톡 발송을 연령대별로 집계한다.</w:t>
      </w:r>
    </w:p>
    <w:p>
      <w:pPr>
        <w:numPr>
          <w:ilvl w:val="0"/>
          <w:numId w:val="10"/>
        </w:numPr>
        <w:spacing w:after="60"/>
      </w:pPr>
      <w:r>
        <w:rPr>
          <w:rFonts w:ascii="Nanum Gothic" w:hAnsi="Nanum Gothic" w:eastAsia="Nanum Gothic"/>
          <w:b w:val="0"/>
          <w:color w:val="222222"/>
          <w:sz w:val="20"/>
        </w:rPr>
        <w:t>2단계 확장: 서비스 유형, 업무 완료, 실패사유 대분류, 관련 상담을 연결해 개선성과를 측정한다.</w:t>
      </w:r>
    </w:p>
    <w:p>
      <w:pPr>
        <w:numPr>
          <w:ilvl w:val="0"/>
          <w:numId w:val="10"/>
        </w:numPr>
        <w:spacing w:after="60"/>
      </w:pPr>
      <w:r>
        <w:rPr>
          <w:rFonts w:ascii="Nanum Gothic" w:hAnsi="Nanum Gothic" w:eastAsia="Nanum Gothic"/>
          <w:b w:val="0"/>
          <w:color w:val="222222"/>
          <w:sz w:val="20"/>
        </w:rPr>
        <w:t>개인식별자·기관명은 제외하고, 10세 단위 연령대, 소수셀 억제, 대분류된 실패사유로 재식별 위험을 통제한다.</w:t>
      </w:r>
    </w:p>
    <w:p>
      <w:r>
        <w:br w:type="page"/>
      </w:r>
    </w:p>
    <w:p>
      <w:pPr>
        <w:jc w:val="center"/>
      </w:pPr>
      <w:r>
        <w:rPr>
          <w:rFonts w:ascii="Nanum Gothic" w:hAnsi="Nanum Gothic" w:eastAsia="Nanum Gothic"/>
          <w:b/>
          <w:color w:val="24364B"/>
          <w:sz w:val="36"/>
        </w:rPr>
        <w:t>목 차</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700"/>
        <w:gridCol w:w="2350"/>
        <w:gridCol w:w="4450"/>
      </w:tblGrid>
      <w:tr>
        <w:trPr>
          <w:tblHeader w:val="true"/>
          <w:cantSplit/>
        </w:trPr>
        <w:tc>
          <w:tcPr>
            <w:tcW w:type="dxa" w:w="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8"/>
              </w:rPr>
              <w:t>장</w:t>
            </w:r>
          </w:p>
        </w:tc>
        <w:tc>
          <w:tcPr>
            <w:tcW w:type="dxa" w:w="23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8"/>
              </w:rPr>
              <w:t>제목</w:t>
            </w:r>
          </w:p>
        </w:tc>
        <w:tc>
          <w:tcPr>
            <w:tcW w:type="dxa" w:w="44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8"/>
              </w:rPr>
              <w:t>주요 내용</w:t>
            </w:r>
          </w:p>
        </w:tc>
      </w:tr>
      <w:tr>
        <w:trPr>
          <w:cantSplit/>
        </w:trPr>
        <w:tc>
          <w:tcPr>
            <w:tcW w:type="dxa" w:w="7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Ⅰ</w:t>
            </w:r>
          </w:p>
        </w:tc>
        <w:tc>
          <w:tcPr>
            <w:tcW w:type="dxa" w:w="23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연구 개요</w:t>
            </w:r>
          </w:p>
        </w:tc>
        <w:tc>
          <w:tcPr>
            <w:tcW w:type="dxa" w:w="4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배경·목적·연구질문·범위</w:t>
            </w:r>
          </w:p>
        </w:tc>
      </w:tr>
      <w:tr>
        <w:trPr>
          <w:cantSplit/>
        </w:trPr>
        <w:tc>
          <w:tcPr>
            <w:tcW w:type="dxa" w:w="7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Ⅱ</w:t>
            </w:r>
          </w:p>
        </w:tc>
        <w:tc>
          <w:tcPr>
            <w:tcW w:type="dxa" w:w="23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데이터와 분석 방법</w:t>
            </w:r>
          </w:p>
        </w:tc>
        <w:tc>
          <w:tcPr>
            <w:tcW w:type="dxa" w:w="4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출처·정의·검증·한계</w:t>
            </w:r>
          </w:p>
        </w:tc>
      </w:tr>
      <w:tr>
        <w:trPr>
          <w:cantSplit/>
        </w:trPr>
        <w:tc>
          <w:tcPr>
            <w:tcW w:type="dxa" w:w="7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Ⅲ</w:t>
            </w:r>
          </w:p>
        </w:tc>
        <w:tc>
          <w:tcPr>
            <w:tcW w:type="dxa" w:w="23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공개데이터 분석 결과</w:t>
            </w:r>
          </w:p>
        </w:tc>
        <w:tc>
          <w:tcPr>
            <w:tcW w:type="dxa" w:w="4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퇴직자·수급자·연금액 추이</w:t>
            </w:r>
          </w:p>
        </w:tc>
      </w:tr>
      <w:tr>
        <w:trPr>
          <w:cantSplit/>
        </w:trPr>
        <w:tc>
          <w:tcPr>
            <w:tcW w:type="dxa" w:w="7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Ⅳ</w:t>
            </w:r>
          </w:p>
        </w:tc>
        <w:tc>
          <w:tcPr>
            <w:tcW w:type="dxa" w:w="23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현재 공개데이터의 한계</w:t>
            </w:r>
          </w:p>
        </w:tc>
        <w:tc>
          <w:tcPr>
            <w:tcW w:type="dxa" w:w="4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알 수 있는 것과 없는 것</w:t>
            </w:r>
          </w:p>
        </w:tc>
      </w:tr>
      <w:tr>
        <w:trPr>
          <w:cantSplit/>
        </w:trPr>
        <w:tc>
          <w:tcPr>
            <w:tcW w:type="dxa" w:w="7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Ⅴ</w:t>
            </w:r>
          </w:p>
        </w:tc>
        <w:tc>
          <w:tcPr>
            <w:tcW w:type="dxa" w:w="23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신규 공공데이터 개방안</w:t>
            </w:r>
          </w:p>
        </w:tc>
        <w:tc>
          <w:tcPr>
            <w:tcW w:type="dxa" w:w="4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항목·단위·품질·보호</w:t>
            </w:r>
          </w:p>
        </w:tc>
      </w:tr>
      <w:tr>
        <w:trPr>
          <w:cantSplit/>
        </w:trPr>
        <w:tc>
          <w:tcPr>
            <w:tcW w:type="dxa" w:w="7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Ⅵ</w:t>
            </w:r>
          </w:p>
        </w:tc>
        <w:tc>
          <w:tcPr>
            <w:tcW w:type="dxa" w:w="23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활용 방안과 성과지표</w:t>
            </w:r>
          </w:p>
        </w:tc>
        <w:tc>
          <w:tcPr>
            <w:tcW w:type="dxa" w:w="4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업무 시나리오·KPI·로드맵</w:t>
            </w:r>
          </w:p>
        </w:tc>
      </w:tr>
      <w:tr>
        <w:trPr>
          <w:cantSplit/>
        </w:trPr>
        <w:tc>
          <w:tcPr>
            <w:tcW w:type="dxa" w:w="7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Ⅶ</w:t>
            </w:r>
          </w:p>
        </w:tc>
        <w:tc>
          <w:tcPr>
            <w:tcW w:type="dxa" w:w="23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결론과 한계</w:t>
            </w:r>
          </w:p>
        </w:tc>
        <w:tc>
          <w:tcPr>
            <w:tcW w:type="dxa" w:w="4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최종 제언·추가 과제</w:t>
            </w:r>
          </w:p>
        </w:tc>
      </w:tr>
      <w:tr>
        <w:trPr>
          <w:cantSplit/>
        </w:trPr>
        <w:tc>
          <w:tcPr>
            <w:tcW w:type="dxa" w:w="7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8"/>
              </w:rPr>
              <w:t>부록</w:t>
            </w:r>
          </w:p>
        </w:tc>
        <w:tc>
          <w:tcPr>
            <w:tcW w:type="dxa" w:w="23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재현 정보</w:t>
            </w:r>
          </w:p>
        </w:tc>
        <w:tc>
          <w:tcPr>
            <w:tcW w:type="dxa" w:w="4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8"/>
              </w:rPr>
              <w:t>산식·데이터사전·파일·출처</w:t>
            </w:r>
          </w:p>
        </w:tc>
      </w:tr>
    </w:tbl>
    <w:p>
      <w:pPr>
        <w:spacing w:after="20"/>
      </w:pPr>
    </w:p>
    <w:p>
      <w:pPr>
        <w:pStyle w:val="Callout"/>
        <w:shd w:fill="F4F6F8"/>
        <w:spacing w:before="100" w:after="160" w:line="288" w:lineRule="auto"/>
        <w:ind w:left="227" w:right="227"/>
      </w:pPr>
      <w:r>
        <w:rPr>
          <w:rFonts w:ascii="Nanum Gothic" w:hAnsi="Nanum Gothic" w:eastAsia="Nanum Gothic"/>
          <w:b/>
          <w:color w:val="138ACB"/>
          <w:sz w:val="21"/>
        </w:rPr>
        <w:t xml:space="preserve">보고서 읽기  </w:t>
      </w:r>
      <w:r>
        <w:rPr>
          <w:rFonts w:ascii="Nanum Gothic" w:hAnsi="Nanum Gothic" w:eastAsia="Nanum Gothic"/>
          <w:b w:val="0"/>
          <w:color w:val="24364B"/>
          <w:sz w:val="21"/>
        </w:rPr>
        <w:t>Ⅲ장은 확인된 사실, Ⅳ장은 현재 데이터의 빈칸, Ⅴ·Ⅵ장은 그 빈칸을 메우기 위한 실행안을 담고 있다.</w:t>
      </w:r>
    </w:p>
    <w:p>
      <w:pPr>
        <w:pStyle w:val="Heading1"/>
        <w:keepNext/>
        <w:shd w:fill="24364B"/>
        <w:spacing w:before="0" w:after="280"/>
      </w:pPr>
      <w:r>
        <w:rPr>
          <w:rFonts w:ascii="Nanum Gothic" w:hAnsi="Nanum Gothic" w:eastAsia="Nanum Gothic"/>
          <w:b/>
          <w:color w:val="FFFFFF"/>
          <w:sz w:val="34"/>
        </w:rPr>
        <w:t>Ⅰ. 연구 개요</w:t>
      </w:r>
    </w:p>
    <w:p>
      <w:pPr>
        <w:pStyle w:val="Heading2"/>
        <w:pBdr>
          <w:bottom w:val="single" w:sz="7" w:space="4" w:color="138ACB"/>
        </w:pBdr>
      </w:pPr>
      <w:r>
        <w:t>1. 연구 배경</w:t>
      </w:r>
    </w:p>
    <w:p>
      <w:r>
        <w:rPr>
          <w:rFonts w:ascii="Nanum Gothic" w:hAnsi="Nanum Gothic" w:eastAsia="Nanum Gothic"/>
          <w:b w:val="0"/>
          <w:color w:val="222222"/>
          <w:sz w:val="21"/>
        </w:rPr>
        <w:t>사학연금의 퇴직연금수급자는 1997년 4,997명에서 2025년 111,389명으로 크게 증가했다. 연금 내역 확인, 증명서 발급, 민원 처리 같은 접점을 안정적으로 제공하려면 수급 규모의 변화뿐 아니라 디지털 서비스에서 어느 채널과 단계가 장애물이 되는지 함께 파악해야 한다.</w:t>
      </w:r>
    </w:p>
    <w:p>
      <w:r>
        <w:rPr>
          <w:rFonts w:ascii="Nanum Gothic" w:hAnsi="Nanum Gothic" w:eastAsia="Nanum Gothic"/>
          <w:b w:val="0"/>
          <w:color w:val="222222"/>
          <w:sz w:val="21"/>
        </w:rPr>
        <w:t>현재 공공데이터는 퇴직자 수, 연금수급자 수, 평균연금액 같은 장기 추세를 보여준다. 반면 연령대별 PC·모바일 접속, 인증방법, 인증 성공·실패, 비밀번호 분실이나 인증 알림톡 발송 현황은 제공하지 않는다. 이 연구는 그 간극을 ‘알 수 없음’으로 끝내지 않고, 실제 개방 가능한 집계데이터 설계안으로 전환한다.</w:t>
      </w:r>
    </w:p>
    <w:p>
      <w:pPr>
        <w:pStyle w:val="Heading2"/>
        <w:pBdr>
          <w:bottom w:val="single" w:sz="7" w:space="4" w:color="138ACB"/>
        </w:pBdr>
      </w:pPr>
      <w:r>
        <w:t>2. 연구 목적</w:t>
      </w:r>
    </w:p>
    <w:p>
      <w:pPr>
        <w:numPr>
          <w:ilvl w:val="0"/>
          <w:numId w:val="10"/>
        </w:numPr>
        <w:spacing w:after="60"/>
      </w:pPr>
      <w:r>
        <w:rPr>
          <w:rFonts w:ascii="Nanum Gothic" w:hAnsi="Nanum Gothic" w:eastAsia="Nanum Gothic"/>
          <w:b w:val="0"/>
          <w:color w:val="222222"/>
          <w:sz w:val="20"/>
        </w:rPr>
        <w:t>공식 공개데이터로 퇴직자·퇴직연금수급자·평균연금액의 장기 변화를 재현 가능하게 확인한다.</w:t>
      </w:r>
    </w:p>
    <w:p>
      <w:pPr>
        <w:numPr>
          <w:ilvl w:val="0"/>
          <w:numId w:val="10"/>
        </w:numPr>
        <w:spacing w:after="60"/>
      </w:pPr>
      <w:r>
        <w:rPr>
          <w:rFonts w:ascii="Nanum Gothic" w:hAnsi="Nanum Gothic" w:eastAsia="Nanum Gothic"/>
          <w:b w:val="0"/>
          <w:color w:val="222222"/>
          <w:sz w:val="20"/>
        </w:rPr>
        <w:t>현재 공개데이터가 디지털 서비스 접근성·이용성·완결성을 판단하는 데 어떤 한계가 있는지 분리한다.</w:t>
      </w:r>
    </w:p>
    <w:p>
      <w:pPr>
        <w:numPr>
          <w:ilvl w:val="0"/>
          <w:numId w:val="10"/>
        </w:numPr>
        <w:spacing w:after="60"/>
      </w:pPr>
      <w:r>
        <w:rPr>
          <w:rFonts w:ascii="Nanum Gothic" w:hAnsi="Nanum Gothic" w:eastAsia="Nanum Gothic"/>
          <w:b w:val="0"/>
          <w:color w:val="222222"/>
          <w:sz w:val="20"/>
        </w:rPr>
        <w:t>개인정보 노출 없이 업무개선에 쓸 수 있는 ‘연령대·채널·인증단계별 디지털 서비스 이용현황’의 최소 개방안을 제시한다.</w:t>
      </w:r>
    </w:p>
    <w:p>
      <w:pPr>
        <w:numPr>
          <w:ilvl w:val="0"/>
          <w:numId w:val="10"/>
        </w:numPr>
        <w:spacing w:after="60"/>
      </w:pPr>
      <w:r>
        <w:rPr>
          <w:rFonts w:ascii="Nanum Gothic" w:hAnsi="Nanum Gothic" w:eastAsia="Nanum Gothic"/>
          <w:b w:val="0"/>
          <w:color w:val="222222"/>
          <w:sz w:val="20"/>
        </w:rPr>
        <w:t>개방 후 공단이 실제로 운영할 수 있는 지표, 담당 조치, 이행 로드맵을 제안한다.</w:t>
      </w:r>
    </w:p>
    <w:p>
      <w:pPr>
        <w:pStyle w:val="Heading2"/>
        <w:pBdr>
          <w:bottom w:val="single" w:sz="7" w:space="4" w:color="138ACB"/>
        </w:pBdr>
      </w:pPr>
      <w:r>
        <w:t>3. 연구질문</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900"/>
        <w:gridCol w:w="4200"/>
        <w:gridCol w:w="2400"/>
      </w:tblGrid>
      <w:tr>
        <w:trPr>
          <w:tblHeader w:val="true"/>
          <w:cantSplit/>
        </w:trPr>
        <w:tc>
          <w:tcPr>
            <w:tcW w:type="dxa" w:w="9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번호</w:t>
            </w:r>
          </w:p>
        </w:tc>
        <w:tc>
          <w:tcPr>
            <w:tcW w:type="dxa" w:w="4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연구질문</w:t>
            </w:r>
          </w:p>
        </w:tc>
        <w:tc>
          <w:tcPr>
            <w:tcW w:type="dxa" w:w="24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판단 기준</w:t>
            </w:r>
          </w:p>
        </w:tc>
      </w:tr>
      <w:tr>
        <w:trPr>
          <w:cantSplit/>
        </w:trPr>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RQ1</w:t>
            </w:r>
          </w:p>
        </w:tc>
        <w:tc>
          <w:tcPr>
            <w:tcW w:type="dxa" w:w="4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퇴직자·퇴직연금수급자·평균연금액은 어떻게 변화했는가?</w:t>
            </w:r>
          </w:p>
        </w:tc>
        <w:tc>
          <w:tcPr>
            <w:tcW w:type="dxa" w:w="2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공식 CSV의 연도별 추세·증감·증감률</w:t>
            </w:r>
          </w:p>
        </w:tc>
      </w:tr>
      <w:tr>
        <w:trPr>
          <w:cantSplit/>
        </w:trPr>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RQ2</w:t>
            </w:r>
          </w:p>
        </w:tc>
        <w:tc>
          <w:tcPr>
            <w:tcW w:type="dxa" w:w="4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현재 공개데이터로 디지털 서비스 이용성을 판단할 수 있는가?</w:t>
            </w:r>
          </w:p>
        </w:tc>
        <w:tc>
          <w:tcPr>
            <w:tcW w:type="dxa" w:w="2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연령·채널·인증·처리결과 유무</w:t>
            </w:r>
          </w:p>
        </w:tc>
      </w:tr>
      <w:tr>
        <w:trPr>
          <w:cantSplit/>
        </w:trPr>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RQ3</w:t>
            </w:r>
          </w:p>
        </w:tc>
        <w:tc>
          <w:tcPr>
            <w:tcW w:type="dxa" w:w="4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어떤 집계데이터를 우선 개방해야 하는가?</w:t>
            </w:r>
          </w:p>
        </w:tc>
        <w:tc>
          <w:tcPr>
            <w:tcW w:type="dxa" w:w="2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실행가능성·업무활용성·재식별 통제</w:t>
            </w:r>
          </w:p>
        </w:tc>
      </w:tr>
    </w:tbl>
    <w:p>
      <w:pPr>
        <w:spacing w:after="20"/>
      </w:pPr>
    </w:p>
    <w:p>
      <w:pPr>
        <w:pStyle w:val="Heading2"/>
        <w:pBdr>
          <w:bottom w:val="single" w:sz="7" w:space="4" w:color="138ACB"/>
        </w:pBdr>
      </w:pPr>
      <w:r>
        <w:t>4. 범위와 원칙</w:t>
      </w:r>
    </w:p>
    <w:p>
      <w:r>
        <w:rPr>
          <w:rFonts w:ascii="Nanum Gothic" w:hAnsi="Nanum Gothic" w:eastAsia="Nanum Gothic"/>
          <w:b w:val="0"/>
          <w:color w:val="222222"/>
          <w:sz w:val="21"/>
        </w:rPr>
        <w:t>분석범위는 공공데이터포털에서 2026-08-31 확인·다운로드한 공단 제공 CSV 2종으로 한정했다. 가명데이터, 개인별 로그, 기관별 원시행은 사용하지 않았다. 주제와 결론은 이 범위 안에서 확인된 사실과 확인되지 않은 가설을 명시적으로 구분해 서술했다.</w:t>
      </w:r>
    </w:p>
    <w:p>
      <w:pPr>
        <w:pStyle w:val="Heading1"/>
        <w:keepNext/>
        <w:shd w:fill="24364B"/>
        <w:spacing w:before="0" w:after="280"/>
      </w:pPr>
      <w:r>
        <w:rPr>
          <w:rFonts w:ascii="Nanum Gothic" w:hAnsi="Nanum Gothic" w:eastAsia="Nanum Gothic"/>
          <w:b/>
          <w:color w:val="FFFFFF"/>
          <w:sz w:val="34"/>
        </w:rPr>
        <w:t>Ⅱ. 데이터와 분석 방법</w:t>
      </w:r>
    </w:p>
    <w:p>
      <w:pPr>
        <w:pStyle w:val="Heading2"/>
        <w:pBdr>
          <w:bottom w:val="single" w:sz="7" w:space="4" w:color="138ACB"/>
        </w:pBdr>
      </w:pPr>
      <w:r>
        <w:t>1. 활용 데이터</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2400"/>
        <w:gridCol w:w="1200"/>
        <w:gridCol w:w="2500"/>
        <w:gridCol w:w="1400"/>
      </w:tblGrid>
      <w:tr>
        <w:trPr>
          <w:tblHeader w:val="true"/>
          <w:cantSplit/>
        </w:trPr>
        <w:tc>
          <w:tcPr>
            <w:tcW w:type="dxa" w:w="24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데이터명</w:t>
            </w:r>
          </w:p>
        </w:tc>
        <w:tc>
          <w:tcPr>
            <w:tcW w:type="dxa" w:w="1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기간/규모</w:t>
            </w:r>
          </w:p>
        </w:tc>
        <w:tc>
          <w:tcPr>
            <w:tcW w:type="dxa" w:w="25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핵심 항목</w:t>
            </w:r>
          </w:p>
        </w:tc>
        <w:tc>
          <w:tcPr>
            <w:tcW w:type="dxa" w:w="14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활용</w:t>
            </w:r>
          </w:p>
        </w:tc>
      </w:tr>
      <w:tr>
        <w:trPr>
          <w:cantSplit/>
        </w:trPr>
        <w:tc>
          <w:tcPr>
            <w:tcW w:type="dxa" w:w="2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연도별 교직원 퇴직현황</w:t>
            </w:r>
          </w:p>
        </w:tc>
        <w:tc>
          <w:tcPr>
            <w:tcW w:type="dxa" w:w="12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1977–2025</w:t>
              <w:br/>
              <w:t>49행×33열</w:t>
            </w:r>
          </w:p>
        </w:tc>
        <w:tc>
          <w:tcPr>
            <w:tcW w:type="dxa" w:w="2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연도, 교원, 직원, 학교급·직종·성별 세부항목</w:t>
            </w:r>
          </w:p>
        </w:tc>
        <w:tc>
          <w:tcPr>
            <w:tcW w:type="dxa" w:w="1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연간 퇴직자 흐름, 교원/사무직원 비교</w:t>
            </w:r>
          </w:p>
        </w:tc>
      </w:tr>
      <w:tr>
        <w:trPr>
          <w:cantSplit/>
        </w:trPr>
        <w:tc>
          <w:tcPr>
            <w:tcW w:type="dxa" w:w="2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연도별 연금수급자 및 연금액</w:t>
            </w:r>
          </w:p>
        </w:tc>
        <w:tc>
          <w:tcPr>
            <w:tcW w:type="dxa" w:w="12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7"/>
              </w:rPr>
              <w:t>1997–2025</w:t>
              <w:br/>
              <w:t>29행×11열</w:t>
            </w:r>
          </w:p>
        </w:tc>
        <w:tc>
          <w:tcPr>
            <w:tcW w:type="dxa" w:w="25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연도, 퇴직연금수급자, 평균연금액 등</w:t>
            </w:r>
          </w:p>
        </w:tc>
        <w:tc>
          <w:tcPr>
            <w:tcW w:type="dxa" w:w="1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수급자 저량, 순증, 증감률, 명목 평균액</w:t>
            </w:r>
          </w:p>
        </w:tc>
      </w:tr>
    </w:tbl>
    <w:p>
      <w:pPr>
        <w:spacing w:after="20"/>
      </w:pPr>
    </w:p>
    <w:p>
      <w:pPr>
        <w:pStyle w:val="SourceNote"/>
        <w:ind w:left="113"/>
      </w:pPr>
      <w:r>
        <w:rPr>
          <w:rFonts w:ascii="Nanum Gothic" w:hAnsi="Nanum Gothic" w:eastAsia="Nanum Gothic"/>
          <w:b w:val="0"/>
          <w:color w:val="5D6670"/>
          <w:sz w:val="16"/>
        </w:rPr>
        <w:t>자료: 공공데이터포털(data.go.kr), 제공기관 사립학교교직원연금공단, 기준일 2025-12-31, 확인일 2026-08-31.</w:t>
      </w:r>
    </w:p>
    <w:p>
      <w:pPr>
        <w:pStyle w:val="Heading2"/>
        <w:pBdr>
          <w:bottom w:val="single" w:sz="7" w:space="4" w:color="138ACB"/>
        </w:pBdr>
      </w:pPr>
      <w:r>
        <w:t>2. 분석 지표와 산식</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700"/>
        <w:gridCol w:w="3500"/>
        <w:gridCol w:w="2300"/>
      </w:tblGrid>
      <w:tr>
        <w:trPr>
          <w:tblHeader w:val="true"/>
          <w:cantSplit/>
        </w:trPr>
        <w:tc>
          <w:tcPr>
            <w:tcW w:type="dxa" w:w="1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지표</w:t>
            </w:r>
          </w:p>
        </w:tc>
        <w:tc>
          <w:tcPr>
            <w:tcW w:type="dxa" w:w="35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정의·산식</w:t>
            </w:r>
          </w:p>
        </w:tc>
        <w:tc>
          <w:tcPr>
            <w:tcW w:type="dxa" w:w="23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주의</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퇴직자 수</w:t>
            </w:r>
          </w:p>
        </w:tc>
        <w:tc>
          <w:tcPr>
            <w:tcW w:type="dxa" w:w="3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교원 + 직원</w:t>
            </w:r>
          </w:p>
        </w:tc>
        <w:tc>
          <w:tcPr>
            <w:tcW w:type="dxa" w:w="2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해당 연도의 흐름(flow)</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퇴직연금수급자 순증</w:t>
            </w:r>
          </w:p>
        </w:tc>
        <w:tc>
          <w:tcPr>
            <w:tcW w:type="dxa" w:w="35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당해 수급자 - 전년 수급자</w:t>
            </w:r>
          </w:p>
        </w:tc>
        <w:tc>
          <w:tcPr>
            <w:tcW w:type="dxa" w:w="23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신규 수급자 수가 아니라 탈락을 포함한 저량(stock) 변화</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수급자 증감률</w:t>
            </w:r>
          </w:p>
        </w:tc>
        <w:tc>
          <w:tcPr>
            <w:tcW w:type="dxa" w:w="3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(당해 - 전년) / 전년 × 100</w:t>
            </w:r>
          </w:p>
        </w:tc>
        <w:tc>
          <w:tcPr>
            <w:tcW w:type="dxa" w:w="2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초기 저기수 효과에 유의</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연평균증가율(CAGR)</w:t>
            </w:r>
          </w:p>
        </w:tc>
        <w:tc>
          <w:tcPr>
            <w:tcW w:type="dxa" w:w="35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(마지막값 / 처음값)^(1/기간) - 1</w:t>
            </w:r>
          </w:p>
        </w:tc>
        <w:tc>
          <w:tcPr>
            <w:tcW w:type="dxa" w:w="23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기간 전체의 평균적 속도</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평균연금액</w:t>
            </w:r>
          </w:p>
        </w:tc>
        <w:tc>
          <w:tcPr>
            <w:tcW w:type="dxa" w:w="3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원자료 값을 만원으로 환산</w:t>
            </w:r>
          </w:p>
        </w:tc>
        <w:tc>
          <w:tcPr>
            <w:tcW w:type="dxa" w:w="2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물가를 조정하지 않은 명목 값</w:t>
            </w:r>
          </w:p>
        </w:tc>
      </w:tr>
    </w:tbl>
    <w:p>
      <w:pPr>
        <w:spacing w:after="20"/>
      </w:pPr>
    </w:p>
    <w:p>
      <w:pPr>
        <w:pStyle w:val="Heading2"/>
        <w:pBdr>
          <w:bottom w:val="single" w:sz="7" w:space="4" w:color="138ACB"/>
        </w:pBdr>
      </w:pPr>
      <w:r>
        <w:t>3. 검증 절차</w:t>
      </w:r>
    </w:p>
    <w:p>
      <w:pPr>
        <w:numPr>
          <w:ilvl w:val="0"/>
          <w:numId w:val="10"/>
        </w:numPr>
        <w:spacing w:after="60"/>
      </w:pPr>
      <w:r>
        <w:rPr>
          <w:rFonts w:ascii="Nanum Gothic" w:hAnsi="Nanum Gothic" w:eastAsia="Nanum Gothic"/>
          <w:b w:val="0"/>
          <w:color w:val="222222"/>
          <w:sz w:val="20"/>
        </w:rPr>
        <w:t>다운로드 원본을 덮어쓰지 않고 SHA-256 해시와 포털 메타데이터를 함께 보존했다.</w:t>
      </w:r>
    </w:p>
    <w:p>
      <w:pPr>
        <w:numPr>
          <w:ilvl w:val="0"/>
          <w:numId w:val="10"/>
        </w:numPr>
        <w:spacing w:after="60"/>
      </w:pPr>
      <w:r>
        <w:rPr>
          <w:rFonts w:ascii="Nanum Gothic" w:hAnsi="Nanum Gothic" w:eastAsia="Nanum Gothic"/>
          <w:b w:val="0"/>
          <w:color w:val="222222"/>
          <w:sz w:val="20"/>
        </w:rPr>
        <w:t>인코딩(CP949), 필수 컬럼, 연도 유일성·순서, 결측값을 Python으로 점검했다.</w:t>
      </w:r>
    </w:p>
    <w:p>
      <w:pPr>
        <w:numPr>
          <w:ilvl w:val="0"/>
          <w:numId w:val="10"/>
        </w:numPr>
        <w:spacing w:after="60"/>
      </w:pPr>
      <w:r>
        <w:rPr>
          <w:rFonts w:ascii="Nanum Gothic" w:hAnsi="Nanum Gothic" w:eastAsia="Nanum Gothic"/>
          <w:b w:val="0"/>
          <w:color w:val="222222"/>
          <w:sz w:val="20"/>
        </w:rPr>
        <w:t>퇴직현황의 상위 합계(교원+직원)와 학교급·직종·성별 세부항목 합을 비교했다.</w:t>
      </w:r>
    </w:p>
    <w:p>
      <w:pPr>
        <w:numPr>
          <w:ilvl w:val="0"/>
          <w:numId w:val="10"/>
        </w:numPr>
        <w:spacing w:after="60"/>
      </w:pPr>
      <w:r>
        <w:rPr>
          <w:rFonts w:ascii="Nanum Gothic" w:hAnsi="Nanum Gothic" w:eastAsia="Nanum Gothic"/>
          <w:b w:val="0"/>
          <w:color w:val="222222"/>
          <w:sz w:val="20"/>
        </w:rPr>
        <w:t>정제 CSV, 핵심지표 CSV, 품질검사 JSON, 그래프 PNG, 수치검증 문서를 별도 산출물로 남겼다.</w:t>
      </w:r>
    </w:p>
    <w:p>
      <w:pPr>
        <w:pStyle w:val="Callout"/>
        <w:shd w:fill="E7E4ED"/>
        <w:spacing w:before="100" w:after="160" w:line="288" w:lineRule="auto"/>
        <w:ind w:left="227" w:right="227"/>
      </w:pPr>
      <w:r>
        <w:rPr>
          <w:rFonts w:ascii="Nanum Gothic" w:hAnsi="Nanum Gothic" w:eastAsia="Nanum Gothic"/>
          <w:b/>
          <w:color w:val="138ACB"/>
          <w:sz w:val="21"/>
        </w:rPr>
        <w:t xml:space="preserve">품질 검사 결과  </w:t>
      </w:r>
      <w:r>
        <w:rPr>
          <w:rFonts w:ascii="Nanum Gothic" w:hAnsi="Nanum Gothic" w:eastAsia="Nanum Gothic"/>
          <w:b w:val="0"/>
          <w:color w:val="24364B"/>
          <w:sz w:val="21"/>
        </w:rPr>
        <w:t>연도 중복·필수값 결측은 없었다. 다만 퇴직현황의 1978–1992년은 세부항목 합이 상위 합계와 일치하지 않아, 장기 분석에서는 공식 상위 항목인 교원·직원 합계만 사용했다.</w:t>
      </w:r>
    </w:p>
    <w:p>
      <w:pPr>
        <w:pStyle w:val="Heading2"/>
        <w:pBdr>
          <w:bottom w:val="single" w:sz="7" w:space="4" w:color="138ACB"/>
        </w:pBdr>
      </w:pPr>
      <w:r>
        <w:t>4. 해석 주의</w:t>
      </w:r>
    </w:p>
    <w:p>
      <w:pPr>
        <w:numPr>
          <w:ilvl w:val="0"/>
          <w:numId w:val="10"/>
        </w:numPr>
        <w:spacing w:after="60"/>
      </w:pPr>
      <w:r>
        <w:rPr>
          <w:rFonts w:ascii="Nanum Gothic" w:hAnsi="Nanum Gothic" w:eastAsia="Nanum Gothic"/>
          <w:b w:val="0"/>
          <w:color w:val="222222"/>
          <w:sz w:val="20"/>
        </w:rPr>
        <w:t>퇴직자 수는 연간 발생량이고, 연금수급자 수는 특정 시점의 저량이므로 직접 동일시하지 않는다.</w:t>
      </w:r>
    </w:p>
    <w:p>
      <w:pPr>
        <w:numPr>
          <w:ilvl w:val="0"/>
          <w:numId w:val="10"/>
        </w:numPr>
        <w:spacing w:after="60"/>
      </w:pPr>
      <w:r>
        <w:rPr>
          <w:rFonts w:ascii="Nanum Gothic" w:hAnsi="Nanum Gothic" w:eastAsia="Nanum Gothic"/>
          <w:b w:val="0"/>
          <w:color w:val="222222"/>
          <w:sz w:val="20"/>
        </w:rPr>
        <w:t>수급자 순증은 신규 진입과 사망·자격변동 등이 함께 반영된 순변화이므로 신규 수급자 수로 해석하지 않는다.</w:t>
      </w:r>
    </w:p>
    <w:p>
      <w:pPr>
        <w:numPr>
          <w:ilvl w:val="0"/>
          <w:numId w:val="10"/>
        </w:numPr>
        <w:spacing w:after="60"/>
      </w:pPr>
      <w:r>
        <w:rPr>
          <w:rFonts w:ascii="Nanum Gothic" w:hAnsi="Nanum Gothic" w:eastAsia="Nanum Gothic"/>
          <w:b w:val="0"/>
          <w:color w:val="222222"/>
          <w:sz w:val="20"/>
        </w:rPr>
        <w:t>2025년 퇴직자 감소의 원인은 공개 항목에 없으므로 구조적 감소나 정책효과로 단정하지 않는다.</w:t>
      </w:r>
    </w:p>
    <w:p>
      <w:pPr>
        <w:numPr>
          <w:ilvl w:val="0"/>
          <w:numId w:val="10"/>
        </w:numPr>
        <w:spacing w:after="60"/>
      </w:pPr>
      <w:r>
        <w:rPr>
          <w:rFonts w:ascii="Nanum Gothic" w:hAnsi="Nanum Gothic" w:eastAsia="Nanum Gothic"/>
          <w:b w:val="0"/>
          <w:color w:val="222222"/>
          <w:sz w:val="20"/>
        </w:rPr>
        <w:t>평균연금액은 명목 금액이며 물가조정이 없으므로 실질 구매력 증가로 해석하지 않는다.</w:t>
      </w:r>
    </w:p>
    <w:p>
      <w:r>
        <w:rPr>
          <w:rFonts w:ascii="Nanum Gothic" w:hAnsi="Nanum Gothic" w:eastAsia="Nanum Gothic"/>
          <w:b w:val="0"/>
          <w:color w:val="222222"/>
          <w:sz w:val="21"/>
        </w:rPr>
        <w:t>※ 연금액 단위: 장기 자료의 메타데이터 단위란은 ‘-’로 표시되어 있지만, 동일 공단의 2025년 구조자료는 해당 지표를 ‘평균연금월액’으로 명시한다. 본문은 원자료 값을 명목 월평균액으로 해석해 만원으로 환산했으며, 공단은 장기 자료에도 단위·산식을 명시할 필요가 있다.</w:t>
      </w:r>
    </w:p>
    <w:p>
      <w:pPr>
        <w:pStyle w:val="Heading1"/>
        <w:keepNext/>
        <w:shd w:fill="24364B"/>
        <w:spacing w:before="0" w:after="280"/>
      </w:pPr>
      <w:r>
        <w:rPr>
          <w:rFonts w:ascii="Nanum Gothic" w:hAnsi="Nanum Gothic" w:eastAsia="Nanum Gothic"/>
          <w:b/>
          <w:color w:val="FFFFFF"/>
          <w:sz w:val="34"/>
        </w:rPr>
        <w:t>Ⅲ. 공개데이터 분석 결과</w:t>
      </w:r>
    </w:p>
    <w:p>
      <w:pPr>
        <w:pStyle w:val="Heading2"/>
        <w:pBdr>
          <w:bottom w:val="single" w:sz="7" w:space="4" w:color="138ACB"/>
        </w:pBdr>
      </w:pPr>
      <w:r>
        <w:t>1. 퇴직자: 장기적 확대와 최근 변동</w:t>
      </w:r>
    </w:p>
    <w:p>
      <w:pPr>
        <w:pStyle w:val="Caption"/>
        <w:keepNext/>
      </w:pPr>
      <w:r>
        <w:t>[그림 1] 연도별 교직원 퇴직자 수</w:t>
      </w:r>
    </w:p>
    <w:p>
      <w:pPr>
        <w:keepNext/>
        <w:jc w:val="center"/>
      </w:pPr>
      <w:r>
        <w:drawing>
          <wp:inline xmlns:a="http://schemas.openxmlformats.org/drawingml/2006/main" xmlns:pic="http://schemas.openxmlformats.org/drawingml/2006/picture">
            <wp:extent cx="5616000" cy="2944286"/>
            <wp:docPr id="2" name="Picture 2" descr="1977년부터 2025년까지 교원과 사무직원 퇴직자 수를 나타낸 선 그래프"/>
            <wp:cNvGraphicFramePr>
              <a:graphicFrameLocks noChangeAspect="1"/>
            </wp:cNvGraphicFramePr>
            <a:graphic>
              <a:graphicData uri="http://schemas.openxmlformats.org/drawingml/2006/picture">
                <pic:pic>
                  <pic:nvPicPr>
                    <pic:cNvPr id="0" name="01_연도별_직종별_퇴직자_수.png"/>
                    <pic:cNvPicPr/>
                  </pic:nvPicPr>
                  <pic:blipFill>
                    <a:blip r:embed="rId12"/>
                    <a:stretch>
                      <a:fillRect/>
                    </a:stretch>
                  </pic:blipFill>
                  <pic:spPr>
                    <a:xfrm>
                      <a:off x="0" y="0"/>
                      <a:ext cx="5616000" cy="2944286"/>
                    </a:xfrm>
                    <a:prstGeom prst="rect"/>
                  </pic:spPr>
                </pic:pic>
              </a:graphicData>
            </a:graphic>
          </wp:inline>
        </w:drawing>
      </w:r>
    </w:p>
    <w:p>
      <w:pPr>
        <w:pStyle w:val="SourceNote"/>
        <w:ind w:left="113"/>
      </w:pPr>
      <w:r>
        <w:rPr>
          <w:rFonts w:ascii="Nanum Gothic" w:hAnsi="Nanum Gothic" w:eastAsia="Nanum Gothic"/>
          <w:b w:val="0"/>
          <w:color w:val="5D6670"/>
          <w:sz w:val="16"/>
        </w:rPr>
        <w:t>자료: 사립학교교직원연금공단 「연도별 교직원 퇴직현황」, 팀 재구성.</w:t>
      </w:r>
    </w:p>
    <w:p>
      <w:r>
        <w:rPr>
          <w:rFonts w:ascii="Nanum Gothic" w:hAnsi="Nanum Gothic" w:eastAsia="Nanum Gothic"/>
          <w:b w:val="0"/>
          <w:color w:val="222222"/>
          <w:sz w:val="21"/>
        </w:rPr>
        <w:t>퇴직자 합계는 1977년 3,777명에서 2025년 27,495명으로 늘었다. 2025년은 교원 14,789명, 사무직원 12,706명으로 교원이 53.8%를 차지했다. 최고치는 2024년 37,305명이며 2025년은 전년보다 9,810명(-26.30%) 감소했다.</w:t>
      </w:r>
    </w:p>
    <w:p>
      <w:pPr>
        <w:pStyle w:val="Callout"/>
        <w:shd w:fill="F4F6F8"/>
        <w:spacing w:before="100" w:after="160" w:line="288" w:lineRule="auto"/>
        <w:ind w:left="227" w:right="227"/>
      </w:pPr>
      <w:r>
        <w:rPr>
          <w:rFonts w:ascii="Nanum Gothic" w:hAnsi="Nanum Gothic" w:eastAsia="Nanum Gothic"/>
          <w:b/>
          <w:color w:val="138ACB"/>
          <w:sz w:val="21"/>
        </w:rPr>
        <w:t xml:space="preserve">해석  </w:t>
      </w:r>
      <w:r>
        <w:rPr>
          <w:rFonts w:ascii="Nanum Gothic" w:hAnsi="Nanum Gothic" w:eastAsia="Nanum Gothic"/>
          <w:b w:val="0"/>
          <w:color w:val="24364B"/>
          <w:sz w:val="21"/>
        </w:rPr>
        <w:t>2025년 감소는 현상이지 원인이 아니다. 해당 CSV에는 퇴직 사유·제도변경·연령구조 정보가 없으므로, 구조적 전환이라고 단정하지 않는다.</w:t>
      </w:r>
    </w:p>
    <w:p>
      <w:pPr>
        <w:pStyle w:val="Heading2"/>
        <w:pBdr>
          <w:bottom w:val="single" w:sz="7" w:space="4" w:color="138ACB"/>
        </w:pBdr>
      </w:pPr>
      <w:r>
        <w:t>2. 퇴직연금수급자: 접점 규모의 지속 확대</w:t>
      </w:r>
    </w:p>
    <w:p>
      <w:pPr>
        <w:pStyle w:val="Caption"/>
        <w:keepNext/>
      </w:pPr>
      <w:r>
        <w:t>[그림 2] 퇴직연금수급자 추이</w:t>
      </w:r>
    </w:p>
    <w:p>
      <w:pPr>
        <w:keepNext/>
        <w:jc w:val="center"/>
      </w:pPr>
      <w:r>
        <w:drawing>
          <wp:inline xmlns:a="http://schemas.openxmlformats.org/drawingml/2006/main" xmlns:pic="http://schemas.openxmlformats.org/drawingml/2006/picture">
            <wp:extent cx="5616000" cy="2944286"/>
            <wp:docPr id="3" name="Picture 3" descr="1997년 4,997명에서 2025년 111,389명으로 증가하는 퇴직연금수급자 추이 그래프"/>
            <wp:cNvGraphicFramePr>
              <a:graphicFrameLocks noChangeAspect="1"/>
            </wp:cNvGraphicFramePr>
            <a:graphic>
              <a:graphicData uri="http://schemas.openxmlformats.org/drawingml/2006/picture">
                <pic:pic>
                  <pic:nvPicPr>
                    <pic:cNvPr id="0" name="02_퇴직연금수급자_추이.png"/>
                    <pic:cNvPicPr/>
                  </pic:nvPicPr>
                  <pic:blipFill>
                    <a:blip r:embed="rId13"/>
                    <a:stretch>
                      <a:fillRect/>
                    </a:stretch>
                  </pic:blipFill>
                  <pic:spPr>
                    <a:xfrm>
                      <a:off x="0" y="0"/>
                      <a:ext cx="5616000" cy="2944286"/>
                    </a:xfrm>
                    <a:prstGeom prst="rect"/>
                  </pic:spPr>
                </pic:pic>
              </a:graphicData>
            </a:graphic>
          </wp:inline>
        </w:drawing>
      </w:r>
    </w:p>
    <w:p>
      <w:pPr>
        <w:pStyle w:val="SourceNote"/>
        <w:ind w:left="113"/>
      </w:pPr>
      <w:r>
        <w:rPr>
          <w:rFonts w:ascii="Nanum Gothic" w:hAnsi="Nanum Gothic" w:eastAsia="Nanum Gothic"/>
          <w:b w:val="0"/>
          <w:color w:val="5D6670"/>
          <w:sz w:val="16"/>
        </w:rPr>
        <w:t>자료: 사립학교교직원연금공단 「연도별 연금수급자 및 연금액」, 팀 계산.</w:t>
      </w:r>
    </w:p>
    <w:p>
      <w:r>
        <w:rPr>
          <w:rFonts w:ascii="Nanum Gothic" w:hAnsi="Nanum Gothic" w:eastAsia="Nanum Gothic"/>
          <w:b w:val="0"/>
          <w:color w:val="222222"/>
          <w:sz w:val="21"/>
        </w:rPr>
        <w:t>퇴직연금수급자는 28년 사이 106,392명 늘어 22.29배가 되었고, 연평균증가율은 11.72%다. 초기의 낮은 기수 효과를 감안하더라도 수급자 접점이 일시적 상승이 아닌 장기적 운영 과제라는 점은 분명하다.</w:t>
      </w:r>
    </w:p>
    <w:p>
      <w:pPr>
        <w:pStyle w:val="Caption"/>
        <w:keepNext/>
      </w:pPr>
      <w:r>
        <w:t>[그림 3] 퇴직연금수급자 순증과 증감률</w:t>
      </w:r>
    </w:p>
    <w:p>
      <w:pPr>
        <w:keepNext/>
        <w:jc w:val="center"/>
      </w:pPr>
      <w:r>
        <w:drawing>
          <wp:inline xmlns:a="http://schemas.openxmlformats.org/drawingml/2006/main" xmlns:pic="http://schemas.openxmlformats.org/drawingml/2006/picture">
            <wp:extent cx="5616000" cy="4212000"/>
            <wp:docPr id="4" name="Picture 4" descr="연도별 퇴직연금수급자 순증 막대와 전년 대비 증감률 선 그래프"/>
            <wp:cNvGraphicFramePr>
              <a:graphicFrameLocks noChangeAspect="1"/>
            </wp:cNvGraphicFramePr>
            <a:graphic>
              <a:graphicData uri="http://schemas.openxmlformats.org/drawingml/2006/picture">
                <pic:pic>
                  <pic:nvPicPr>
                    <pic:cNvPr id="0" name="03_퇴직연금수급자_순증_증감률.png"/>
                    <pic:cNvPicPr/>
                  </pic:nvPicPr>
                  <pic:blipFill>
                    <a:blip r:embed="rId14"/>
                    <a:stretch>
                      <a:fillRect/>
                    </a:stretch>
                  </pic:blipFill>
                  <pic:spPr>
                    <a:xfrm>
                      <a:off x="0" y="0"/>
                      <a:ext cx="5616000" cy="4212000"/>
                    </a:xfrm>
                    <a:prstGeom prst="rect"/>
                  </pic:spPr>
                </pic:pic>
              </a:graphicData>
            </a:graphic>
          </wp:inline>
        </w:drawing>
      </w:r>
    </w:p>
    <w:p>
      <w:pPr>
        <w:pStyle w:val="SourceNote"/>
        <w:ind w:left="113"/>
      </w:pPr>
      <w:r>
        <w:rPr>
          <w:rFonts w:ascii="Nanum Gothic" w:hAnsi="Nanum Gothic" w:eastAsia="Nanum Gothic"/>
          <w:b w:val="0"/>
          <w:color w:val="5D6670"/>
          <w:sz w:val="16"/>
        </w:rPr>
        <w:t>자료: 사립학교교직원연금공단 「연도별 연금수급자 및 연금액」, 팀 계산.</w:t>
      </w:r>
    </w:p>
    <w:p>
      <w:r>
        <w:rPr>
          <w:rFonts w:ascii="Nanum Gothic" w:hAnsi="Nanum Gothic" w:eastAsia="Nanum Gothic"/>
          <w:b w:val="0"/>
          <w:color w:val="222222"/>
          <w:sz w:val="21"/>
        </w:rPr>
        <w:t>2025년 퇴직연금수급자는 전년보다 5,623명(+5.32%) 늘었다. 최대 순증은 2022년 6,813명이다. 증감률은 장기적으로 낮아졌지만, 절대 순증 규모는 최근에도 연간 5천–6천 명대를 유지했다. 이는 상담·인증·디지털 안내의 품질을 반복 측정해야 할 실무적 근거다.</w:t>
      </w:r>
    </w:p>
    <w:p>
      <w:pPr>
        <w:pStyle w:val="Heading2"/>
        <w:pBdr>
          <w:bottom w:val="single" w:sz="7" w:space="4" w:color="138ACB"/>
        </w:pBdr>
      </w:pPr>
      <w:r>
        <w:t>3. 평균연금액: 명목 금액의 상승</w:t>
      </w:r>
    </w:p>
    <w:p>
      <w:pPr>
        <w:pStyle w:val="Caption"/>
        <w:keepNext/>
      </w:pPr>
      <w:r>
        <w:t>[그림 4] 퇴직연금 평균연금액 추이</w:t>
      </w:r>
    </w:p>
    <w:p>
      <w:pPr>
        <w:keepNext/>
        <w:jc w:val="center"/>
      </w:pPr>
      <w:r>
        <w:drawing>
          <wp:inline xmlns:a="http://schemas.openxmlformats.org/drawingml/2006/main" xmlns:pic="http://schemas.openxmlformats.org/drawingml/2006/picture">
            <wp:extent cx="5616000" cy="2944286"/>
            <wp:docPr id="5" name="Picture 5" descr="1997년부터 2025년까지 퇴직연금 명목 평균월액이 만원 단위로 증가하는 선 그래프"/>
            <wp:cNvGraphicFramePr>
              <a:graphicFrameLocks noChangeAspect="1"/>
            </wp:cNvGraphicFramePr>
            <a:graphic>
              <a:graphicData uri="http://schemas.openxmlformats.org/drawingml/2006/picture">
                <pic:pic>
                  <pic:nvPicPr>
                    <pic:cNvPr id="0" name="04_퇴직연금_평균연금액_추이.png"/>
                    <pic:cNvPicPr/>
                  </pic:nvPicPr>
                  <pic:blipFill>
                    <a:blip r:embed="rId15"/>
                    <a:stretch>
                      <a:fillRect/>
                    </a:stretch>
                  </pic:blipFill>
                  <pic:spPr>
                    <a:xfrm>
                      <a:off x="0" y="0"/>
                      <a:ext cx="5616000" cy="2944286"/>
                    </a:xfrm>
                    <a:prstGeom prst="rect"/>
                  </pic:spPr>
                </pic:pic>
              </a:graphicData>
            </a:graphic>
          </wp:inline>
        </w:drawing>
      </w:r>
    </w:p>
    <w:p>
      <w:pPr>
        <w:pStyle w:val="SourceNote"/>
        <w:ind w:left="113"/>
      </w:pPr>
      <w:r>
        <w:rPr>
          <w:rFonts w:ascii="Nanum Gothic" w:hAnsi="Nanum Gothic" w:eastAsia="Nanum Gothic"/>
          <w:b w:val="0"/>
          <w:color w:val="5D6670"/>
          <w:sz w:val="16"/>
        </w:rPr>
        <w:t>자료: 사립학교교직원연금공단 「연도별 연금수급자 및 연금액」, 팀 환산. 명목 기준.</w:t>
      </w:r>
    </w:p>
    <w:p>
      <w:r>
        <w:rPr>
          <w:rFonts w:ascii="Nanum Gothic" w:hAnsi="Nanum Gothic" w:eastAsia="Nanum Gothic"/>
          <w:b w:val="0"/>
          <w:color w:val="222222"/>
          <w:sz w:val="21"/>
        </w:rPr>
        <w:t>평균연금액은 1997년 1,365,170원(136.5만원)에서 2025년 3,318,230원(331.8만원)으로 143.06% 상승했다. 2025년은 전년보다 60,720원(+1.86%) 늘었다. 이 결과는 명목 금액의 변화이며 물가상승률을 반영하지 않았다. 따라서 실질 소득이나 생활수준을 직접 평가하는 근거로 사용하지 않음을 유의해야 한다.</w:t>
      </w:r>
    </w:p>
    <w:p>
      <w:pPr>
        <w:pStyle w:val="Heading2"/>
        <w:pBdr>
          <w:bottom w:val="single" w:sz="7" w:space="4" w:color="138ACB"/>
        </w:pBdr>
      </w:pPr>
      <w:r>
        <w:t>4. 퇴직자 흐름과 수급자 저량은 다르다</w:t>
      </w:r>
    </w:p>
    <w:p>
      <w:pPr>
        <w:pStyle w:val="Caption"/>
        <w:keepNext/>
      </w:pPr>
      <w:r>
        <w:t>[그림 5] 퇴직자 수와 퇴직연금수급자 순증 비교</w:t>
      </w:r>
    </w:p>
    <w:p>
      <w:pPr>
        <w:keepNext/>
        <w:jc w:val="center"/>
      </w:pPr>
      <w:r>
        <w:drawing>
          <wp:inline xmlns:a="http://schemas.openxmlformats.org/drawingml/2006/main" xmlns:pic="http://schemas.openxmlformats.org/drawingml/2006/picture">
            <wp:extent cx="5616000" cy="3781914"/>
            <wp:docPr id="6" name="Picture 6" descr="1997년부터 2025년까지 연간 퇴직자 수와 퇴직연금수급자 순증을 비교한 그래프"/>
            <wp:cNvGraphicFramePr>
              <a:graphicFrameLocks noChangeAspect="1"/>
            </wp:cNvGraphicFramePr>
            <a:graphic>
              <a:graphicData uri="http://schemas.openxmlformats.org/drawingml/2006/picture">
                <pic:pic>
                  <pic:nvPicPr>
                    <pic:cNvPr id="0" name="05_퇴직자와_수급자순증_비교.png"/>
                    <pic:cNvPicPr/>
                  </pic:nvPicPr>
                  <pic:blipFill>
                    <a:blip r:embed="rId16"/>
                    <a:stretch>
                      <a:fillRect/>
                    </a:stretch>
                  </pic:blipFill>
                  <pic:spPr>
                    <a:xfrm>
                      <a:off x="0" y="0"/>
                      <a:ext cx="5616000" cy="3781914"/>
                    </a:xfrm>
                    <a:prstGeom prst="rect"/>
                  </pic:spPr>
                </pic:pic>
              </a:graphicData>
            </a:graphic>
          </wp:inline>
        </w:drawing>
      </w:r>
    </w:p>
    <w:p>
      <w:pPr>
        <w:pStyle w:val="SourceNote"/>
        <w:ind w:left="113"/>
      </w:pPr>
      <w:r>
        <w:rPr>
          <w:rFonts w:ascii="Nanum Gothic" w:hAnsi="Nanum Gothic" w:eastAsia="Nanum Gothic"/>
          <w:b w:val="0"/>
          <w:color w:val="5D6670"/>
          <w:sz w:val="16"/>
        </w:rPr>
        <w:t>자료: 두 공식 CSV를 결합해 팀 계산. 서로 다른 개념의 비교임.</w:t>
      </w:r>
    </w:p>
    <w:p>
      <w:r>
        <w:rPr>
          <w:rFonts w:ascii="Nanum Gothic" w:hAnsi="Nanum Gothic" w:eastAsia="Nanum Gothic"/>
          <w:b w:val="0"/>
          <w:color w:val="222222"/>
          <w:sz w:val="21"/>
        </w:rPr>
        <w:t>퇴직자 수는 연간 발생한 인원이고, 수급자 순증은 기존 수급자 저량의 순변화다. 두 지표가 함께 움직이지 않는 것은 오류가 아니라 개념의 차이에서 나온다. 디지털 서비스 운영 측면에서는 해당 연도 퇴직자의 신규 진입 경험과, 누적 수급자의 반복 이용 경험을 따로 관리할 필요가 있다.</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850"/>
        <w:gridCol w:w="1000"/>
        <w:gridCol w:w="1000"/>
        <w:gridCol w:w="1000"/>
        <w:gridCol w:w="2650"/>
      </w:tblGrid>
      <w:tr>
        <w:trPr>
          <w:tblHeader w:val="true"/>
          <w:cantSplit/>
        </w:trPr>
        <w:tc>
          <w:tcPr>
            <w:tcW w:type="dxa" w:w="1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구분</w:t>
            </w:r>
          </w:p>
        </w:tc>
        <w:tc>
          <w:tcPr>
            <w:tcW w:type="dxa" w:w="1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1997</w:t>
            </w:r>
          </w:p>
        </w:tc>
        <w:tc>
          <w:tcPr>
            <w:tcW w:type="dxa" w:w="1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2024</w:t>
            </w:r>
          </w:p>
        </w:tc>
        <w:tc>
          <w:tcPr>
            <w:tcW w:type="dxa" w:w="1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2025</w:t>
            </w:r>
          </w:p>
        </w:tc>
        <w:tc>
          <w:tcPr>
            <w:tcW w:type="dxa" w:w="26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핵심 해석</w:t>
            </w:r>
          </w:p>
        </w:tc>
      </w:tr>
      <w:tr>
        <w:trPr>
          <w:cantSplit/>
        </w:trPr>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퇴직자 합계(명)</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10,358</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37,305</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27,495</w:t>
            </w:r>
          </w:p>
        </w:tc>
        <w:tc>
          <w:tcPr>
            <w:tcW w:type="dxa" w:w="26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2025년 전년 대비 -26.30%; 원인 단정 불가</w:t>
            </w:r>
          </w:p>
        </w:tc>
      </w:tr>
      <w:tr>
        <w:trPr>
          <w:cantSplit/>
        </w:trPr>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퇴직연금수급자(명)</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4,997</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105,766</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111,389</w:t>
            </w:r>
          </w:p>
        </w:tc>
        <w:tc>
          <w:tcPr>
            <w:tcW w:type="dxa" w:w="26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장기 접점 규모 확대</w:t>
            </w:r>
          </w:p>
        </w:tc>
      </w:tr>
      <w:tr>
        <w:trPr>
          <w:cantSplit/>
        </w:trPr>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수급자 순증(명)</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6,237</w:t>
            </w:r>
          </w:p>
        </w:tc>
        <w:tc>
          <w:tcPr>
            <w:tcW w:type="dxa" w:w="1000"/>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5,623</w:t>
            </w:r>
          </w:p>
        </w:tc>
        <w:tc>
          <w:tcPr>
            <w:tcW w:type="dxa" w:w="26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신규 수급자와 동일 개념 아님</w:t>
            </w:r>
          </w:p>
        </w:tc>
      </w:tr>
      <w:tr>
        <w:trPr>
          <w:cantSplit/>
        </w:trPr>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평균연금액(만원)</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136.5</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325.8</w:t>
            </w:r>
          </w:p>
        </w:tc>
        <w:tc>
          <w:tcPr>
            <w:tcW w:type="dxa" w:w="1000"/>
            <w:shd w:fill="F8FAFB"/>
            <w:tcMar>
              <w:top w:w="100" w:type="dxa"/>
              <w:start w:w="110" w:type="dxa"/>
              <w:bottom w:w="100" w:type="dxa"/>
              <w:end w:w="110" w:type="dxa"/>
            </w:tcMar>
            <w:vAlign w:val="center"/>
          </w:tcPr>
          <w:p>
            <w:pPr>
              <w:pStyle w:val="TableText"/>
              <w:spacing w:after="0" w:line="252" w:lineRule="auto"/>
              <w:jc w:val="right"/>
            </w:pPr>
            <w:r>
              <w:rPr>
                <w:rFonts w:ascii="Nanum Gothic" w:hAnsi="Nanum Gothic" w:eastAsia="Nanum Gothic"/>
                <w:b w:val="0"/>
                <w:color w:val="222222"/>
                <w:sz w:val="17"/>
              </w:rPr>
              <w:t>331.8</w:t>
            </w:r>
          </w:p>
        </w:tc>
        <w:tc>
          <w:tcPr>
            <w:tcW w:type="dxa" w:w="26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명목 값; 물가 미조정</w:t>
            </w:r>
          </w:p>
        </w:tc>
      </w:tr>
    </w:tbl>
    <w:p>
      <w:pPr>
        <w:spacing w:after="20"/>
      </w:pPr>
    </w:p>
    <w:p>
      <w:pPr>
        <w:pStyle w:val="Heading1"/>
        <w:keepNext/>
        <w:shd w:fill="24364B"/>
        <w:spacing w:before="0" w:after="280"/>
      </w:pPr>
      <w:r>
        <w:rPr>
          <w:rFonts w:ascii="Nanum Gothic" w:hAnsi="Nanum Gothic" w:eastAsia="Nanum Gothic"/>
          <w:b/>
          <w:color w:val="FFFFFF"/>
          <w:sz w:val="34"/>
        </w:rPr>
        <w:t>Ⅳ. 현재 공개데이터의 한계</w:t>
      </w:r>
    </w:p>
    <w:p>
      <w:pPr>
        <w:pStyle w:val="Heading2"/>
        <w:pBdr>
          <w:bottom w:val="single" w:sz="7" w:space="4" w:color="138ACB"/>
        </w:pBdr>
      </w:pPr>
      <w:r>
        <w:t>1. 현재 알 수 있는 것</w:t>
      </w:r>
    </w:p>
    <w:p>
      <w:pPr>
        <w:numPr>
          <w:ilvl w:val="0"/>
          <w:numId w:val="10"/>
        </w:numPr>
        <w:spacing w:after="60"/>
      </w:pPr>
      <w:r>
        <w:rPr>
          <w:rFonts w:ascii="Nanum Gothic" w:hAnsi="Nanum Gothic" w:eastAsia="Nanum Gothic"/>
          <w:b w:val="0"/>
          <w:color w:val="222222"/>
          <w:sz w:val="20"/>
        </w:rPr>
        <w:t>퇴직자와 퇴직연금수급자의 연도별 규모·증감·추세</w:t>
      </w:r>
    </w:p>
    <w:p>
      <w:pPr>
        <w:numPr>
          <w:ilvl w:val="0"/>
          <w:numId w:val="10"/>
        </w:numPr>
        <w:spacing w:after="60"/>
      </w:pPr>
      <w:r>
        <w:rPr>
          <w:rFonts w:ascii="Nanum Gothic" w:hAnsi="Nanum Gothic" w:eastAsia="Nanum Gothic"/>
          <w:b w:val="0"/>
          <w:color w:val="222222"/>
          <w:sz w:val="20"/>
        </w:rPr>
        <w:t>교원과 사무직원의 퇴직 규모 비교</w:t>
      </w:r>
    </w:p>
    <w:p>
      <w:pPr>
        <w:numPr>
          <w:ilvl w:val="0"/>
          <w:numId w:val="10"/>
        </w:numPr>
        <w:spacing w:after="60"/>
      </w:pPr>
      <w:r>
        <w:rPr>
          <w:rFonts w:ascii="Nanum Gothic" w:hAnsi="Nanum Gothic" w:eastAsia="Nanum Gothic"/>
          <w:b w:val="0"/>
          <w:color w:val="222222"/>
          <w:sz w:val="20"/>
        </w:rPr>
        <w:t>퇴직연금 평균연금액의 명목 추이</w:t>
      </w:r>
    </w:p>
    <w:p>
      <w:pPr>
        <w:numPr>
          <w:ilvl w:val="0"/>
          <w:numId w:val="10"/>
        </w:numPr>
        <w:spacing w:after="60"/>
      </w:pPr>
      <w:r>
        <w:rPr>
          <w:rFonts w:ascii="Nanum Gothic" w:hAnsi="Nanum Gothic" w:eastAsia="Nanum Gothic"/>
          <w:b w:val="0"/>
          <w:color w:val="222222"/>
          <w:sz w:val="20"/>
        </w:rPr>
        <w:t>월별 홈페이지 가입자 현황 자료의 전체 가입자 및 신규 가입자 규모</w:t>
      </w:r>
    </w:p>
    <w:p>
      <w:pPr>
        <w:pStyle w:val="Heading2"/>
        <w:pBdr>
          <w:bottom w:val="single" w:sz="7" w:space="4" w:color="138ACB"/>
        </w:pBdr>
      </w:pPr>
      <w:r>
        <w:t>2. 현재 알 수 없는 것</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700"/>
        <w:gridCol w:w="3000"/>
        <w:gridCol w:w="2800"/>
      </w:tblGrid>
      <w:tr>
        <w:trPr>
          <w:tblHeader w:val="true"/>
          <w:cantSplit/>
        </w:trPr>
        <w:tc>
          <w:tcPr>
            <w:tcW w:type="dxa" w:w="1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필요 정보</w:t>
            </w:r>
          </w:p>
        </w:tc>
        <w:tc>
          <w:tcPr>
            <w:tcW w:type="dxa" w:w="3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현재 빈칸</w:t>
            </w:r>
          </w:p>
        </w:tc>
        <w:tc>
          <w:tcPr>
            <w:tcW w:type="dxa" w:w="28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7"/>
              </w:rPr>
              <w:t>그로 인한 한계</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연령대</w:t>
            </w:r>
          </w:p>
        </w:tc>
        <w:tc>
          <w:tcPr>
            <w:tcW w:type="dxa" w:w="3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접속·인증·완료 결과와 결합된 연령대 집계 없음</w:t>
            </w:r>
          </w:p>
        </w:tc>
        <w:tc>
          <w:tcPr>
            <w:tcW w:type="dxa" w:w="2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어느 연령대에서 지원이 필요한지 비교 불가</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접속 채널</w:t>
            </w:r>
          </w:p>
        </w:tc>
        <w:tc>
          <w:tcPr>
            <w:tcW w:type="dxa" w:w="3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PC웹·모바일웹·앱 접속 구분 없음</w:t>
            </w:r>
          </w:p>
        </w:tc>
        <w:tc>
          <w:tcPr>
            <w:tcW w:type="dxa" w:w="28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채널별 UI·안내 개선 우선순위 불명</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인증방법</w:t>
            </w:r>
          </w:p>
        </w:tc>
        <w:tc>
          <w:tcPr>
            <w:tcW w:type="dxa" w:w="3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간편·공동·금융인증서 등 선택 현황 없음</w:t>
            </w:r>
          </w:p>
        </w:tc>
        <w:tc>
          <w:tcPr>
            <w:tcW w:type="dxa" w:w="2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복잡한 인증흐름과 수요 미일치 불가</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인증 결과</w:t>
            </w:r>
          </w:p>
        </w:tc>
        <w:tc>
          <w:tcPr>
            <w:tcW w:type="dxa" w:w="3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시도·성공·실패 건수와 실패사유 없음</w:t>
            </w:r>
          </w:p>
        </w:tc>
        <w:tc>
          <w:tcPr>
            <w:tcW w:type="dxa" w:w="28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이탈 단계와 개선 효과 측정 불가</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지원 신호</w:t>
            </w:r>
          </w:p>
        </w:tc>
        <w:tc>
          <w:tcPr>
            <w:tcW w:type="dxa" w:w="3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비밀번호 재설정·알림톡·관련 상담 집계 없음</w:t>
            </w:r>
          </w:p>
        </w:tc>
        <w:tc>
          <w:tcPr>
            <w:tcW w:type="dxa" w:w="2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7"/>
              </w:rPr>
              <w:t>사전 안내가 필요한 지점 파악 불가</w:t>
            </w:r>
          </w:p>
        </w:tc>
      </w:tr>
    </w:tbl>
    <w:p>
      <w:pPr>
        <w:spacing w:after="20"/>
      </w:pPr>
    </w:p>
    <w:p>
      <w:pPr>
        <w:pStyle w:val="Heading2"/>
        <w:pBdr>
          <w:bottom w:val="single" w:sz="7" w:space="4" w:color="138ACB"/>
        </w:pBdr>
      </w:pPr>
      <w:r>
        <w:t>3. ‘홈페이지 가입자 현황’으로는 부족한 이유</w:t>
      </w:r>
    </w:p>
    <w:p>
      <w:r>
        <w:rPr>
          <w:rFonts w:ascii="Nanum Gothic" w:hAnsi="Nanum Gothic" w:eastAsia="Nanum Gothic"/>
          <w:b w:val="0"/>
          <w:color w:val="222222"/>
          <w:sz w:val="21"/>
        </w:rPr>
        <w:t>공공데이터포털에는 공단의 「월별 홈페이지 가입자 현황」이 존재한다. 이 자료는 연도·월·총 가입자·신규 가입자를 제공하므로 회원 저변을 확인하는 데는 유용하다. 그러나 가입은 서비스 접속, 인증 성공, 민원 완료와 동일하지 않다. 연령대·채널·인증단계·결과가 없어 이용성 문제를 진단할 수 없다.</w:t>
      </w:r>
    </w:p>
    <w:p>
      <w:pPr>
        <w:pStyle w:val="Callout"/>
        <w:shd w:fill="E7E4ED"/>
        <w:spacing w:before="100" w:after="160" w:line="288" w:lineRule="auto"/>
        <w:ind w:left="227" w:right="227"/>
      </w:pPr>
      <w:r>
        <w:rPr>
          <w:rFonts w:ascii="Nanum Gothic" w:hAnsi="Nanum Gothic" w:eastAsia="Nanum Gothic"/>
          <w:b/>
          <w:color w:val="138ACB"/>
          <w:sz w:val="21"/>
        </w:rPr>
        <w:t xml:space="preserve">정확한 결론  </w:t>
      </w:r>
      <w:r>
        <w:rPr>
          <w:rFonts w:ascii="Nanum Gothic" w:hAnsi="Nanum Gothic" w:eastAsia="Nanum Gothic"/>
          <w:b w:val="0"/>
          <w:color w:val="24364B"/>
          <w:sz w:val="21"/>
        </w:rPr>
        <w:t>‘디지털 취약층이 실패한다’가 아니라, ‘현재 공개데이터로는 어떤 이용자가 어느 채널·인증단계에서 실패하는지 판단할 수 없다’가 이 연구의 확정 결론이다.</w:t>
      </w:r>
    </w:p>
    <w:p>
      <w:pPr>
        <w:pStyle w:val="Heading2"/>
        <w:pBdr>
          <w:bottom w:val="single" w:sz="7" w:space="4" w:color="138ACB"/>
        </w:pBdr>
      </w:pPr>
      <w:r>
        <w:t>4. 정보공개와 업무개선의 연결 단절</w:t>
      </w:r>
    </w:p>
    <w:p>
      <w:r>
        <w:rPr>
          <w:rFonts w:ascii="Nanum Gothic" w:hAnsi="Nanum Gothic" w:eastAsia="Nanum Gothic"/>
          <w:b w:val="0"/>
          <w:color w:val="222222"/>
          <w:sz w:val="21"/>
        </w:rPr>
        <w:t>총량 지표만으로는 개선 우선순위를 정하기 어렵다. 예를 들어 모바일 이용률이 낮은지, 모바일에서만 인증 실패율이 높은지, 특정 인증방법에서 재시도가 반복되는지를 분리해야 조치와 성과지표를 연결할 수 있다. 신규 개방안은 단순한 정보 추가가 아니라 진단–조치–효과측정을 가능하게 하는 운영 기반이다.</w:t>
      </w:r>
    </w:p>
    <w:p>
      <w:pPr>
        <w:pStyle w:val="Heading1"/>
        <w:keepNext/>
        <w:shd w:fill="24364B"/>
        <w:spacing w:before="0" w:after="280"/>
      </w:pPr>
      <w:r>
        <w:rPr>
          <w:rFonts w:ascii="Nanum Gothic" w:hAnsi="Nanum Gothic" w:eastAsia="Nanum Gothic"/>
          <w:b/>
          <w:color w:val="FFFFFF"/>
          <w:sz w:val="34"/>
        </w:rPr>
        <w:t>Ⅴ. 신규 공공데이터 개방안</w:t>
      </w:r>
    </w:p>
    <w:p>
      <w:pPr>
        <w:pStyle w:val="Callout"/>
        <w:shd w:fill="E7E4ED"/>
        <w:spacing w:before="100" w:after="160" w:line="288" w:lineRule="auto"/>
        <w:ind w:left="227" w:right="227"/>
      </w:pPr>
      <w:r>
        <w:rPr>
          <w:rFonts w:ascii="Nanum Gothic" w:hAnsi="Nanum Gothic" w:eastAsia="Nanum Gothic"/>
          <w:b/>
          <w:color w:val="138ACB"/>
          <w:sz w:val="21"/>
        </w:rPr>
        <w:t xml:space="preserve">제안 데이터명  </w:t>
      </w:r>
      <w:r>
        <w:rPr>
          <w:rFonts w:ascii="Nanum Gothic" w:hAnsi="Nanum Gothic" w:eastAsia="Nanum Gothic"/>
          <w:b w:val="0"/>
          <w:color w:val="24364B"/>
          <w:sz w:val="21"/>
        </w:rPr>
        <w:t>사립학교교직원연금공단_연령대·채널·인증단계별 디지털 서비스 이용현황</w:t>
      </w:r>
    </w:p>
    <w:p>
      <w:pPr>
        <w:pStyle w:val="Heading2"/>
        <w:pBdr>
          <w:bottom w:val="single" w:sz="7" w:space="4" w:color="138ACB"/>
        </w:pBdr>
      </w:pPr>
      <w:r>
        <w:t>1. 개방 목적과 집계 단위</w:t>
      </w:r>
    </w:p>
    <w:p>
      <w:r>
        <w:rPr>
          <w:rFonts w:ascii="Nanum Gothic" w:hAnsi="Nanum Gothic" w:eastAsia="Nanum Gothic"/>
          <w:b w:val="0"/>
          <w:color w:val="222222"/>
          <w:sz w:val="21"/>
        </w:rPr>
        <w:t>이 데이터의 목적은 특정 개인을 추적하는 것이 아니라, 어떤 이용자 그룹이 어느 채널과 인증단계에서 상대적으로 더 많이 이탈하는지를 파악하는 데 있다. 권고하는 한 행의 집계 단위는 다음과 같다.</w:t>
      </w:r>
    </w:p>
    <w:p>
      <w:pPr>
        <w:pStyle w:val="Callout"/>
        <w:shd w:fill="EAF5FB"/>
        <w:spacing w:before="100" w:after="160" w:line="288" w:lineRule="auto"/>
        <w:ind w:left="227" w:right="227"/>
      </w:pPr>
      <w:r>
        <w:rPr>
          <w:rFonts w:ascii="Nanum Gothic" w:hAnsi="Nanum Gothic" w:eastAsia="Nanum Gothic"/>
          <w:b/>
          <w:color w:val="138ACB"/>
          <w:sz w:val="21"/>
        </w:rPr>
        <w:t xml:space="preserve">한 행의 권고 단위  </w:t>
      </w:r>
      <w:r>
        <w:rPr>
          <w:rFonts w:ascii="Nanum Gothic" w:hAnsi="Nanum Gothic" w:eastAsia="Nanum Gothic"/>
          <w:b w:val="0"/>
          <w:color w:val="24364B"/>
          <w:sz w:val="21"/>
        </w:rPr>
        <w:t>기준연월 × 이용자구분 × 연령대 × 채널 × 서비스유형 × 인증방법 × 처리결과</w:t>
      </w:r>
    </w:p>
    <w:p>
      <w:r>
        <w:rPr>
          <w:rFonts w:ascii="Nanum Gothic" w:hAnsi="Nanum Gothic" w:eastAsia="Nanum Gothic"/>
          <w:b w:val="0"/>
          <w:color w:val="222222"/>
          <w:sz w:val="21"/>
        </w:rPr>
        <w:t>월 단위로 내부 집계하되, 공개는 분기 또는 연간 단위로 묶어 소수셀 발생을 줄일 수 있다. 서비스유형·실패사유·상담연계는 데이터 품질과 업무 연결성을 확인한 뒤 2단계로 확장한다.</w:t>
      </w:r>
    </w:p>
    <w:p>
      <w:pPr>
        <w:pStyle w:val="Heading2"/>
        <w:pBdr>
          <w:bottom w:val="single" w:sz="7" w:space="4" w:color="138ACB"/>
        </w:pBdr>
      </w:pPr>
      <w:r>
        <w:t>2. 1단계 최소 개방 항목</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300"/>
        <w:gridCol w:w="2600"/>
        <w:gridCol w:w="2200"/>
        <w:gridCol w:w="1400"/>
      </w:tblGrid>
      <w:tr>
        <w:trPr>
          <w:tblHeader w:val="true"/>
          <w:cantSplit/>
        </w:trPr>
        <w:tc>
          <w:tcPr>
            <w:tcW w:type="dxa" w:w="13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구분</w:t>
            </w:r>
          </w:p>
        </w:tc>
        <w:tc>
          <w:tcPr>
            <w:tcW w:type="dxa" w:w="2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공개 항목</w:t>
            </w:r>
          </w:p>
        </w:tc>
        <w:tc>
          <w:tcPr>
            <w:tcW w:type="dxa" w:w="2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필수 차원</w:t>
            </w:r>
          </w:p>
        </w:tc>
        <w:tc>
          <w:tcPr>
            <w:tcW w:type="dxa" w:w="14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운영 활용</w:t>
            </w:r>
          </w:p>
        </w:tc>
      </w:tr>
      <w:tr>
        <w:trPr>
          <w:cantSplit/>
        </w:trPr>
        <w:tc>
          <w:tcPr>
            <w:tcW w:type="dxa" w:w="1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1. 접속</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PC·모바일 접속 건수</w:t>
            </w:r>
          </w:p>
        </w:tc>
        <w:tc>
          <w:tcPr>
            <w:tcW w:type="dxa" w:w="2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기준연월, 연령대, 채널</w:t>
            </w:r>
          </w:p>
        </w:tc>
        <w:tc>
          <w:tcPr>
            <w:tcW w:type="dxa" w:w="1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채널별 수요·UI 개선</w:t>
            </w:r>
          </w:p>
        </w:tc>
      </w:tr>
      <w:tr>
        <w:trPr>
          <w:cantSplit/>
        </w:trPr>
        <w:tc>
          <w:tcPr>
            <w:tcW w:type="dxa" w:w="13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2. 인증방법</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인증방법별 이용 건수</w:t>
            </w:r>
          </w:p>
        </w:tc>
        <w:tc>
          <w:tcPr>
            <w:tcW w:type="dxa" w:w="2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기준연월, 연령대, 인증방법</w:t>
            </w:r>
          </w:p>
        </w:tc>
        <w:tc>
          <w:tcPr>
            <w:tcW w:type="dxa" w:w="1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복잡도·수요 불일치 파악</w:t>
            </w:r>
          </w:p>
        </w:tc>
      </w:tr>
      <w:tr>
        <w:trPr>
          <w:cantSplit/>
        </w:trPr>
        <w:tc>
          <w:tcPr>
            <w:tcW w:type="dxa" w:w="1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3. 인증결과</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성공·실패 건수</w:t>
            </w:r>
          </w:p>
        </w:tc>
        <w:tc>
          <w:tcPr>
            <w:tcW w:type="dxa" w:w="2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기준연월, 연령대, 채널, 인증방법</w:t>
            </w:r>
          </w:p>
        </w:tc>
        <w:tc>
          <w:tcPr>
            <w:tcW w:type="dxa" w:w="1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실패율·재시도 단계 개선</w:t>
            </w:r>
          </w:p>
        </w:tc>
      </w:tr>
      <w:tr>
        <w:trPr>
          <w:cantSplit/>
        </w:trPr>
        <w:tc>
          <w:tcPr>
            <w:tcW w:type="dxa" w:w="13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4. 지원신호</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비밀번호 분실·인증 알림톡 발송 건수</w:t>
            </w:r>
          </w:p>
        </w:tc>
        <w:tc>
          <w:tcPr>
            <w:tcW w:type="dxa" w:w="2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기준연월, 연령대, 발송유형</w:t>
            </w:r>
          </w:p>
        </w:tc>
        <w:tc>
          <w:tcPr>
            <w:tcW w:type="dxa" w:w="1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사전 안내·지원 수요 파악</w:t>
            </w:r>
          </w:p>
        </w:tc>
      </w:tr>
    </w:tbl>
    <w:p>
      <w:pPr>
        <w:spacing w:after="20"/>
      </w:pPr>
    </w:p>
    <w:p>
      <w:pPr>
        <w:pStyle w:val="Heading2"/>
        <w:pBdr>
          <w:bottom w:val="single" w:sz="7" w:space="4" w:color="138ACB"/>
        </w:pBdr>
      </w:pPr>
      <w:r>
        <w:t>3. 2단계 확장 항목</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700"/>
        <w:gridCol w:w="2450"/>
        <w:gridCol w:w="1950"/>
        <w:gridCol w:w="1400"/>
      </w:tblGrid>
      <w:tr>
        <w:trPr>
          <w:tblHeader w:val="true"/>
          <w:cantSplit/>
        </w:trPr>
        <w:tc>
          <w:tcPr>
            <w:tcW w:type="dxa" w:w="1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확장 항목</w:t>
            </w:r>
          </w:p>
        </w:tc>
        <w:tc>
          <w:tcPr>
            <w:tcW w:type="dxa" w:w="24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예시</w:t>
            </w:r>
          </w:p>
        </w:tc>
        <w:tc>
          <w:tcPr>
            <w:tcW w:type="dxa" w:w="19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활용 가치</w:t>
            </w:r>
          </w:p>
        </w:tc>
        <w:tc>
          <w:tcPr>
            <w:tcW w:type="dxa" w:w="14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유의사항</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서비스 유형</w:t>
            </w:r>
          </w:p>
        </w:tc>
        <w:tc>
          <w:tcPr>
            <w:tcW w:type="dxa" w:w="2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연금액·수급내역 확인, 증명서, 민원</w:t>
            </w:r>
          </w:p>
        </w:tc>
        <w:tc>
          <w:tcPr>
            <w:tcW w:type="dxa" w:w="19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업무별 이탈 지점 선별</w:t>
            </w:r>
          </w:p>
        </w:tc>
        <w:tc>
          <w:tcPr>
            <w:tcW w:type="dxa" w:w="1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대분류로 시작</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업무 완료</w:t>
            </w:r>
          </w:p>
        </w:tc>
        <w:tc>
          <w:tcPr>
            <w:tcW w:type="dxa" w:w="2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처리 완료 건수</w:t>
            </w:r>
          </w:p>
        </w:tc>
        <w:tc>
          <w:tcPr>
            <w:tcW w:type="dxa" w:w="19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단순 접속을 넘어 완결성 측정</w:t>
            </w:r>
          </w:p>
        </w:tc>
        <w:tc>
          <w:tcPr>
            <w:tcW w:type="dxa" w:w="1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완료 정의·분모 고정</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실패사유 대분류</w:t>
            </w:r>
          </w:p>
        </w:tc>
        <w:tc>
          <w:tcPr>
            <w:tcW w:type="dxa" w:w="2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인증서, 비밀번호, 통신, 시스템, 기타</w:t>
            </w:r>
          </w:p>
        </w:tc>
        <w:tc>
          <w:tcPr>
            <w:tcW w:type="dxa" w:w="19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조치 담당조직 연결</w:t>
            </w:r>
          </w:p>
        </w:tc>
        <w:tc>
          <w:tcPr>
            <w:tcW w:type="dxa" w:w="14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세부 오류코드 비공개</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관련 상담</w:t>
            </w:r>
          </w:p>
        </w:tc>
        <w:tc>
          <w:tcPr>
            <w:tcW w:type="dxa" w:w="2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디지털 접속·인증 관련 상담 건수</w:t>
            </w:r>
          </w:p>
        </w:tc>
        <w:tc>
          <w:tcPr>
            <w:tcW w:type="dxa" w:w="19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온라인 문제와 상담수요 비교</w:t>
            </w:r>
          </w:p>
        </w:tc>
        <w:tc>
          <w:tcPr>
            <w:tcW w:type="dxa" w:w="14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개인별 직접 결합 금지</w:t>
            </w:r>
          </w:p>
        </w:tc>
      </w:tr>
    </w:tbl>
    <w:p>
      <w:pPr>
        <w:spacing w:after="20"/>
      </w:pPr>
    </w:p>
    <w:p>
      <w:pPr>
        <w:pStyle w:val="Heading2"/>
        <w:pBdr>
          <w:bottom w:val="single" w:sz="7" w:space="4" w:color="138ACB"/>
        </w:pBdr>
      </w:pPr>
      <w:r>
        <w:t>4. 권고 데이터사전</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750"/>
        <w:gridCol w:w="2600"/>
        <w:gridCol w:w="2250"/>
        <w:gridCol w:w="900"/>
      </w:tblGrid>
      <w:tr>
        <w:trPr>
          <w:tblHeader w:val="true"/>
          <w:cantSplit/>
        </w:trPr>
        <w:tc>
          <w:tcPr>
            <w:tcW w:type="dxa" w:w="17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필드명</w:t>
            </w:r>
          </w:p>
        </w:tc>
        <w:tc>
          <w:tcPr>
            <w:tcW w:type="dxa" w:w="2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정의</w:t>
            </w:r>
          </w:p>
        </w:tc>
        <w:tc>
          <w:tcPr>
            <w:tcW w:type="dxa" w:w="22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형식/예시</w:t>
            </w:r>
          </w:p>
        </w:tc>
        <w:tc>
          <w:tcPr>
            <w:tcW w:type="dxa" w:w="9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단계</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base_ym</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기준연월</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YYYY-MM</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user_group</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이용자구분</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재직자/수급자/기타</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age_group</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이용자 연령대</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50세 미만/50대/60대/70대/80세 이상</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channel</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접속 채널</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PC웹/모바일웹/앱</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auth_method</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인증방법</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간편/금융/공동/ID 등</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access_count</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접속 건수</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auth_attempt_count</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인증 시도 건수</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auth_success_count</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인증 성공 건수</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auth_failure_count</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인증 실패 건수</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support_message_count</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비밀번호·인증 알림톡 발송</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service_type</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이용 서비스 대분류</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내역/증명/민원/기타</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2</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failure_reason_group</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실패사유 대분류</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인증서/비밀번호/통신/시스템/기타</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2</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completion_count</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업무 완료 건수</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2</w:t>
            </w:r>
          </w:p>
        </w:tc>
      </w:tr>
      <w:tr>
        <w:trPr>
          <w:cantSplit/>
        </w:trPr>
        <w:tc>
          <w:tcPr>
            <w:tcW w:type="dxa" w:w="17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related_counsel_count</w:t>
            </w:r>
          </w:p>
        </w:tc>
        <w:tc>
          <w:tcPr>
            <w:tcW w:type="dxa" w:w="2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관련 상담 건수</w:t>
            </w:r>
          </w:p>
        </w:tc>
        <w:tc>
          <w:tcPr>
            <w:tcW w:type="dxa" w:w="22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0 이상 정수</w:t>
            </w:r>
          </w:p>
        </w:tc>
        <w:tc>
          <w:tcPr>
            <w:tcW w:type="dxa" w:w="9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2</w:t>
            </w:r>
          </w:p>
        </w:tc>
      </w:tr>
      <w:tr>
        <w:trPr>
          <w:cantSplit/>
        </w:trPr>
        <w:tc>
          <w:tcPr>
            <w:tcW w:type="dxa" w:w="17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suppression_flag</w:t>
            </w:r>
          </w:p>
        </w:tc>
        <w:tc>
          <w:tcPr>
            <w:tcW w:type="dxa" w:w="2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소수셀 억제 여부</w:t>
            </w:r>
          </w:p>
        </w:tc>
        <w:tc>
          <w:tcPr>
            <w:tcW w:type="dxa" w:w="22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Y/N</w:t>
            </w:r>
          </w:p>
        </w:tc>
        <w:tc>
          <w:tcPr>
            <w:tcW w:type="dxa" w:w="9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1</w:t>
            </w:r>
          </w:p>
        </w:tc>
      </w:tr>
    </w:tbl>
    <w:p>
      <w:pPr>
        <w:spacing w:after="20"/>
      </w:pPr>
    </w:p>
    <w:p>
      <w:pPr>
        <w:pStyle w:val="Heading2"/>
        <w:pBdr>
          <w:bottom w:val="single" w:sz="7" w:space="4" w:color="138ACB"/>
        </w:pBdr>
      </w:pPr>
      <w:r>
        <w:t>5. 개인정보·재식별 보호원칙</w:t>
      </w:r>
    </w:p>
    <w:p>
      <w:pPr>
        <w:numPr>
          <w:ilvl w:val="0"/>
          <w:numId w:val="10"/>
        </w:numPr>
        <w:spacing w:after="60"/>
      </w:pPr>
      <w:r>
        <w:rPr>
          <w:rFonts w:ascii="Nanum Gothic" w:hAnsi="Nanum Gothic" w:eastAsia="Nanum Gothic"/>
          <w:b w:val="0"/>
          <w:color w:val="222222"/>
          <w:sz w:val="20"/>
        </w:rPr>
        <w:t>성명, 연금번호, 회원ID, IP, 기기식별자, 기관명 등 개인·기관 식별자를 공개 파일에 포함하지 않는다.</w:t>
      </w:r>
    </w:p>
    <w:p>
      <w:pPr>
        <w:numPr>
          <w:ilvl w:val="0"/>
          <w:numId w:val="10"/>
        </w:numPr>
        <w:spacing w:after="60"/>
      </w:pPr>
      <w:r>
        <w:rPr>
          <w:rFonts w:ascii="Nanum Gothic" w:hAnsi="Nanum Gothic" w:eastAsia="Nanum Gothic"/>
          <w:b w:val="0"/>
          <w:color w:val="222222"/>
          <w:sz w:val="20"/>
        </w:rPr>
        <w:t>정확한 나이는 10세 단위 연령대로 범주화하고, 최고령층은 80세 이상으로 통합한다.</w:t>
      </w:r>
    </w:p>
    <w:p>
      <w:pPr>
        <w:numPr>
          <w:ilvl w:val="0"/>
          <w:numId w:val="10"/>
        </w:numPr>
        <w:spacing w:after="60"/>
      </w:pPr>
      <w:r>
        <w:rPr>
          <w:rFonts w:ascii="Nanum Gothic" w:hAnsi="Nanum Gothic" w:eastAsia="Nanum Gothic"/>
          <w:b w:val="0"/>
          <w:color w:val="222222"/>
          <w:sz w:val="20"/>
        </w:rPr>
        <w:t>셀 건수가 5 미만이거나 공단 내부 기준에 미달하면 ‘*’로 억제하고, 합계로 역산이 가능한 인접 셀도 함께 검토한다.</w:t>
      </w:r>
    </w:p>
    <w:p>
      <w:pPr>
        <w:numPr>
          <w:ilvl w:val="0"/>
          <w:numId w:val="10"/>
        </w:numPr>
        <w:spacing w:after="60"/>
      </w:pPr>
      <w:r>
        <w:rPr>
          <w:rFonts w:ascii="Nanum Gothic" w:hAnsi="Nanum Gothic" w:eastAsia="Nanum Gothic"/>
          <w:b w:val="0"/>
          <w:color w:val="222222"/>
          <w:sz w:val="20"/>
        </w:rPr>
        <w:t>실패사유는 보안 취약점이 드러나지 않도록 대분류로만 공개하고 세부 오류코드는 내부용으로 관리한다.</w:t>
      </w:r>
    </w:p>
    <w:p>
      <w:pPr>
        <w:numPr>
          <w:ilvl w:val="0"/>
          <w:numId w:val="10"/>
        </w:numPr>
        <w:spacing w:after="60"/>
      </w:pPr>
      <w:r>
        <w:rPr>
          <w:rFonts w:ascii="Nanum Gothic" w:hAnsi="Nanum Gothic" w:eastAsia="Nanum Gothic"/>
          <w:b w:val="0"/>
          <w:color w:val="222222"/>
          <w:sz w:val="20"/>
        </w:rPr>
        <w:t>월별 집계 후 분기·연간 공개를 기본으로 하고, 공개 전 개인정보·보안·통계 적정성 심사를 거친다.</w:t>
      </w:r>
    </w:p>
    <w:p>
      <w:pPr>
        <w:pStyle w:val="Heading2"/>
        <w:pBdr>
          <w:bottom w:val="single" w:sz="7" w:space="4" w:color="138ACB"/>
        </w:pBdr>
      </w:pPr>
      <w:r>
        <w:t>6. 품질관리 규칙</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600"/>
        <w:gridCol w:w="3900"/>
        <w:gridCol w:w="2000"/>
      </w:tblGrid>
      <w:tr>
        <w:trPr>
          <w:tblHeader w:val="true"/>
          <w:cantSplit/>
        </w:trPr>
        <w:tc>
          <w:tcPr>
            <w:tcW w:type="dxa" w:w="1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규칙</w:t>
            </w:r>
          </w:p>
        </w:tc>
        <w:tc>
          <w:tcPr>
            <w:tcW w:type="dxa" w:w="39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검사 내용</w:t>
            </w:r>
          </w:p>
        </w:tc>
        <w:tc>
          <w:tcPr>
            <w:tcW w:type="dxa" w:w="2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조치</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정의 일관성</w:t>
            </w:r>
          </w:p>
        </w:tc>
        <w:tc>
          <w:tcPr>
            <w:tcW w:type="dxa" w:w="39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접속·시도·성공·완료의 이벤트 정의가 시스템별로 같은가</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데이터사전·이벤트 산식 버전 관리</w:t>
            </w:r>
          </w:p>
        </w:tc>
      </w:tr>
      <w:tr>
        <w:trPr>
          <w:cantSplit/>
        </w:trPr>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합계 정합성</w:t>
            </w:r>
          </w:p>
        </w:tc>
        <w:tc>
          <w:tcPr>
            <w:tcW w:type="dxa" w:w="39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성공+실패=시도, 연령대별 합=전체 합이 맞는가</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자동 검사 실패 시 공개 보류</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중복 통제</w:t>
            </w:r>
          </w:p>
        </w:tc>
        <w:tc>
          <w:tcPr>
            <w:tcW w:type="dxa" w:w="39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새로고침·재시도를 건수로 볼지 세션으로 볼지 일관되는가</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이벤트건수와 이용자수를 분리</w:t>
            </w:r>
          </w:p>
        </w:tc>
      </w:tr>
      <w:tr>
        <w:trPr>
          <w:cantSplit/>
        </w:trPr>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억제 정합성</w:t>
            </w:r>
          </w:p>
        </w:tc>
        <w:tc>
          <w:tcPr>
            <w:tcW w:type="dxa" w:w="39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소수셀·인접셀 역산 가능성이 통제되는가</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억제플래그·합계 재검사</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변경 추적</w:t>
            </w:r>
          </w:p>
        </w:tc>
        <w:tc>
          <w:tcPr>
            <w:tcW w:type="dxa" w:w="39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필드·범주·산식 변경이 기록되는가</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버전, 변경일, 변경사유 포함</w:t>
            </w:r>
          </w:p>
        </w:tc>
      </w:tr>
    </w:tbl>
    <w:p>
      <w:pPr>
        <w:spacing w:after="20"/>
      </w:pPr>
    </w:p>
    <w:p>
      <w:pPr>
        <w:pStyle w:val="Heading1"/>
        <w:keepNext/>
        <w:shd w:fill="24364B"/>
        <w:spacing w:before="0" w:after="280"/>
      </w:pPr>
      <w:r>
        <w:rPr>
          <w:rFonts w:ascii="Nanum Gothic" w:hAnsi="Nanum Gothic" w:eastAsia="Nanum Gothic"/>
          <w:b/>
          <w:color w:val="FFFFFF"/>
          <w:sz w:val="34"/>
        </w:rPr>
        <w:t>Ⅵ. 활용 방안과 성과지표</w:t>
      </w:r>
    </w:p>
    <w:p>
      <w:pPr>
        <w:pStyle w:val="Heading2"/>
        <w:pBdr>
          <w:bottom w:val="single" w:sz="7" w:space="4" w:color="138ACB"/>
        </w:pBdr>
      </w:pPr>
      <w:r>
        <w:t>1. 업무 활용 시나리오</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850"/>
        <w:gridCol w:w="1850"/>
        <w:gridCol w:w="2200"/>
        <w:gridCol w:w="1600"/>
      </w:tblGrid>
      <w:tr>
        <w:trPr>
          <w:tblHeader w:val="true"/>
          <w:cantSplit/>
        </w:trPr>
        <w:tc>
          <w:tcPr>
            <w:tcW w:type="dxa" w:w="1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문제 신호</w:t>
            </w:r>
          </w:p>
        </w:tc>
        <w:tc>
          <w:tcPr>
            <w:tcW w:type="dxa" w:w="1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판단</w:t>
            </w:r>
          </w:p>
        </w:tc>
        <w:tc>
          <w:tcPr>
            <w:tcW w:type="dxa" w:w="2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공단 조치</w:t>
            </w:r>
          </w:p>
        </w:tc>
        <w:tc>
          <w:tcPr>
            <w:tcW w:type="dxa" w:w="1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성과 확인</w:t>
            </w:r>
          </w:p>
        </w:tc>
      </w:tr>
      <w:tr>
        <w:trPr>
          <w:cantSplit/>
        </w:trPr>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특정 연령대의 모바일 이용률 저조</w:t>
            </w:r>
          </w:p>
        </w:tc>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전체·PC와 비교</w:t>
            </w:r>
          </w:p>
        </w:tc>
        <w:tc>
          <w:tcPr>
            <w:tcW w:type="dxa" w:w="2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 화면 단순화, 대체 안내</w:t>
            </w:r>
          </w:p>
        </w:tc>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 이용률·완료율 변화</w:t>
            </w:r>
          </w:p>
        </w:tc>
      </w:tr>
      <w:tr>
        <w:trPr>
          <w:cantSplit/>
        </w:trPr>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특정 채널·인증방법의 실패율 상승</w:t>
            </w:r>
          </w:p>
        </w:tc>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시도 대비 실패 비중 비교</w:t>
            </w:r>
          </w:p>
        </w:tc>
        <w:tc>
          <w:tcPr>
            <w:tcW w:type="dxa" w:w="2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인증흐름 축소, 설명 개선, 대체인증 제시</w:t>
            </w:r>
          </w:p>
        </w:tc>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인증실패율·재시도 감소</w:t>
            </w:r>
          </w:p>
        </w:tc>
      </w:tr>
      <w:tr>
        <w:trPr>
          <w:cantSplit/>
        </w:trPr>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비밀번호·인증 알림톡 발송 증가</w:t>
            </w:r>
          </w:p>
        </w:tc>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연령대·시기별 집중 확인</w:t>
            </w:r>
          </w:p>
        </w:tc>
        <w:tc>
          <w:tcPr>
            <w:tcW w:type="dxa" w:w="2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사전 안내, 재설정 동선 축소</w:t>
            </w:r>
          </w:p>
        </w:tc>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발송률·관련 상담율 감소</w:t>
            </w:r>
          </w:p>
        </w:tc>
      </w:tr>
      <w:tr>
        <w:trPr>
          <w:cantSplit/>
        </w:trPr>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접속은 많지만 완료율 저조</w:t>
            </w:r>
          </w:p>
        </w:tc>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서비스유형·단계별 이탈 비교</w:t>
            </w:r>
          </w:p>
        </w:tc>
        <w:tc>
          <w:tcPr>
            <w:tcW w:type="dxa" w:w="2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입력항목 축소, 임시저장, 상담 연결</w:t>
            </w:r>
          </w:p>
        </w:tc>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완료율·처리시간 개선</w:t>
            </w:r>
          </w:p>
        </w:tc>
      </w:tr>
    </w:tbl>
    <w:p>
      <w:pPr>
        <w:spacing w:after="20"/>
      </w:pPr>
    </w:p>
    <w:p>
      <w:pPr>
        <w:pStyle w:val="Heading2"/>
        <w:pBdr>
          <w:bottom w:val="single" w:sz="7" w:space="4" w:color="138ACB"/>
        </w:pBdr>
      </w:pPr>
      <w:r>
        <w:t>2. 핵심 성과지표(KPI)</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600"/>
        <w:gridCol w:w="2850"/>
        <w:gridCol w:w="1500"/>
        <w:gridCol w:w="1550"/>
      </w:tblGrid>
      <w:tr>
        <w:trPr>
          <w:tblHeader w:val="true"/>
          <w:cantSplit/>
        </w:trPr>
        <w:tc>
          <w:tcPr>
            <w:tcW w:type="dxa" w:w="1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지표</w:t>
            </w:r>
          </w:p>
        </w:tc>
        <w:tc>
          <w:tcPr>
            <w:tcW w:type="dxa" w:w="2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산식</w:t>
            </w:r>
          </w:p>
        </w:tc>
        <w:tc>
          <w:tcPr>
            <w:tcW w:type="dxa" w:w="15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해석</w:t>
            </w:r>
          </w:p>
        </w:tc>
        <w:tc>
          <w:tcPr>
            <w:tcW w:type="dxa" w:w="15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연결 조치</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 이용률</w:t>
            </w:r>
          </w:p>
        </w:tc>
        <w:tc>
          <w:tcPr>
            <w:tcW w:type="dxa" w:w="2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(모바일웹+앱 접속) / 전체 접속 × 100</w:t>
            </w:r>
          </w:p>
        </w:tc>
        <w:tc>
          <w:tcPr>
            <w:tcW w:type="dxa" w:w="1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채널 이용 구조</w:t>
            </w:r>
          </w:p>
        </w:tc>
        <w:tc>
          <w:tcPr>
            <w:tcW w:type="dxa" w:w="15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 우선 설계·안내</w:t>
            </w:r>
          </w:p>
        </w:tc>
      </w:tr>
      <w:tr>
        <w:trPr>
          <w:cantSplit/>
        </w:trPr>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 실패율</w:t>
            </w:r>
          </w:p>
        </w:tc>
        <w:tc>
          <w:tcPr>
            <w:tcW w:type="dxa" w:w="2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 실패 / 인증 시도 × 100</w:t>
            </w:r>
          </w:p>
        </w:tc>
        <w:tc>
          <w:tcPr>
            <w:tcW w:type="dxa" w:w="15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 장벽</w:t>
            </w:r>
          </w:p>
        </w:tc>
        <w:tc>
          <w:tcPr>
            <w:tcW w:type="dxa" w:w="15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인증방법·채널별 개선</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업무 완료율</w:t>
            </w:r>
          </w:p>
        </w:tc>
        <w:tc>
          <w:tcPr>
            <w:tcW w:type="dxa" w:w="2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업무 완료 / 해당 서비스 접속 × 100</w:t>
            </w:r>
          </w:p>
        </w:tc>
        <w:tc>
          <w:tcPr>
            <w:tcW w:type="dxa" w:w="1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실제 서비스 완결성</w:t>
            </w:r>
          </w:p>
        </w:tc>
        <w:tc>
          <w:tcPr>
            <w:tcW w:type="dxa" w:w="15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프로세스·화면 개선</w:t>
            </w:r>
          </w:p>
        </w:tc>
      </w:tr>
      <w:tr>
        <w:trPr>
          <w:cantSplit/>
        </w:trPr>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비밀번호 재설정률</w:t>
            </w:r>
          </w:p>
        </w:tc>
        <w:tc>
          <w:tcPr>
            <w:tcW w:type="dxa" w:w="2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재설정 건 / 인증 시도 × 100</w:t>
            </w:r>
          </w:p>
        </w:tc>
        <w:tc>
          <w:tcPr>
            <w:tcW w:type="dxa" w:w="15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계정 접근 불편</w:t>
            </w:r>
          </w:p>
        </w:tc>
        <w:tc>
          <w:tcPr>
            <w:tcW w:type="dxa" w:w="15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재설정 동선·사전 안내</w:t>
            </w:r>
          </w:p>
        </w:tc>
      </w:tr>
      <w:tr>
        <w:trPr>
          <w:cantSplit/>
        </w:trPr>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관련 상담율</w:t>
            </w:r>
          </w:p>
        </w:tc>
        <w:tc>
          <w:tcPr>
            <w:tcW w:type="dxa" w:w="2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디지털 관련 상담 / 접속 × 100</w:t>
            </w:r>
          </w:p>
        </w:tc>
        <w:tc>
          <w:tcPr>
            <w:tcW w:type="dxa" w:w="15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온라인 문제의 상담 전이</w:t>
            </w:r>
          </w:p>
        </w:tc>
        <w:tc>
          <w:tcPr>
            <w:tcW w:type="dxa" w:w="15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자주 문의·콜센터 안내 개선</w:t>
            </w:r>
          </w:p>
        </w:tc>
      </w:tr>
    </w:tbl>
    <w:p>
      <w:pPr>
        <w:spacing w:after="20"/>
      </w:pPr>
    </w:p>
    <w:p>
      <w:pPr>
        <w:pStyle w:val="Callout"/>
        <w:shd w:fill="F4F6F8"/>
        <w:spacing w:before="100" w:after="160" w:line="288" w:lineRule="auto"/>
        <w:ind w:left="227" w:right="227"/>
      </w:pPr>
      <w:r>
        <w:rPr>
          <w:rFonts w:ascii="Nanum Gothic" w:hAnsi="Nanum Gothic" w:eastAsia="Nanum Gothic"/>
          <w:b/>
          <w:color w:val="138ACB"/>
          <w:sz w:val="21"/>
        </w:rPr>
        <w:t xml:space="preserve">KPI 운영 원칙  </w:t>
      </w:r>
      <w:r>
        <w:rPr>
          <w:rFonts w:ascii="Nanum Gothic" w:hAnsi="Nanum Gothic" w:eastAsia="Nanum Gothic"/>
          <w:b w:val="0"/>
          <w:color w:val="24364B"/>
          <w:sz w:val="21"/>
        </w:rPr>
        <w:t>지표의 분모와 이벤트 정의를 먼저 고정하고, 절대 수준뿐 아니라 연령대·채널·인증방법 간 격차와 개선 전후 변화를 함께 본다. 표본이 작은 셀은 공개뿐 아니라 성과평가에서도 유의한다.</w:t>
      </w:r>
    </w:p>
    <w:p>
      <w:pPr>
        <w:pStyle w:val="Heading2"/>
        <w:pBdr>
          <w:bottom w:val="single" w:sz="7" w:space="4" w:color="138ACB"/>
        </w:pBdr>
      </w:pPr>
      <w:r>
        <w:t>3. 단계별 이행 로드맵</w:t>
      </w:r>
    </w:p>
    <w:tbl>
      <w:tblPr>
        <w:tblStyle w:val="TableGrid"/>
        <w:tblW w:type="dxa" w:w="8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250"/>
        <w:gridCol w:w="3100"/>
        <w:gridCol w:w="2000"/>
        <w:gridCol w:w="2150"/>
      </w:tblGrid>
      <w:tr>
        <w:trPr>
          <w:tblHeader w:val="true"/>
          <w:cantSplit/>
        </w:trPr>
        <w:tc>
          <w:tcPr>
            <w:tcW w:type="dxa" w:w="12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기간</w:t>
            </w:r>
          </w:p>
        </w:tc>
        <w:tc>
          <w:tcPr>
            <w:tcW w:type="dxa" w:w="31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주요 과제</w:t>
            </w:r>
          </w:p>
        </w:tc>
        <w:tc>
          <w:tcPr>
            <w:tcW w:type="dxa" w:w="2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산출물</w:t>
            </w:r>
          </w:p>
        </w:tc>
        <w:tc>
          <w:tcPr>
            <w:tcW w:type="dxa" w:w="21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의사결정 기준</w:t>
            </w:r>
          </w:p>
        </w:tc>
      </w:tr>
      <w:tr>
        <w:trPr>
          <w:cantSplit/>
        </w:trPr>
        <w:tc>
          <w:tcPr>
            <w:tcW w:type="dxa" w:w="125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6"/>
              </w:rPr>
              <w:t>0–2개월</w:t>
            </w:r>
          </w:p>
        </w:tc>
        <w:tc>
          <w:tcPr>
            <w:tcW w:type="dxa" w:w="31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로그·상담 보유현황 인벤토리, 정의·보호 원칙 확정</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원천–필드 매핑, 데이터사전 v0.9</w:t>
            </w:r>
          </w:p>
        </w:tc>
        <w:tc>
          <w:tcPr>
            <w:tcW w:type="dxa" w:w="21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개인정보·보안 검토 통과</w:t>
            </w:r>
          </w:p>
        </w:tc>
      </w:tr>
      <w:tr>
        <w:trPr>
          <w:cantSplit/>
        </w:trPr>
        <w:tc>
          <w:tcPr>
            <w:tcW w:type="dxa" w:w="125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6"/>
              </w:rPr>
              <w:t>3–5개월</w:t>
            </w:r>
          </w:p>
        </w:tc>
        <w:tc>
          <w:tcPr>
            <w:tcW w:type="dxa" w:w="31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3개월 시범 집계, 합계·억제·중복 검사</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시범 CSV, 품질검사서, 초기 KPI</w:t>
            </w:r>
          </w:p>
        </w:tc>
        <w:tc>
          <w:tcPr>
            <w:tcW w:type="dxa" w:w="21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성공+실패=시도 등 핵심 규칙 충족</w:t>
            </w:r>
          </w:p>
        </w:tc>
      </w:tr>
      <w:tr>
        <w:trPr>
          <w:cantSplit/>
        </w:trPr>
        <w:tc>
          <w:tcPr>
            <w:tcW w:type="dxa" w:w="125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6"/>
              </w:rPr>
              <w:t>6–8개월</w:t>
            </w:r>
          </w:p>
        </w:tc>
        <w:tc>
          <w:tcPr>
            <w:tcW w:type="dxa" w:w="31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공공데이터포털 분기 공개, 메타데이터·샘플 정비</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1단계 최소 개방 파일</w:t>
            </w:r>
          </w:p>
        </w:tc>
        <w:tc>
          <w:tcPr>
            <w:tcW w:type="dxa" w:w="21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소수셀·역산 통제 확인</w:t>
            </w:r>
          </w:p>
        </w:tc>
      </w:tr>
      <w:tr>
        <w:trPr>
          <w:cantSplit/>
        </w:trPr>
        <w:tc>
          <w:tcPr>
            <w:tcW w:type="dxa" w:w="125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6"/>
              </w:rPr>
              <w:t>9–12개월</w:t>
            </w:r>
          </w:p>
        </w:tc>
        <w:tc>
          <w:tcPr>
            <w:tcW w:type="dxa" w:w="31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분기 KPI 리뷰, 서비스유형·완료·상담 확장</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2단계 확장안, 개선 전후 리포트</w:t>
            </w:r>
          </w:p>
        </w:tc>
        <w:tc>
          <w:tcPr>
            <w:tcW w:type="dxa" w:w="21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업무개선 효과와 공개 편익 확인</w:t>
            </w:r>
          </w:p>
        </w:tc>
      </w:tr>
    </w:tbl>
    <w:p>
      <w:pPr>
        <w:spacing w:after="20"/>
      </w:pPr>
    </w:p>
    <w:p>
      <w:pPr>
        <w:pStyle w:val="Heading2"/>
        <w:pBdr>
          <w:bottom w:val="single" w:sz="7" w:space="4" w:color="138ACB"/>
        </w:pBdr>
      </w:pPr>
      <w:r>
        <w:t>4. 역할 분담</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700"/>
        <w:gridCol w:w="3800"/>
        <w:gridCol w:w="2000"/>
      </w:tblGrid>
      <w:tr>
        <w:trPr>
          <w:tblHeader w:val="true"/>
          <w:cantSplit/>
        </w:trPr>
        <w:tc>
          <w:tcPr>
            <w:tcW w:type="dxa" w:w="17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역할</w:t>
            </w:r>
          </w:p>
        </w:tc>
        <w:tc>
          <w:tcPr>
            <w:tcW w:type="dxa" w:w="38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책임</w:t>
            </w:r>
          </w:p>
        </w:tc>
        <w:tc>
          <w:tcPr>
            <w:tcW w:type="dxa" w:w="20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핵심 산출물</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데이터 소유부서</w:t>
            </w:r>
          </w:p>
        </w:tc>
        <w:tc>
          <w:tcPr>
            <w:tcW w:type="dxa" w:w="3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이벤트 정의, 로그 추출, 업무 해석</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원천–필드 매핑, 월별 집계</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정보화·보안</w:t>
            </w:r>
          </w:p>
        </w:tc>
        <w:tc>
          <w:tcPr>
            <w:tcW w:type="dxa" w:w="38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시스템 로그 적정성, 오류코드 대분류, 위험 검토</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보안·재식별 검토서</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공공데이터 담당</w:t>
            </w:r>
          </w:p>
        </w:tc>
        <w:tc>
          <w:tcPr>
            <w:tcW w:type="dxa" w:w="3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표준항목, 메타데이터, 공개주기, 포털 등록</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공개 CSV·데이터사전·변경이력</w:t>
            </w:r>
          </w:p>
        </w:tc>
      </w:tr>
      <w:tr>
        <w:trPr>
          <w:cantSplit/>
        </w:trPr>
        <w:tc>
          <w:tcPr>
            <w:tcW w:type="dxa" w:w="17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민원·상담</w:t>
            </w:r>
          </w:p>
        </w:tc>
        <w:tc>
          <w:tcPr>
            <w:tcW w:type="dxa" w:w="38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실패사유·상담유형 대분류, 개선 효과 확인</w:t>
            </w:r>
          </w:p>
        </w:tc>
        <w:tc>
          <w:tcPr>
            <w:tcW w:type="dxa" w:w="20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관련 상담 KPI</w:t>
            </w:r>
          </w:p>
        </w:tc>
      </w:tr>
      <w:tr>
        <w:trPr>
          <w:cantSplit/>
        </w:trPr>
        <w:tc>
          <w:tcPr>
            <w:tcW w:type="dxa" w:w="17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내부 심의체</w:t>
            </w:r>
          </w:p>
        </w:tc>
        <w:tc>
          <w:tcPr>
            <w:tcW w:type="dxa" w:w="38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품질·보호·공개 편익 최종 판단</w:t>
            </w:r>
          </w:p>
        </w:tc>
        <w:tc>
          <w:tcPr>
            <w:tcW w:type="dxa" w:w="20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분기 공개 승인·보완 요구</w:t>
            </w:r>
          </w:p>
        </w:tc>
      </w:tr>
    </w:tbl>
    <w:p>
      <w:pPr>
        <w:spacing w:after="20"/>
      </w:pPr>
    </w:p>
    <w:p>
      <w:pPr>
        <w:pStyle w:val="Heading1"/>
        <w:keepNext/>
        <w:shd w:fill="24364B"/>
        <w:spacing w:before="0" w:after="280"/>
      </w:pPr>
      <w:r>
        <w:rPr>
          <w:rFonts w:ascii="Nanum Gothic" w:hAnsi="Nanum Gothic" w:eastAsia="Nanum Gothic"/>
          <w:b/>
          <w:color w:val="FFFFFF"/>
          <w:sz w:val="34"/>
        </w:rPr>
        <w:t>Ⅶ. 결론과 한계</w:t>
      </w:r>
    </w:p>
    <w:p>
      <w:pPr>
        <w:pStyle w:val="Heading2"/>
        <w:pBdr>
          <w:bottom w:val="single" w:sz="7" w:space="4" w:color="138ACB"/>
        </w:pBdr>
      </w:pPr>
      <w:r>
        <w:t>1. 결론</w:t>
      </w:r>
    </w:p>
    <w:p>
      <w:r>
        <w:rPr>
          <w:rFonts w:ascii="Nanum Gothic" w:hAnsi="Nanum Gothic" w:eastAsia="Nanum Gothic"/>
          <w:b w:val="0"/>
          <w:color w:val="222222"/>
          <w:sz w:val="21"/>
        </w:rPr>
        <w:t>공식 공개데이터는 사학연금의 서비스 접점이 장기적으로 확대되었음을 보여준다. 퇴직연금수급자는 2025년 111,389명으로, 1997년의 22.29배이다. 2025년에도 5,623명 순증했다. 수급자와 맞닿는 온라인 접점의 품질은 추가 기능이 아니라 공단 운영의 기본 성능이다.</w:t>
      </w:r>
    </w:p>
    <w:p>
      <w:r>
        <w:rPr>
          <w:rFonts w:ascii="Nanum Gothic" w:hAnsi="Nanum Gothic" w:eastAsia="Nanum Gothic"/>
          <w:b w:val="0"/>
          <w:color w:val="222222"/>
          <w:sz w:val="21"/>
        </w:rPr>
        <w:t>그러나 현재 공개데이터는 ‘몇 명인가’에는 답하지만 ‘누가 어느 채널에서 어떤 인증 장벽을 겪는가’에는 답하지 못한다. 홈페이지 가입자 수도 이용성·완결성을 대체할 수 없다. 따라서 공단은 연령대·채널·인증단계별 집계데이터를 개방해 현상 진단, 개선 실행, 성과 측정을 하나의 흐름으로 연결해야 한다.</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300"/>
        <w:gridCol w:w="1550"/>
        <w:gridCol w:w="1600"/>
        <w:gridCol w:w="1850"/>
        <w:gridCol w:w="1200"/>
      </w:tblGrid>
      <w:tr>
        <w:trPr>
          <w:tblHeader w:val="true"/>
          <w:cantSplit/>
        </w:trPr>
        <w:tc>
          <w:tcPr>
            <w:tcW w:type="dxa" w:w="13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문제</w:t>
            </w:r>
          </w:p>
        </w:tc>
        <w:tc>
          <w:tcPr>
            <w:tcW w:type="dxa" w:w="15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근거</w:t>
            </w:r>
          </w:p>
        </w:tc>
        <w:tc>
          <w:tcPr>
            <w:tcW w:type="dxa" w:w="16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해석</w:t>
            </w:r>
          </w:p>
        </w:tc>
        <w:tc>
          <w:tcPr>
            <w:tcW w:type="dxa" w:w="1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제안</w:t>
            </w:r>
          </w:p>
        </w:tc>
        <w:tc>
          <w:tcPr>
            <w:tcW w:type="dxa" w:w="1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6"/>
              </w:rPr>
              <w:t>성과지표</w:t>
            </w:r>
          </w:p>
        </w:tc>
      </w:tr>
      <w:tr>
        <w:trPr>
          <w:cantSplit/>
        </w:trPr>
        <w:tc>
          <w:tcPr>
            <w:tcW w:type="dxa" w:w="13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수급자 접점 확대</w:t>
            </w:r>
          </w:p>
        </w:tc>
        <w:tc>
          <w:tcPr>
            <w:tcW w:type="dxa" w:w="15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2025년 111,389명</w:t>
              <w:br/>
              <w:t>전년 대비 +5,623명</w:t>
            </w:r>
          </w:p>
        </w:tc>
        <w:tc>
          <w:tcPr>
            <w:tcW w:type="dxa" w:w="16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상시적 디지털 접근성 관리 필요</w:t>
            </w:r>
          </w:p>
        </w:tc>
        <w:tc>
          <w:tcPr>
            <w:tcW w:type="dxa" w:w="1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연령·채널·인증단계별 집계데이터 개방</w:t>
            </w:r>
          </w:p>
        </w:tc>
        <w:tc>
          <w:tcPr>
            <w:tcW w:type="dxa" w:w="120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모바일 이용률</w:t>
              <w:br/>
              <w:t>인증 실패율</w:t>
              <w:br/>
              <w:t>업무 완료율</w:t>
            </w:r>
          </w:p>
        </w:tc>
      </w:tr>
      <w:tr>
        <w:trPr>
          <w:cantSplit/>
        </w:trPr>
        <w:tc>
          <w:tcPr>
            <w:tcW w:type="dxa" w:w="13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운영 맹점</w:t>
            </w:r>
          </w:p>
        </w:tc>
        <w:tc>
          <w:tcPr>
            <w:tcW w:type="dxa" w:w="15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가입자 자료에 연령·채널·성공/실패 없음</w:t>
            </w:r>
          </w:p>
        </w:tc>
        <w:tc>
          <w:tcPr>
            <w:tcW w:type="dxa" w:w="16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취약 지점·개선효과 판단 불가</w:t>
            </w:r>
          </w:p>
        </w:tc>
        <w:tc>
          <w:tcPr>
            <w:tcW w:type="dxa" w:w="1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1단계 4개 항목, 2단계 완료·상담 확장</w:t>
            </w:r>
          </w:p>
        </w:tc>
        <w:tc>
          <w:tcPr>
            <w:tcW w:type="dxa" w:w="120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6"/>
              </w:rPr>
              <w:t>재설정률</w:t>
              <w:br/>
              <w:t>관련 상담율</w:t>
              <w:br/>
              <w:t>격차 축소</w:t>
            </w:r>
          </w:p>
        </w:tc>
      </w:tr>
    </w:tbl>
    <w:p>
      <w:pPr>
        <w:spacing w:after="20"/>
      </w:pPr>
    </w:p>
    <w:p>
      <w:pPr>
        <w:pStyle w:val="Heading2"/>
        <w:pBdr>
          <w:bottom w:val="single" w:sz="7" w:space="4" w:color="138ACB"/>
        </w:pBdr>
      </w:pPr>
      <w:r>
        <w:t>2. 연구의 한계</w:t>
      </w:r>
    </w:p>
    <w:p>
      <w:pPr>
        <w:numPr>
          <w:ilvl w:val="0"/>
          <w:numId w:val="10"/>
        </w:numPr>
        <w:spacing w:after="60"/>
      </w:pPr>
      <w:r>
        <w:rPr>
          <w:rFonts w:ascii="Nanum Gothic" w:hAnsi="Nanum Gothic" w:eastAsia="Nanum Gothic"/>
          <w:b w:val="0"/>
          <w:color w:val="222222"/>
          <w:sz w:val="20"/>
        </w:rPr>
        <w:t>연령대별 수급자 구조가 공개되지 않아 수급자 증가와 고령화의 인과를 검증하지 못했다.</w:t>
      </w:r>
    </w:p>
    <w:p>
      <w:pPr>
        <w:numPr>
          <w:ilvl w:val="0"/>
          <w:numId w:val="10"/>
        </w:numPr>
        <w:spacing w:after="60"/>
      </w:pPr>
      <w:r>
        <w:rPr>
          <w:rFonts w:ascii="Nanum Gothic" w:hAnsi="Nanum Gothic" w:eastAsia="Nanum Gothic"/>
          <w:b w:val="0"/>
          <w:color w:val="222222"/>
          <w:sz w:val="20"/>
        </w:rPr>
        <w:t>접속·인증·완료 로그가 없어 연령대별 디지털 실패 격차를 실증하지 못했다. 이는 신규 개방의 필요성이지 실패의 존재 증거가 아니다.</w:t>
      </w:r>
    </w:p>
    <w:p>
      <w:pPr>
        <w:numPr>
          <w:ilvl w:val="0"/>
          <w:numId w:val="10"/>
        </w:numPr>
        <w:spacing w:after="60"/>
      </w:pPr>
      <w:r>
        <w:rPr>
          <w:rFonts w:ascii="Nanum Gothic" w:hAnsi="Nanum Gothic" w:eastAsia="Nanum Gothic"/>
          <w:b w:val="0"/>
          <w:color w:val="222222"/>
          <w:sz w:val="20"/>
        </w:rPr>
        <w:t>평균연금액은 물가 미조정 명목 값이며, 원자료 메타데이터의 단위·산식 설명이 충분하지 않다.</w:t>
      </w:r>
    </w:p>
    <w:p>
      <w:pPr>
        <w:numPr>
          <w:ilvl w:val="0"/>
          <w:numId w:val="10"/>
        </w:numPr>
        <w:spacing w:after="60"/>
      </w:pPr>
      <w:r>
        <w:rPr>
          <w:rFonts w:ascii="Nanum Gothic" w:hAnsi="Nanum Gothic" w:eastAsia="Nanum Gothic"/>
          <w:b w:val="0"/>
          <w:color w:val="222222"/>
          <w:sz w:val="20"/>
        </w:rPr>
        <w:t>퇴직현황 1978–1992년의 세부항목 합과 상위 합계가 일치하지 않아 초기 세부구조 해석을 제외했다.</w:t>
      </w:r>
    </w:p>
    <w:p>
      <w:pPr>
        <w:numPr>
          <w:ilvl w:val="0"/>
          <w:numId w:val="10"/>
        </w:numPr>
        <w:spacing w:after="60"/>
      </w:pPr>
      <w:r>
        <w:rPr>
          <w:rFonts w:ascii="Nanum Gothic" w:hAnsi="Nanum Gothic" w:eastAsia="Nanum Gothic"/>
          <w:b w:val="0"/>
          <w:color w:val="222222"/>
          <w:sz w:val="20"/>
        </w:rPr>
        <w:t>공공데이터포털에서 2026-08-31 확인한 공개항목을 기준으로 한 결론으로, 공개범위·파일이 갱신되면 재검증이 필요하다.</w:t>
      </w:r>
    </w:p>
    <w:p>
      <w:pPr>
        <w:pStyle w:val="Heading2"/>
        <w:pBdr>
          <w:bottom w:val="single" w:sz="7" w:space="4" w:color="138ACB"/>
        </w:pBdr>
      </w:pPr>
      <w:r>
        <w:t>3. 최종 제언</w:t>
      </w:r>
    </w:p>
    <w:p>
      <w:pPr>
        <w:numPr>
          <w:ilvl w:val="0"/>
          <w:numId w:val="10"/>
        </w:numPr>
        <w:spacing w:after="60"/>
      </w:pPr>
      <w:r>
        <w:rPr>
          <w:rFonts w:ascii="Nanum Gothic" w:hAnsi="Nanum Gothic" w:eastAsia="Nanum Gothic"/>
          <w:b w:val="0"/>
          <w:color w:val="222222"/>
          <w:sz w:val="20"/>
        </w:rPr>
        <w:t>수급자 수 관리에서 이용 경험 관리로 관점을 확장한다.</w:t>
      </w:r>
    </w:p>
    <w:p>
      <w:pPr>
        <w:numPr>
          <w:ilvl w:val="0"/>
          <w:numId w:val="10"/>
        </w:numPr>
        <w:spacing w:after="60"/>
      </w:pPr>
      <w:r>
        <w:rPr>
          <w:rFonts w:ascii="Nanum Gothic" w:hAnsi="Nanum Gothic" w:eastAsia="Nanum Gothic"/>
          <w:b w:val="0"/>
          <w:color w:val="222222"/>
          <w:sz w:val="20"/>
        </w:rPr>
        <w:t>첫 공개는 4개 최소 항목으로 시작하고, 정의·품질·보호가 안정된 후 완료·상담 정보를 확장한다.</w:t>
      </w:r>
    </w:p>
    <w:p>
      <w:pPr>
        <w:numPr>
          <w:ilvl w:val="0"/>
          <w:numId w:val="10"/>
        </w:numPr>
        <w:spacing w:after="60"/>
      </w:pPr>
      <w:r>
        <w:rPr>
          <w:rFonts w:ascii="Nanum Gothic" w:hAnsi="Nanum Gothic" w:eastAsia="Nanum Gothic"/>
          <w:b w:val="0"/>
          <w:color w:val="222222"/>
          <w:sz w:val="20"/>
        </w:rPr>
        <w:t>개방을 일회성 사업으로 두지 않고, 분기 KPI 리뷰에서 발견된 격차를 UI·인증·안내·상담 개선으로 연결한다.</w:t>
      </w:r>
    </w:p>
    <w:p>
      <w:pPr>
        <w:numPr>
          <w:ilvl w:val="0"/>
          <w:numId w:val="10"/>
        </w:numPr>
        <w:spacing w:after="60"/>
      </w:pPr>
      <w:r>
        <w:rPr>
          <w:rFonts w:ascii="Nanum Gothic" w:hAnsi="Nanum Gothic" w:eastAsia="Nanum Gothic"/>
          <w:b w:val="0"/>
          <w:color w:val="222222"/>
          <w:sz w:val="20"/>
        </w:rPr>
        <w:t>공개 파일에는 데이터사전, 산식, 변경이력, 억제기준을 함께 제공해 재현성과 신뢰를 확보한다.</w:t>
      </w:r>
    </w:p>
    <w:p>
      <w:pPr>
        <w:pStyle w:val="Heading1"/>
        <w:keepNext/>
        <w:shd w:fill="24364B"/>
        <w:spacing w:before="0" w:after="280"/>
      </w:pPr>
      <w:r>
        <w:rPr>
          <w:rFonts w:ascii="Nanum Gothic" w:hAnsi="Nanum Gothic" w:eastAsia="Nanum Gothic"/>
          <w:b/>
          <w:color w:val="FFFFFF"/>
          <w:sz w:val="34"/>
        </w:rPr>
        <w:t>부록. 재현 정보</w:t>
      </w:r>
    </w:p>
    <w:p>
      <w:pPr>
        <w:pStyle w:val="Heading2"/>
        <w:pBdr>
          <w:bottom w:val="single" w:sz="7" w:space="4" w:color="138ACB"/>
        </w:pBdr>
      </w:pPr>
      <w:r>
        <w:t>1. 재현 파일</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1200"/>
        <w:gridCol w:w="4850"/>
        <w:gridCol w:w="1450"/>
      </w:tblGrid>
      <w:tr>
        <w:trPr>
          <w:tblHeader w:val="true"/>
          <w:cantSplit/>
        </w:trPr>
        <w:tc>
          <w:tcPr>
            <w:tcW w:type="dxa" w:w="120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구분</w:t>
            </w:r>
          </w:p>
        </w:tc>
        <w:tc>
          <w:tcPr>
            <w:tcW w:type="dxa" w:w="48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파일</w:t>
            </w:r>
          </w:p>
        </w:tc>
        <w:tc>
          <w:tcPr>
            <w:tcW w:type="dxa" w:w="14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용도</w:t>
            </w:r>
          </w:p>
        </w:tc>
      </w:tr>
      <w:tr>
        <w:trPr>
          <w:cantSplit/>
        </w:trPr>
        <w:tc>
          <w:tcPr>
            <w:tcW w:type="dxa" w:w="12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원본</w:t>
            </w:r>
          </w:p>
        </w:tc>
        <w:tc>
          <w:tcPr>
            <w:tcW w:type="dxa" w:w="4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data/raw/사립학교교직원연금공단_연도별_교직원_퇴직현황_20251231.csv</w:t>
            </w:r>
          </w:p>
        </w:tc>
        <w:tc>
          <w:tcPr>
            <w:tcW w:type="dxa" w:w="1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퇴직자 분석</w:t>
            </w:r>
          </w:p>
        </w:tc>
      </w:tr>
      <w:tr>
        <w:trPr>
          <w:cantSplit/>
        </w:trPr>
        <w:tc>
          <w:tcPr>
            <w:tcW w:type="dxa" w:w="12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원본</w:t>
            </w:r>
          </w:p>
        </w:tc>
        <w:tc>
          <w:tcPr>
            <w:tcW w:type="dxa" w:w="4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data/raw/사립학교교직원연금공단_연도별_연금수급자_및_연금액_20251231.csv</w:t>
            </w:r>
          </w:p>
        </w:tc>
        <w:tc>
          <w:tcPr>
            <w:tcW w:type="dxa" w:w="1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수급자·연금액 분석</w:t>
            </w:r>
          </w:p>
        </w:tc>
      </w:tr>
      <w:tr>
        <w:trPr>
          <w:cantSplit/>
        </w:trPr>
        <w:tc>
          <w:tcPr>
            <w:tcW w:type="dxa" w:w="12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코드</w:t>
            </w:r>
          </w:p>
        </w:tc>
        <w:tc>
          <w:tcPr>
            <w:tcW w:type="dxa" w:w="4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scripts/analyze_public_data.py</w:t>
            </w:r>
          </w:p>
        </w:tc>
        <w:tc>
          <w:tcPr>
            <w:tcW w:type="dxa" w:w="1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정제·검증·지표·그래프 생성</w:t>
            </w:r>
          </w:p>
        </w:tc>
      </w:tr>
      <w:tr>
        <w:trPr>
          <w:cantSplit/>
        </w:trPr>
        <w:tc>
          <w:tcPr>
            <w:tcW w:type="dxa" w:w="12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정제</w:t>
            </w:r>
          </w:p>
        </w:tc>
        <w:tc>
          <w:tcPr>
            <w:tcW w:type="dxa" w:w="4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data/processed/연도별_교직원_퇴직현황_정제.csv</w:t>
            </w:r>
          </w:p>
        </w:tc>
        <w:tc>
          <w:tcPr>
            <w:tcW w:type="dxa" w:w="1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퇴직 파생지표</w:t>
            </w:r>
          </w:p>
        </w:tc>
      </w:tr>
      <w:tr>
        <w:trPr>
          <w:cantSplit/>
        </w:trPr>
        <w:tc>
          <w:tcPr>
            <w:tcW w:type="dxa" w:w="12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정제</w:t>
            </w:r>
          </w:p>
        </w:tc>
        <w:tc>
          <w:tcPr>
            <w:tcW w:type="dxa" w:w="4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data/processed/연도별_퇴직연금수급자_연금액_정제.csv</w:t>
            </w:r>
          </w:p>
        </w:tc>
        <w:tc>
          <w:tcPr>
            <w:tcW w:type="dxa" w:w="1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수급자·연금액 파생지표</w:t>
            </w:r>
          </w:p>
        </w:tc>
      </w:tr>
      <w:tr>
        <w:trPr>
          <w:cantSplit/>
        </w:trPr>
        <w:tc>
          <w:tcPr>
            <w:tcW w:type="dxa" w:w="1200"/>
            <w:shd w:fill="F8FAFB"/>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결합</w:t>
            </w:r>
          </w:p>
        </w:tc>
        <w:tc>
          <w:tcPr>
            <w:tcW w:type="dxa" w:w="48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data/processed/핵심지표_공통기간_1997_2025.csv</w:t>
            </w:r>
          </w:p>
        </w:tc>
        <w:tc>
          <w:tcPr>
            <w:tcW w:type="dxa" w:w="1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두 자료의 공통기간 비교</w:t>
            </w:r>
          </w:p>
        </w:tc>
      </w:tr>
      <w:tr>
        <w:trPr>
          <w:cantSplit/>
        </w:trPr>
        <w:tc>
          <w:tcPr>
            <w:tcW w:type="dxa" w:w="1200"/>
            <w:tcMar>
              <w:top w:w="100" w:type="dxa"/>
              <w:start w:w="110" w:type="dxa"/>
              <w:bottom w:w="100" w:type="dxa"/>
              <w:end w:w="110" w:type="dxa"/>
            </w:tcMar>
            <w:vAlign w:val="center"/>
          </w:tcPr>
          <w:p>
            <w:pPr>
              <w:pStyle w:val="TableText"/>
              <w:spacing w:after="0" w:line="252" w:lineRule="auto"/>
              <w:jc w:val="center"/>
            </w:pPr>
            <w:r>
              <w:rPr>
                <w:rFonts w:ascii="Nanum Gothic" w:hAnsi="Nanum Gothic" w:eastAsia="Nanum Gothic"/>
                <w:b w:val="0"/>
                <w:color w:val="222222"/>
                <w:sz w:val="15"/>
              </w:rPr>
              <w:t>검증</w:t>
            </w:r>
          </w:p>
        </w:tc>
        <w:tc>
          <w:tcPr>
            <w:tcW w:type="dxa" w:w="48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output/report/상상이상_사학연금_공공데이터_활용연구보고서_수치검증.md</w:t>
            </w:r>
          </w:p>
        </w:tc>
        <w:tc>
          <w:tcPr>
            <w:tcW w:type="dxa" w:w="1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핵심 수치·품질 검사 요약</w:t>
            </w:r>
          </w:p>
        </w:tc>
      </w:tr>
    </w:tbl>
    <w:p>
      <w:pPr>
        <w:spacing w:after="20"/>
      </w:pPr>
    </w:p>
    <w:p>
      <w:pPr>
        <w:pStyle w:val="Heading2"/>
        <w:pBdr>
          <w:bottom w:val="single" w:sz="7" w:space="4" w:color="138ACB"/>
        </w:pBdr>
      </w:pPr>
      <w:r>
        <w:t>2. 원본 파일 무결성</w:t>
      </w:r>
    </w:p>
    <w:tbl>
      <w:tblPr>
        <w:tblStyle w:val="TableGrid"/>
        <w:tblW w:type="dxa" w:w="750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Ind w:w="110" w:type="dxa"/>
      </w:tblPr>
      <w:tblGrid>
        <w:gridCol w:w="2450"/>
        <w:gridCol w:w="5050"/>
      </w:tblGrid>
      <w:tr>
        <w:trPr>
          <w:tblHeader w:val="true"/>
          <w:cantSplit/>
        </w:trPr>
        <w:tc>
          <w:tcPr>
            <w:tcW w:type="dxa" w:w="24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데이터</w:t>
            </w:r>
          </w:p>
        </w:tc>
        <w:tc>
          <w:tcPr>
            <w:tcW w:type="dxa" w:w="5050"/>
            <w:shd w:fill="24364B"/>
            <w:tcMar>
              <w:top w:w="100" w:type="dxa"/>
              <w:start w:w="110" w:type="dxa"/>
              <w:bottom w:w="100" w:type="dxa"/>
              <w:end w:w="110" w:type="dxa"/>
            </w:tcMar>
            <w:vAlign w:val="center"/>
          </w:tcPr>
          <w:p>
            <w:pPr>
              <w:spacing w:after="0"/>
              <w:jc w:val="center"/>
            </w:pPr>
            <w:r>
              <w:rPr>
                <w:rFonts w:ascii="Nanum Gothic" w:hAnsi="Nanum Gothic" w:eastAsia="Nanum Gothic"/>
                <w:b/>
                <w:color w:val="FFFFFF"/>
                <w:sz w:val="15"/>
              </w:rPr>
              <w:t>SHA-256</w:t>
            </w:r>
          </w:p>
        </w:tc>
      </w:tr>
      <w:tr>
        <w:trPr>
          <w:cantSplit/>
        </w:trPr>
        <w:tc>
          <w:tcPr>
            <w:tcW w:type="dxa" w:w="24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연도별 교직원 퇴직현황</w:t>
            </w:r>
          </w:p>
        </w:tc>
        <w:tc>
          <w:tcPr>
            <w:tcW w:type="dxa" w:w="5050"/>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90374bb9a18e170212bb7fe77c1fbeff066e411c684d695e864473495df32b17</w:t>
            </w:r>
          </w:p>
        </w:tc>
      </w:tr>
      <w:tr>
        <w:trPr>
          <w:cantSplit/>
        </w:trPr>
        <w:tc>
          <w:tcPr>
            <w:tcW w:type="dxa" w:w="24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연도별 연금수급자 및 연금액</w:t>
            </w:r>
          </w:p>
        </w:tc>
        <w:tc>
          <w:tcPr>
            <w:tcW w:type="dxa" w:w="5050"/>
            <w:shd w:fill="F8FAFB"/>
            <w:tcMar>
              <w:top w:w="100" w:type="dxa"/>
              <w:start w:w="110" w:type="dxa"/>
              <w:bottom w:w="100" w:type="dxa"/>
              <w:end w:w="110" w:type="dxa"/>
            </w:tcMar>
            <w:vAlign w:val="center"/>
          </w:tcPr>
          <w:p>
            <w:pPr>
              <w:pStyle w:val="TableText"/>
              <w:spacing w:after="0" w:line="252" w:lineRule="auto"/>
              <w:jc w:val="left"/>
            </w:pPr>
            <w:r>
              <w:rPr>
                <w:rFonts w:ascii="Nanum Gothic" w:hAnsi="Nanum Gothic" w:eastAsia="Nanum Gothic"/>
                <w:b w:val="0"/>
                <w:color w:val="222222"/>
                <w:sz w:val="15"/>
              </w:rPr>
              <w:t>6e053c1772d49b886a992ced9f6aaf447100b3b5e1eee46fcb8f24c8611ec494</w:t>
            </w:r>
          </w:p>
        </w:tc>
      </w:tr>
    </w:tbl>
    <w:p>
      <w:pPr>
        <w:spacing w:after="20"/>
      </w:pPr>
    </w:p>
    <w:p>
      <w:pPr>
        <w:pStyle w:val="Heading2"/>
        <w:pBdr>
          <w:bottom w:val="single" w:sz="7" w:space="4" w:color="138ACB"/>
        </w:pBdr>
      </w:pPr>
      <w:r>
        <w:t>3. 주요 출처(확인일 2026-08-31)</w:t>
      </w:r>
    </w:p>
    <w:p>
      <w:pPr>
        <w:numPr>
          <w:ilvl w:val="0"/>
          <w:numId w:val="10"/>
        </w:numPr>
        <w:spacing w:after="60"/>
      </w:pPr>
      <w:r>
        <w:rPr>
          <w:rFonts w:ascii="Nanum Gothic" w:hAnsi="Nanum Gothic" w:eastAsia="Nanum Gothic"/>
          <w:b w:val="0"/>
          <w:color w:val="222222"/>
          <w:sz w:val="20"/>
        </w:rPr>
        <w:t>공공데이터포털, 「사립학교교직원연금공단_연도별 교직원 퇴직현황」, https://www.data.go.kr/data/15065054/fileData.do</w:t>
      </w:r>
    </w:p>
    <w:p>
      <w:pPr>
        <w:numPr>
          <w:ilvl w:val="0"/>
          <w:numId w:val="10"/>
        </w:numPr>
        <w:spacing w:after="60"/>
      </w:pPr>
      <w:r>
        <w:rPr>
          <w:rFonts w:ascii="Nanum Gothic" w:hAnsi="Nanum Gothic" w:eastAsia="Nanum Gothic"/>
          <w:b w:val="0"/>
          <w:color w:val="222222"/>
          <w:sz w:val="20"/>
        </w:rPr>
        <w:t>공공데이터포털, 「사립학교교직원연금공단_연도별 연금수급자 및 연금액」, https://www.data.go.kr/data/15045820/fileData.do</w:t>
      </w:r>
    </w:p>
    <w:p>
      <w:pPr>
        <w:numPr>
          <w:ilvl w:val="0"/>
          <w:numId w:val="10"/>
        </w:numPr>
        <w:spacing w:after="60"/>
      </w:pPr>
      <w:r>
        <w:rPr>
          <w:rFonts w:ascii="Nanum Gothic" w:hAnsi="Nanum Gothic" w:eastAsia="Nanum Gothic"/>
          <w:b w:val="0"/>
          <w:color w:val="222222"/>
          <w:sz w:val="20"/>
        </w:rPr>
        <w:t>공공데이터포털, 「사립학교교직원연금공단_월별 홈페이지 가입자 현황」, https://www.data.go.kr/data/15065011/fileData.do</w:t>
      </w:r>
    </w:p>
    <w:p>
      <w:pPr>
        <w:numPr>
          <w:ilvl w:val="0"/>
          <w:numId w:val="10"/>
        </w:numPr>
        <w:spacing w:after="60"/>
      </w:pPr>
      <w:r>
        <w:rPr>
          <w:rFonts w:ascii="Nanum Gothic" w:hAnsi="Nanum Gothic" w:eastAsia="Nanum Gothic"/>
          <w:b w:val="0"/>
          <w:color w:val="222222"/>
          <w:sz w:val="20"/>
        </w:rPr>
        <w:t>공공데이터포털, 「사립학교교직원연금공단_연금종류별 평균연금월액」, https://www.data.go.kr/data/15045818/fileData.do</w:t>
      </w:r>
    </w:p>
    <w:p>
      <w:pPr>
        <w:numPr>
          <w:ilvl w:val="0"/>
          <w:numId w:val="10"/>
        </w:numPr>
        <w:spacing w:after="60"/>
      </w:pPr>
      <w:r>
        <w:rPr>
          <w:rFonts w:ascii="Nanum Gothic" w:hAnsi="Nanum Gothic" w:eastAsia="Nanum Gothic"/>
          <w:b w:val="0"/>
          <w:color w:val="222222"/>
          <w:sz w:val="20"/>
        </w:rPr>
        <w:t>사립학교교직원연금공단 홈페이지, https://www.tp.or.kr/tp-kr/index.do</w:t>
      </w:r>
    </w:p>
    <w:p>
      <w:pPr>
        <w:numPr>
          <w:ilvl w:val="0"/>
          <w:numId w:val="10"/>
        </w:numPr>
        <w:spacing w:after="60"/>
      </w:pPr>
      <w:r>
        <w:rPr>
          <w:rFonts w:ascii="Nanum Gothic" w:hAnsi="Nanum Gothic" w:eastAsia="Nanum Gothic"/>
          <w:b w:val="0"/>
          <w:color w:val="222222"/>
          <w:sz w:val="20"/>
        </w:rPr>
        <w:t>사립학교교직원연금공단, 「공공데이터 활용 연구 추진계획안」(제공된 프로젝트 문서).</w:t>
      </w:r>
    </w:p>
    <w:p>
      <w:pPr>
        <w:pStyle w:val="Heading2"/>
        <w:pBdr>
          <w:bottom w:val="single" w:sz="7" w:space="4" w:color="138ACB"/>
        </w:pBdr>
      </w:pPr>
      <w:r>
        <w:t>4. 재현 메모</w:t>
      </w:r>
    </w:p>
    <w:p>
      <w:r>
        <w:rPr>
          <w:rFonts w:ascii="Nanum Gothic" w:hAnsi="Nanum Gothic" w:eastAsia="Nanum Gothic"/>
          <w:b w:val="0"/>
          <w:color w:val="222222"/>
          <w:sz w:val="21"/>
        </w:rPr>
        <w:t>원본 CSV는 CP949로 읽고, 연도를 정수형으로 변환한 뒤 정렬했다. 증감량·증감률은 연도 순서에서 1차 차분과 전년 대비 비율로 계산했다. 보고서의 수치는 자동 생성된 정제 CSV와 analysis_summary.json을 대조했다. 원본 파일은 변경하지 않았고, 작성 과정은 스크립트로 분리했다. 모든 산출물은 공식 집계데이터만 사용하며 개인 식별 가능한 원시행을 포함하지 않는다.</w:t>
      </w:r>
    </w:p>
    <w:sectPr>
      <w:headerReference w:type="default" r:id="rId10"/>
      <w:footerReference w:type="default" r:id="rId11"/>
      <w:pgSz w:w="11906" w:h="16838"/>
      <w:pgMar w:top="1077" w:right="1247" w:bottom="1020" w:left="1247"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 Gothic" w:hAnsi="Nanum Gothic" w:eastAsia="Nanum Gothic"/>
        <w:color w:val="5D6670"/>
        <w:sz w:val="18"/>
      </w:rPr>
      <w:t xml:space="preserve">- </w:t>
    </w:r>
    <w:fldSimple w:instr="PAGE">
      <w:r>
        <w:rPr>
          <w:color w:val="5D6670"/>
        </w:rPr>
        <w:t>1</w:t>
      </w:r>
    </w:fldSimple>
    <w:r>
      <w:rPr>
        <w:rFonts w:ascii="Nanum Gothic" w:hAnsi="Nanum Gothic" w:eastAsia="Nanum Gothic"/>
        <w:color w:val="5D667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4" w:color="D7DEE5"/>
      </w:pBdr>
    </w:pPr>
    <w:r>
      <w:rPr>
        <w:rFonts w:ascii="Nanum Gothic" w:hAnsi="Nanum Gothic" w:eastAsia="Nanum Gothic"/>
        <w:b w:val="0"/>
        <w:color w:val="5D6670"/>
        <w:sz w:val="16"/>
      </w:rPr>
      <w:t>사학연금 디지털 서비스 공공데이터 개방 방안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360"/>
        </w:tabs>
        <w:ind w:left="360" w:hanging="360"/>
      </w:pPr>
      <w:rPr>
        <w:rFonts w:ascii="Nanum Gothic" w:eastAsia="Nanum Gothic"/>
      </w:rPr>
    </w:lvl>
    <w:lvl w:ilvl="1">
      <w:start w:val="1"/>
      <w:numFmt w:val="bullet"/>
      <w:lvlText w:val="○"/>
      <w:lvlJc w:val="left"/>
      <w:pPr>
        <w:tabs>
          <w:tab w:val="num" w:pos="720"/>
        </w:tabs>
        <w:ind w:left="720" w:hanging="360"/>
      </w:pPr>
      <w:rPr>
        <w:rFonts w:ascii="Nanum Gothic" w:eastAsia="Nanum Gothic"/>
      </w:rPr>
    </w:lvl>
    <w:lvl w:ilvl="2">
      <w:start w:val="1"/>
      <w:numFmt w:val="bullet"/>
      <w:lvlText w:val="–"/>
      <w:lvlJc w:val="left"/>
      <w:pPr>
        <w:tabs>
          <w:tab w:val="num" w:pos="1080"/>
        </w:tabs>
        <w:ind w:left="1080" w:hanging="360"/>
      </w:pPr>
      <w:rPr>
        <w:rFonts w:ascii="Nanum Gothic" w:eastAsia="Nanum Gothi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93" w:after="100"/>
      <w:jc w:val="both"/>
    </w:pPr>
    <w:rPr>
      <w:rFonts w:ascii="Nanum Gothic" w:hAnsi="Nanum Gothic" w:eastAsia="Nanum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ind w:left="227" w:right="227"/>
      <w:outlineLvl w:val="0"/>
    </w:pPr>
    <w:rPr>
      <w:rFonts w:asciiTheme="majorHAnsi" w:eastAsiaTheme="majorEastAsia" w:hAnsiTheme="majorHAnsi" w:cstheme="majorBidi" w:ascii="Nanum Gothic" w:hAnsi="Nanum Gothic" w:eastAsia="Nanum Gothic"/>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Nanum Gothic" w:hAnsi="Nanum Gothic" w:eastAsia="Nanum Gothic"/>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Nanum Gothic" w:hAnsi="Nanum Gothic" w:eastAsia="Nanum Gothic"/>
      <w:b/>
      <w:bCs/>
      <w:color w:val="138AC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00" w:after="80"/>
      <w:jc w:val="center"/>
    </w:pPr>
    <w:rPr>
      <w:rFonts w:ascii="Nanum Gothic" w:hAnsi="Nanum Gothic" w:eastAsia="Nanum Gothic"/>
      <w:b/>
      <w:bCs/>
      <w:color w:val="2436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line="264" w:lineRule="auto"/>
    </w:pPr>
    <w:rPr>
      <w:rFonts w:ascii="Nanum Gothic" w:hAnsi="Nanum Gothic" w:eastAsia="Nanum Gothic"/>
      <w:b w:val="0"/>
      <w:color w:val="5D6670"/>
      <w:sz w:val="16"/>
    </w:rPr>
  </w:style>
  <w:style w:type="paragraph" w:customStyle="1" w:styleId="Callout">
    <w:name w:val="Callout"/>
    <w:pPr>
      <w:spacing w:after="80" w:line="264" w:lineRule="auto"/>
    </w:pPr>
    <w:rPr>
      <w:rFonts w:ascii="Nanum Gothic" w:hAnsi="Nanum Gothic" w:eastAsia="Nanum Gothic"/>
      <w:b/>
      <w:color w:val="24364B"/>
      <w:sz w:val="21"/>
    </w:rPr>
  </w:style>
  <w:style w:type="paragraph" w:customStyle="1" w:styleId="TableText">
    <w:name w:val="Table Text"/>
    <w:pPr>
      <w:spacing w:after="80" w:line="264" w:lineRule="auto"/>
    </w:pPr>
    <w:rPr>
      <w:rFonts w:ascii="Nanum Gothic" w:hAnsi="Nanum Gothic" w:eastAsia="Nanum Gothic"/>
      <w:b w:val="0"/>
      <w:color w:val="222222"/>
      <w:sz w:val="18"/>
    </w:rPr>
  </w:style>
  <w:style w:type="paragraph" w:customStyle="1" w:styleId="Small">
    <w:name w:val="Small"/>
    <w:pPr>
      <w:spacing w:after="80" w:line="264" w:lineRule="auto"/>
    </w:pPr>
    <w:rPr>
      <w:rFonts w:ascii="Nanum Gothic" w:hAnsi="Nanum Gothic" w:eastAsia="Nanum Gothic"/>
      <w:b w:val="0"/>
      <w:color w:val="5D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사학연금 수급자 증가에 대응한 디지털 서비스 공공데이터 개방 방안</dc:title>
  <dc:subject>퇴직자·퇴직연금수급자·연금액 추이 분석</dc:subject>
  <dc:creator/>
  <cp:keywords>사학연금, 공공데이터, 디지털 서비스, 인증, 연금수급자</cp:keywords>
  <dc:description>공식 공개데이터를 활용한 연구보고서</dc:description>
  <cp:lastModifiedBy/>
  <cp:revision>1</cp:revision>
  <dcterms:created xsi:type="dcterms:W3CDTF">2013-12-23T23:15:00Z</dcterms:created>
  <dcterms:modified xsi:type="dcterms:W3CDTF">2013-12-23T23:15:00Z</dcterms:modified>
  <cp:category/>
</cp:coreProperties>
</file>